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8"/>
        </w:rPr>
        <w:t>Vista Técnica</w:t>
      </w:r>
    </w:p>
    <w:p>
      <w:pPr>
        <w:jc w:val="center"/>
      </w:pPr>
      <w:r>
        <w:rPr>
          <w:i/>
          <w:color w:val="555555"/>
          <w:sz w:val="22"/>
        </w:rPr>
        <w:t>Guía de arquitectura para quien tiene que hacer un cambio sin haber estado en el diseño original</w:t>
      </w:r>
    </w:p>
    <w:p>
      <w:pPr>
        <w:jc w:val="center"/>
      </w:pPr>
      <w:r>
        <w:rPr>
          <w:i/>
          <w:color w:val="555555"/>
          <w:sz w:val="18"/>
        </w:rPr>
        <w:t>Escrito para la persona que se une al equipo dentro de seis meses, no participó en ninguna reunión de diseño, y necesita entender el sistema y ubicar dónde tocar, usando solo este documento.</w:t>
      </w:r>
    </w:p>
    <w:p/>
    <w:p>
      <w:pPr>
        <w:pStyle w:val="Heading1"/>
      </w:pPr>
      <w:r>
        <w:rPr>
          <w:color w:val="1F3B57"/>
        </w:rPr>
        <w:t>1. Cómo está organizado el código</w:t>
      </w:r>
    </w:p>
    <w:p>
      <w:r>
        <w:t>El código sigue una separación por capas: dominio (las reglas y los datos del negocio, sin saber nada de archivos, consola ni memoria), aplicación (qué se puede hacer con esos datos) e infraestructura (cómo se guarda, se autentica y se avisa en la práctica). El dominio nunca importa nada de aplicación ni de infraestructura; es al revés.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B57"/>
          </w:tcPr>
          <w:p>
            <w:r/>
            <w:r>
              <w:rPr>
                <w:b/>
                <w:color w:val="FFFFFF"/>
                <w:sz w:val="19"/>
              </w:rPr>
              <w:t>Paquete</w:t>
            </w:r>
          </w:p>
        </w:tc>
        <w:tc>
          <w:tcPr>
            <w:tcW w:type="dxa" w:w="4320"/>
            <w:shd w:val="clear" w:color="auto" w:fill="1F3B57"/>
          </w:tcPr>
          <w:p>
            <w:r/>
            <w:r>
              <w:rPr>
                <w:b/>
                <w:color w:val="FFFFFF"/>
                <w:sz w:val="19"/>
              </w:rPr>
              <w:t>Qué contiene</w:t>
            </w:r>
          </w:p>
        </w:tc>
      </w:tr>
      <w:tr>
        <w:tc>
          <w:tcPr>
            <w:tcW w:type="dxa" w:w="4320"/>
          </w:tcPr>
          <w:p>
            <w:r/>
            <w:r>
              <w:rPr>
                <w:rFonts w:ascii="Consolas" w:hAnsi="Consolas"/>
                <w:b/>
                <w:sz w:val="19"/>
              </w:rPr>
              <w:t>farmacia (raíz)</w:t>
            </w:r>
          </w:p>
        </w:tc>
        <w:tc>
          <w:tcPr>
            <w:tcW w:type="dxa" w:w="4320"/>
          </w:tcPr>
          <w:p>
            <w:r/>
            <w:r>
              <w:rPr>
                <w:b w:val="0"/>
                <w:sz w:val="19"/>
              </w:rPr>
              <w:t>Main: el composition root. Es lo único que se ejecuta directamente; arma la aplicación y se la entrega a la interfaz de consola.</w:t>
            </w:r>
          </w:p>
        </w:tc>
      </w:tr>
      <w:tr>
        <w:tc>
          <w:tcPr>
            <w:tcW w:type="dxa" w:w="4320"/>
          </w:tcPr>
          <w:p>
            <w:r/>
            <w:r>
              <w:rPr>
                <w:rFonts w:ascii="Consolas" w:hAnsi="Consolas"/>
                <w:b/>
                <w:sz w:val="19"/>
              </w:rPr>
              <w:t>farmacia.ui</w:t>
            </w:r>
          </w:p>
        </w:tc>
        <w:tc>
          <w:tcPr>
            <w:tcW w:type="dxa" w:w="4320"/>
          </w:tcPr>
          <w:p>
            <w:r/>
            <w:r>
              <w:rPr>
                <w:b w:val="0"/>
                <w:sz w:val="19"/>
              </w:rPr>
              <w:t>MenuFarmacia: la interfaz de consola que ve quien opera el sistema. Solo conoce la fachada, ningún caso de uso por separado.</w:t>
            </w:r>
          </w:p>
        </w:tc>
      </w:tr>
      <w:tr>
        <w:tc>
          <w:tcPr>
            <w:tcW w:type="dxa" w:w="4320"/>
          </w:tcPr>
          <w:p>
            <w:r/>
            <w:r>
              <w:rPr>
                <w:rFonts w:ascii="Consolas" w:hAnsi="Consolas"/>
                <w:b/>
                <w:sz w:val="19"/>
              </w:rPr>
              <w:t>farmacia.aplicacion.fachada</w:t>
            </w:r>
          </w:p>
        </w:tc>
        <w:tc>
          <w:tcPr>
            <w:tcW w:type="dxa" w:w="4320"/>
          </w:tcPr>
          <w:p>
            <w:r/>
            <w:r>
              <w:rPr>
                <w:b w:val="0"/>
                <w:sz w:val="19"/>
              </w:rPr>
              <w:t>AplicacionFarmacia: el único punto de entrada a las operaciones del negocio. Un método por operación, cada uno delega en un caso de uso.</w:t>
            </w:r>
          </w:p>
        </w:tc>
      </w:tr>
      <w:tr>
        <w:tc>
          <w:tcPr>
            <w:tcW w:type="dxa" w:w="4320"/>
          </w:tcPr>
          <w:p>
            <w:r/>
            <w:r>
              <w:rPr>
                <w:rFonts w:ascii="Consolas" w:hAnsi="Consolas"/>
                <w:b/>
                <w:sz w:val="19"/>
              </w:rPr>
              <w:t>farmacia.aplicacion.construccion</w:t>
            </w:r>
          </w:p>
        </w:tc>
        <w:tc>
          <w:tcPr>
            <w:tcW w:type="dxa" w:w="4320"/>
          </w:tcPr>
          <w:p>
            <w:r/>
            <w:r>
              <w:rPr>
                <w:b w:val="0"/>
                <w:sz w:val="19"/>
              </w:rPr>
              <w:t>El Builder y el Director que arman toda la aplicación paso a paso: qué implementación concreta se usa para cada pieza.</w:t>
            </w:r>
          </w:p>
        </w:tc>
      </w:tr>
      <w:tr>
        <w:tc>
          <w:tcPr>
            <w:tcW w:type="dxa" w:w="4320"/>
          </w:tcPr>
          <w:p>
            <w:r/>
            <w:r>
              <w:rPr>
                <w:rFonts w:ascii="Consolas" w:hAnsi="Consolas"/>
                <w:b/>
                <w:sz w:val="19"/>
              </w:rPr>
              <w:t>farmacia.aplicacion.casosdeuso</w:t>
            </w:r>
          </w:p>
        </w:tc>
        <w:tc>
          <w:tcPr>
            <w:tcW w:type="dxa" w:w="4320"/>
          </w:tcPr>
          <w:p>
            <w:r/>
            <w:r>
              <w:rPr>
                <w:b w:val="0"/>
                <w:sz w:val="19"/>
              </w:rPr>
              <w:t>Una clase por cada operación de negocio: cargar datos, buscar, listar, registrar una venta, verificar alertas, acumular puntos, autenticar.</w:t>
            </w:r>
          </w:p>
        </w:tc>
      </w:tr>
      <w:tr>
        <w:tc>
          <w:tcPr>
            <w:tcW w:type="dxa" w:w="4320"/>
          </w:tcPr>
          <w:p>
            <w:r/>
            <w:r>
              <w:rPr>
                <w:rFonts w:ascii="Consolas" w:hAnsi="Consolas"/>
                <w:b/>
                <w:sz w:val="19"/>
              </w:rPr>
              <w:t>farmacia.aplicacion.fabricas</w:t>
            </w:r>
          </w:p>
        </w:tc>
        <w:tc>
          <w:tcPr>
            <w:tcW w:type="dxa" w:w="4320"/>
          </w:tcPr>
          <w:p>
            <w:r/>
            <w:r>
              <w:rPr>
                <w:b w:val="0"/>
                <w:sz w:val="19"/>
              </w:rPr>
              <w:t>Las fábricas concretas que saben construir cada tipo de producto o servicio a partir de una línea de texto, más la fábrica que comparte los datos de laboratorio.</w:t>
            </w:r>
          </w:p>
        </w:tc>
      </w:tr>
      <w:tr>
        <w:tc>
          <w:tcPr>
            <w:tcW w:type="dxa" w:w="4320"/>
          </w:tcPr>
          <w:p>
            <w:r/>
            <w:r>
              <w:rPr>
                <w:rFonts w:ascii="Consolas" w:hAnsi="Consolas"/>
                <w:b/>
                <w:sz w:val="19"/>
              </w:rPr>
              <w:t>farmacia.aplicacion.visitantes</w:t>
            </w:r>
          </w:p>
        </w:tc>
        <w:tc>
          <w:tcPr>
            <w:tcW w:type="dxa" w:w="4320"/>
          </w:tcPr>
          <w:p>
            <w:r/>
            <w:r>
              <w:rPr>
                <w:b w:val="0"/>
                <w:sz w:val="19"/>
              </w:rPr>
              <w:t>Las operaciones que se comportan distinto según el ítem vendible sea un Producto o un Servicio (afectar inventario, generar una alerta, proyectar como producto).</w:t>
            </w:r>
          </w:p>
        </w:tc>
      </w:tr>
      <w:tr>
        <w:tc>
          <w:tcPr>
            <w:tcW w:type="dxa" w:w="4320"/>
          </w:tcPr>
          <w:p>
            <w:r/>
            <w:r>
              <w:rPr>
                <w:rFonts w:ascii="Consolas" w:hAnsi="Consolas"/>
                <w:b/>
                <w:sz w:val="19"/>
              </w:rPr>
              <w:t>farmacia.dominio.catalogo</w:t>
            </w:r>
          </w:p>
        </w:tc>
        <w:tc>
          <w:tcPr>
            <w:tcW w:type="dxa" w:w="4320"/>
          </w:tcPr>
          <w:p>
            <w:r/>
            <w:r>
              <w:rPr>
                <w:b w:val="0"/>
                <w:sz w:val="19"/>
              </w:rPr>
              <w:t>Las entidades del catálogo: Producto y sus variantes, Servicio, Laboratorio.</w:t>
            </w:r>
          </w:p>
        </w:tc>
      </w:tr>
      <w:tr>
        <w:tc>
          <w:tcPr>
            <w:tcW w:type="dxa" w:w="4320"/>
          </w:tcPr>
          <w:p>
            <w:r/>
            <w:r>
              <w:rPr>
                <w:rFonts w:ascii="Consolas" w:hAnsi="Consolas"/>
                <w:b/>
                <w:sz w:val="19"/>
              </w:rPr>
              <w:t>farmacia.dominio.personas</w:t>
            </w:r>
          </w:p>
        </w:tc>
        <w:tc>
          <w:tcPr>
            <w:tcW w:type="dxa" w:w="4320"/>
          </w:tcPr>
          <w:p>
            <w:r/>
            <w:r>
              <w:rPr>
                <w:b w:val="0"/>
                <w:sz w:val="19"/>
              </w:rPr>
              <w:t>Persona, Cliente y Usuario.</w:t>
            </w:r>
          </w:p>
        </w:tc>
      </w:tr>
      <w:tr>
        <w:tc>
          <w:tcPr>
            <w:tcW w:type="dxa" w:w="4320"/>
          </w:tcPr>
          <w:p>
            <w:r/>
            <w:r>
              <w:rPr>
                <w:rFonts w:ascii="Consolas" w:hAnsi="Consolas"/>
                <w:b/>
                <w:sz w:val="19"/>
              </w:rPr>
              <w:t>farmacia.dominio.inventario</w:t>
            </w:r>
          </w:p>
        </w:tc>
        <w:tc>
          <w:tcPr>
            <w:tcW w:type="dxa" w:w="4320"/>
          </w:tcPr>
          <w:p>
            <w:r/>
            <w:r>
              <w:rPr>
                <w:b w:val="0"/>
                <w:sz w:val="19"/>
              </w:rPr>
              <w:t>Venta: el registro de cada operación de venta.</w:t>
            </w:r>
          </w:p>
        </w:tc>
      </w:tr>
      <w:tr>
        <w:tc>
          <w:tcPr>
            <w:tcW w:type="dxa" w:w="4320"/>
          </w:tcPr>
          <w:p>
            <w:r/>
            <w:r>
              <w:rPr>
                <w:rFonts w:ascii="Consolas" w:hAnsi="Consolas"/>
                <w:b/>
                <w:sz w:val="19"/>
              </w:rPr>
              <w:t>farmacia.dominio.enums</w:t>
            </w:r>
          </w:p>
        </w:tc>
        <w:tc>
          <w:tcPr>
            <w:tcW w:type="dxa" w:w="4320"/>
          </w:tcPr>
          <w:p>
            <w:r/>
            <w:r>
              <w:rPr>
                <w:b w:val="0"/>
                <w:sz w:val="19"/>
              </w:rPr>
              <w:t>TipoRelleno y MaterialEnvase: valores fijos usados por el catálogo.</w:t>
            </w:r>
          </w:p>
        </w:tc>
      </w:tr>
      <w:tr>
        <w:tc>
          <w:tcPr>
            <w:tcW w:type="dxa" w:w="4320"/>
          </w:tcPr>
          <w:p>
            <w:r/>
            <w:r>
              <w:rPr>
                <w:rFonts w:ascii="Consolas" w:hAnsi="Consolas"/>
                <w:b/>
                <w:sz w:val="19"/>
              </w:rPr>
              <w:t>farmacia.dominio.interfaces</w:t>
            </w:r>
          </w:p>
        </w:tc>
        <w:tc>
          <w:tcPr>
            <w:tcW w:type="dxa" w:w="4320"/>
          </w:tcPr>
          <w:p>
            <w:r/>
            <w:r>
              <w:rPr>
                <w:b w:val="0"/>
                <w:sz w:val="19"/>
              </w:rPr>
              <w:t>IPagable e IPagableVisitor: los contratos que el propio dominio define para tratar productos y servicios de forma uniforme.</w:t>
            </w:r>
          </w:p>
        </w:tc>
      </w:tr>
      <w:tr>
        <w:tc>
          <w:tcPr>
            <w:tcW w:type="dxa" w:w="4320"/>
          </w:tcPr>
          <w:p>
            <w:r/>
            <w:r>
              <w:rPr>
                <w:rFonts w:ascii="Consolas" w:hAnsi="Consolas"/>
                <w:b/>
                <w:sz w:val="19"/>
              </w:rPr>
              <w:t>farmacia.dominio.puertos</w:t>
            </w:r>
          </w:p>
        </w:tc>
        <w:tc>
          <w:tcPr>
            <w:tcW w:type="dxa" w:w="4320"/>
          </w:tcPr>
          <w:p>
            <w:r/>
            <w:r>
              <w:rPr>
                <w:b w:val="0"/>
                <w:sz w:val="19"/>
              </w:rPr>
              <w:t>Los contratos que la aplicación necesita del mundo exterior: repositorios, notificadores, autenticación, lectura de archivos. El dominio los declara; la infraestructura los implementa.</w:t>
            </w:r>
          </w:p>
        </w:tc>
      </w:tr>
      <w:tr>
        <w:tc>
          <w:tcPr>
            <w:tcW w:type="dxa" w:w="4320"/>
          </w:tcPr>
          <w:p>
            <w:r/>
            <w:r>
              <w:rPr>
                <w:rFonts w:ascii="Consolas" w:hAnsi="Consolas"/>
                <w:b/>
                <w:sz w:val="19"/>
              </w:rPr>
              <w:t>farmacia.infraestructura.auth</w:t>
            </w:r>
          </w:p>
        </w:tc>
        <w:tc>
          <w:tcPr>
            <w:tcW w:type="dxa" w:w="4320"/>
          </w:tcPr>
          <w:p>
            <w:r/>
            <w:r>
              <w:rPr>
                <w:b w:val="0"/>
                <w:sz w:val="19"/>
              </w:rPr>
              <w:t>La implementación real de la autenticación, contra los usuarios cargados.</w:t>
            </w:r>
          </w:p>
        </w:tc>
      </w:tr>
      <w:tr>
        <w:tc>
          <w:tcPr>
            <w:tcW w:type="dxa" w:w="4320"/>
          </w:tcPr>
          <w:p>
            <w:r/>
            <w:r>
              <w:rPr>
                <w:rFonts w:ascii="Consolas" w:hAnsi="Consolas"/>
                <w:b/>
                <w:sz w:val="19"/>
              </w:rPr>
              <w:t>farmacia.infraestructura.notificaciones</w:t>
            </w:r>
          </w:p>
        </w:tc>
        <w:tc>
          <w:tcPr>
            <w:tcW w:type="dxa" w:w="4320"/>
          </w:tcPr>
          <w:p>
            <w:r/>
            <w:r>
              <w:rPr>
                <w:b w:val="0"/>
                <w:sz w:val="19"/>
              </w:rPr>
              <w:t>La implementación real de los avisos al operador; hoy, por consola.</w:t>
            </w:r>
          </w:p>
        </w:tc>
      </w:tr>
      <w:tr>
        <w:tc>
          <w:tcPr>
            <w:tcW w:type="dxa" w:w="4320"/>
          </w:tcPr>
          <w:p>
            <w:r/>
            <w:r>
              <w:rPr>
                <w:rFonts w:ascii="Consolas" w:hAnsi="Consolas"/>
                <w:b/>
                <w:sz w:val="19"/>
              </w:rPr>
              <w:t>farmacia.infraestructura.persistencia.adaptadores</w:t>
            </w:r>
          </w:p>
        </w:tc>
        <w:tc>
          <w:tcPr>
            <w:tcW w:type="dxa" w:w="4320"/>
          </w:tcPr>
          <w:p>
            <w:r/>
            <w:r>
              <w:rPr>
                <w:b w:val="0"/>
                <w:sz w:val="19"/>
              </w:rPr>
              <w:t>Las implementaciones reales de los repositorios; hoy, en memoria mientras el programa está abierto.</w:t>
            </w:r>
          </w:p>
        </w:tc>
      </w:tr>
    </w:tbl>
    <w:p/>
    <w:p>
      <w:pPr>
        <w:pStyle w:val="Heading1"/>
      </w:pPr>
      <w:r>
        <w:rPr>
          <w:color w:val="1F3B57"/>
        </w:rPr>
        <w:t>2. El modelo de dominio, de un vistazo</w:t>
      </w:r>
    </w:p>
    <w:p>
      <w:r>
        <w:t>Todo lo que se puede vender implementa IPagable (tiene nombre, precio, y sabe aceptar un visitante). De ahí se dividen en dos ramas:</w:t>
      </w:r>
    </w:p>
    <w:p>
      <w:pPr>
        <w:pStyle w:val="ListBullet"/>
      </w:pPr>
      <w:r>
        <w:t>Producto (abstracta): además del precio, tiene stock, stock mínimo y fecha de vencimiento — es la base de cualquier ítem físico con inventario.</w:t>
      </w:r>
    </w:p>
    <w:p>
      <w:pPr>
        <w:pStyle w:val="ListBullet"/>
      </w:pPr>
      <w:r>
        <w:t>Medicamento extiende Producto y agrega un Laboratorio.</w:t>
      </w:r>
    </w:p>
    <w:p>
      <w:pPr>
        <w:pStyle w:val="ListBullet"/>
      </w:pPr>
      <w:r>
        <w:t>MedicamentoCapsula y MedicamentoLiquido extienden Medicamento, cada uno con sus propios atributos (tipo de relleno; material de envase y mililitros).</w:t>
      </w:r>
    </w:p>
    <w:p>
      <w:pPr>
        <w:pStyle w:val="ListBullet"/>
      </w:pPr>
      <w:r>
        <w:t>Comestible y Cosmetico extienden Producto directamente, cada uno con un atributo propio (si requiere refrigeración; la marca).</w:t>
      </w:r>
    </w:p>
    <w:p>
      <w:pPr>
        <w:pStyle w:val="ListBullet"/>
      </w:pPr>
      <w:r>
        <w:t>Servicio implementa IPagable directamente, sin pasar por Producto: no tiene stock ni vencimiento, solo nombre, descripción y precio.</w:t>
      </w:r>
    </w:p>
    <w:p>
      <w:pPr>
        <w:pStyle w:val="ListBullet"/>
      </w:pPr>
      <w:r>
        <w:t>Persona (abstracta): nombre, cédula, teléfono, correo.</w:t>
      </w:r>
    </w:p>
    <w:p>
      <w:pPr>
        <w:pStyle w:val="ListBullet"/>
      </w:pPr>
      <w:r>
        <w:t>Cliente extiende Persona y agrega los puntos de fidelidad.</w:t>
      </w:r>
    </w:p>
    <w:p>
      <w:pPr>
        <w:pStyle w:val="ListBullet"/>
      </w:pPr>
      <w:r>
        <w:t>Usuario extiende Persona y agrega las credenciales de acceso.</w:t>
      </w:r>
    </w:p>
    <w:p>
      <w:r>
        <w:t>Laboratorio guarda los datos de un fabricante (nombre, dirección, teléfono) y se comparte entre todos los medicamentos del mismo laboratorio, en vez de repetirse. Venta guarda la fecha, la cantidad y qué IPagable se vendió.</w:t>
      </w:r>
    </w:p>
    <w:p/>
    <w:p>
      <w:pPr>
        <w:pStyle w:val="Heading1"/>
      </w:pPr>
      <w:r>
        <w:rPr>
          <w:color w:val="1F3B57"/>
        </w:rPr>
        <w:t>3. Qué patrones hay, dónde viven y cómo se relacionan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
              <w:rPr>
                <w:b/>
                <w:color w:val="FFFFFF"/>
                <w:sz w:val="19"/>
              </w:rPr>
              <w:t>Patrón / rol</w:t>
            </w:r>
          </w:p>
        </w:tc>
        <w:tc>
          <w:tcPr>
            <w:tcW w:type="dxa" w:w="2160"/>
            <w:shd w:val="clear" w:color="auto" w:fill="1F3B57"/>
          </w:tcPr>
          <w:p>
            <w:r/>
            <w:r>
              <w:rPr>
                <w:b/>
                <w:color w:val="FFFFFF"/>
                <w:sz w:val="19"/>
              </w:rPr>
              <w:t>Dónde vive (paquete)</w:t>
            </w:r>
          </w:p>
        </w:tc>
        <w:tc>
          <w:tcPr>
            <w:tcW w:type="dxa" w:w="2160"/>
            <w:shd w:val="clear" w:color="auto" w:fill="1F3B57"/>
          </w:tcPr>
          <w:p>
            <w:r/>
            <w:r>
              <w:rPr>
                <w:b/>
                <w:color w:val="FFFFFF"/>
                <w:sz w:val="19"/>
              </w:rPr>
              <w:t>Piezas principales</w:t>
            </w:r>
          </w:p>
        </w:tc>
        <w:tc>
          <w:tcPr>
            <w:tcW w:type="dxa" w:w="2160"/>
            <w:shd w:val="clear" w:color="auto" w:fill="1F3B57"/>
          </w:tcPr>
          <w:p>
            <w:r/>
            <w:r>
              <w:rPr>
                <w:b/>
                <w:color w:val="FFFFFF"/>
                <w:sz w:val="19"/>
              </w:rPr>
              <w:t>Se conecta con</w:t>
            </w:r>
          </w:p>
        </w:tc>
      </w:tr>
      <w:tr>
        <w:tc>
          <w:tcPr>
            <w:tcW w:type="dxa" w:w="2160"/>
          </w:tcPr>
          <w:p>
            <w:r/>
            <w:r>
              <w:rPr>
                <w:b/>
                <w:sz w:val="19"/>
              </w:rPr>
              <w:t>Factory Method — crea cada tipo de producto/servicio sin un condicional central</w:t>
            </w:r>
          </w:p>
        </w:tc>
        <w:tc>
          <w:tcPr>
            <w:tcW w:type="dxa" w:w="2160"/>
          </w:tcPr>
          <w:p>
            <w:r/>
            <w:r>
              <w:rPr>
                <w:rFonts w:ascii="Consolas" w:hAnsi="Consolas"/>
                <w:b w:val="0"/>
                <w:sz w:val="19"/>
              </w:rPr>
              <w:t>aplicacion.fabricas</w:t>
            </w:r>
          </w:p>
        </w:tc>
        <w:tc>
          <w:tcPr>
            <w:tcW w:type="dxa" w:w="2160"/>
          </w:tcPr>
          <w:p>
            <w:r/>
            <w:r>
              <w:rPr>
                <w:b w:val="0"/>
                <w:sz w:val="19"/>
              </w:rPr>
              <w:t>IPagableFactory (creador base) + ComestibleFactory, CosmeticoFactory, ServicioFactory, MedicamentoCapsulaFactory, MedicamentoLiquidoFactory, MedicamentoCapsulaFormatoAntiguoFactory (creadores concretos) + RegistradorFabricasIPagable (despachador por discriminador, implementa IFabricaPagable en dominio.puertos)</w:t>
            </w:r>
          </w:p>
        </w:tc>
        <w:tc>
          <w:tcPr>
            <w:tcW w:type="dxa" w:w="2160"/>
          </w:tcPr>
          <w:p>
            <w:r/>
            <w:r>
              <w:rPr>
                <w:b w:val="0"/>
                <w:sz w:val="19"/>
              </w:rPr>
              <w:t>Flyweight (3 de las 6 fábricas consultan LaboratorioFlyweightFactory en vez de instanciar Laboratorio); lo consume CargarPagables vía el puerto IFabricaPagable</w:t>
            </w:r>
          </w:p>
        </w:tc>
      </w:tr>
      <w:tr>
        <w:tc>
          <w:tcPr>
            <w:tcW w:type="dxa" w:w="2160"/>
          </w:tcPr>
          <w:p>
            <w:r/>
            <w:r>
              <w:rPr>
                <w:b/>
                <w:sz w:val="19"/>
              </w:rPr>
              <w:t>Flyweight — comparte los datos de un mismo laboratorio en vez de duplicarlos</w:t>
            </w:r>
          </w:p>
        </w:tc>
        <w:tc>
          <w:tcPr>
            <w:tcW w:type="dxa" w:w="2160"/>
          </w:tcPr>
          <w:p>
            <w:r/>
            <w:r>
              <w:rPr>
                <w:rFonts w:ascii="Consolas" w:hAnsi="Consolas"/>
                <w:b w:val="0"/>
                <w:sz w:val="19"/>
              </w:rPr>
              <w:t>aplicacion.fabricas (fábrica) + dominio.catalogo (objeto compartido)</w:t>
            </w:r>
          </w:p>
        </w:tc>
        <w:tc>
          <w:tcPr>
            <w:tcW w:type="dxa" w:w="2160"/>
          </w:tcPr>
          <w:p>
            <w:r/>
            <w:r>
              <w:rPr>
                <w:b w:val="0"/>
                <w:sz w:val="19"/>
              </w:rPr>
              <w:t>LaboratorioFlyweightFactory (cachea por nombre) + Laboratorio</w:t>
            </w:r>
          </w:p>
        </w:tc>
        <w:tc>
          <w:tcPr>
            <w:tcW w:type="dxa" w:w="2160"/>
          </w:tcPr>
          <w:p>
            <w:r/>
            <w:r>
              <w:rPr>
                <w:b w:val="0"/>
                <w:sz w:val="19"/>
              </w:rPr>
              <w:t>Lo usan MedicamentoCapsulaFactory, MedicamentoLiquidoFactory y MedicamentoCapsulaFormatoAntiguoFactory</w:t>
            </w:r>
          </w:p>
        </w:tc>
      </w:tr>
      <w:tr>
        <w:tc>
          <w:tcPr>
            <w:tcW w:type="dxa" w:w="2160"/>
          </w:tcPr>
          <w:p>
            <w:r/>
            <w:r>
              <w:rPr>
                <w:b/>
                <w:sz w:val="19"/>
              </w:rPr>
              <w:t>Builder + Director — arma la aplicación completa paso a paso</w:t>
            </w:r>
          </w:p>
        </w:tc>
        <w:tc>
          <w:tcPr>
            <w:tcW w:type="dxa" w:w="2160"/>
          </w:tcPr>
          <w:p>
            <w:r/>
            <w:r>
              <w:rPr>
                <w:rFonts w:ascii="Consolas" w:hAnsi="Consolas"/>
                <w:b w:val="0"/>
                <w:sz w:val="19"/>
              </w:rPr>
              <w:t>aplicacion.construccion</w:t>
            </w:r>
          </w:p>
        </w:tc>
        <w:tc>
          <w:tcPr>
            <w:tcW w:type="dxa" w:w="2160"/>
          </w:tcPr>
          <w:p>
            <w:r/>
            <w:r>
              <w:rPr>
                <w:b w:val="0"/>
                <w:sz w:val="19"/>
              </w:rPr>
              <w:t>IAplicacionFarmaciaBuilder (contrato) + AplicacionFarmaciaBuilder (constructor concreto: infraestructura → repositorios → casos de uso) + EnsambladorAplicacion (director: conoce el orden, no el detalle)</w:t>
            </w:r>
          </w:p>
        </w:tc>
        <w:tc>
          <w:tcPr>
            <w:tcW w:type="dxa" w:w="2160"/>
          </w:tcPr>
          <w:p>
            <w:r/>
            <w:r>
              <w:rPr>
                <w:b w:val="0"/>
                <w:sz w:val="19"/>
              </w:rPr>
              <w:t>Lo instancia y lo usa Main (composition root); entrega una AplicacionFarmacia ya armada</w:t>
            </w:r>
          </w:p>
        </w:tc>
      </w:tr>
      <w:tr>
        <w:tc>
          <w:tcPr>
            <w:tcW w:type="dxa" w:w="2160"/>
          </w:tcPr>
          <w:p>
            <w:r/>
            <w:r>
              <w:rPr>
                <w:b/>
                <w:sz w:val="19"/>
              </w:rPr>
              <w:t>Facade — punto único de entrada a los casos de uso</w:t>
            </w:r>
          </w:p>
        </w:tc>
        <w:tc>
          <w:tcPr>
            <w:tcW w:type="dxa" w:w="2160"/>
          </w:tcPr>
          <w:p>
            <w:r/>
            <w:r>
              <w:rPr>
                <w:rFonts w:ascii="Consolas" w:hAnsi="Consolas"/>
                <w:b w:val="0"/>
                <w:sz w:val="19"/>
              </w:rPr>
              <w:t>aplicacion.fachada</w:t>
            </w:r>
          </w:p>
        </w:tc>
        <w:tc>
          <w:tcPr>
            <w:tcW w:type="dxa" w:w="2160"/>
          </w:tcPr>
          <w:p>
            <w:r/>
            <w:r>
              <w:rPr>
                <w:b w:val="0"/>
                <w:sz w:val="19"/>
              </w:rPr>
              <w:t>AplicacionFarmacia: expone un método por operación de negocio, cada uno delega en un único caso de uso (una sola línea, nunca decide)</w:t>
            </w:r>
          </w:p>
        </w:tc>
        <w:tc>
          <w:tcPr>
            <w:tcW w:type="dxa" w:w="2160"/>
          </w:tcPr>
          <w:p>
            <w:r/>
            <w:r>
              <w:rPr>
                <w:b w:val="0"/>
                <w:sz w:val="19"/>
              </w:rPr>
              <w:t>La arma AplicacionFarmaciaBuilder; la consume únicamente MenuFarmacia</w:t>
            </w:r>
          </w:p>
        </w:tc>
      </w:tr>
      <w:tr>
        <w:tc>
          <w:tcPr>
            <w:tcW w:type="dxa" w:w="2160"/>
          </w:tcPr>
          <w:p>
            <w:r/>
            <w:r>
              <w:rPr>
                <w:b/>
                <w:sz w:val="19"/>
              </w:rPr>
              <w:t>Visitor — operaciones que dependen de si el ítem vendible es Producto o Servicio</w:t>
            </w:r>
          </w:p>
        </w:tc>
        <w:tc>
          <w:tcPr>
            <w:tcW w:type="dxa" w:w="2160"/>
          </w:tcPr>
          <w:p>
            <w:r/>
            <w:r>
              <w:rPr>
                <w:rFonts w:ascii="Consolas" w:hAnsi="Consolas"/>
                <w:b w:val="0"/>
                <w:sz w:val="19"/>
              </w:rPr>
              <w:t>aplicacion.visitantes (visitantes concretos) + dominio.interfaces (contrato)</w:t>
            </w:r>
          </w:p>
        </w:tc>
        <w:tc>
          <w:tcPr>
            <w:tcW w:type="dxa" w:w="2160"/>
          </w:tcPr>
          <w:p>
            <w:r/>
            <w:r>
              <w:rPr>
                <w:b w:val="0"/>
                <w:sz w:val="19"/>
              </w:rPr>
              <w:t>IPagableVisitor&lt;R&gt; + VisitanteAfectacionVenta, VisitanteAlertaStock, VisitanteAlertaVencimiento, VisitanteComoProducto; Producto y Servicio implementan aceptar(visitante)</w:t>
            </w:r>
          </w:p>
        </w:tc>
        <w:tc>
          <w:tcPr>
            <w:tcW w:type="dxa" w:w="2160"/>
          </w:tcPr>
          <w:p>
            <w:r/>
            <w:r>
              <w:rPr>
                <w:b w:val="0"/>
                <w:sz w:val="19"/>
              </w:rPr>
              <w:t>Lo usan RegistrarVenta, VerificarAlertas y ListarProductos en vez de usar instanceof/cast</w:t>
            </w:r>
          </w:p>
        </w:tc>
      </w:tr>
      <w:tr>
        <w:tc>
          <w:tcPr>
            <w:tcW w:type="dxa" w:w="2160"/>
          </w:tcPr>
          <w:p>
            <w:r/>
            <w:r>
              <w:rPr>
                <w:b/>
                <w:sz w:val="19"/>
              </w:rPr>
              <w:t>Template Method — un solo esqueleto para cargar archivos de texto</w:t>
            </w:r>
          </w:p>
        </w:tc>
        <w:tc>
          <w:tcPr>
            <w:tcW w:type="dxa" w:w="2160"/>
          </w:tcPr>
          <w:p>
            <w:r/>
            <w:r>
              <w:rPr>
                <w:rFonts w:ascii="Consolas" w:hAnsi="Consolas"/>
                <w:b w:val="0"/>
                <w:sz w:val="19"/>
              </w:rPr>
              <w:t>aplicacion.casosdeuso</w:t>
            </w:r>
          </w:p>
        </w:tc>
        <w:tc>
          <w:tcPr>
            <w:tcW w:type="dxa" w:w="2160"/>
          </w:tcPr>
          <w:p>
            <w:r/>
            <w:r>
              <w:rPr>
                <w:b w:val="0"/>
                <w:sz w:val="19"/>
              </w:rPr>
              <w:t>CargadorArchivos (algoritmo general, abstracta) + CargarClientes, CargarUsuarios (solo redefinen cómo se construye el objeto y los mensajes)</w:t>
            </w:r>
          </w:p>
        </w:tc>
        <w:tc>
          <w:tcPr>
            <w:tcW w:type="dxa" w:w="2160"/>
          </w:tcPr>
          <w:p>
            <w:r/>
            <w:r>
              <w:rPr>
                <w:b w:val="0"/>
                <w:sz w:val="19"/>
              </w:rPr>
              <w:t>Ambas dependen de IFuenteTexto (dominio.puertos)</w:t>
            </w:r>
          </w:p>
        </w:tc>
      </w:tr>
    </w:tbl>
    <w:p/>
    <w:p>
      <w:pPr>
        <w:pStyle w:val="Heading1"/>
      </w:pPr>
      <w:r>
        <w:rPr>
          <w:color w:val="1F3B57"/>
        </w:rPr>
        <w:t>4. Cómo se ensambla el sistema</w:t>
      </w:r>
    </w:p>
    <w:p>
      <w:r>
        <w:t>Main es el único composition root: crea un AplicacionFarmaciaBuilder y un EnsambladorAplicacion, y le pide al director que ensamble la aplicación. El director ejecuta siempre los mismos cuatro pasos, en este orden, sobre el builder concreto que recibe:</w:t>
      </w:r>
    </w:p>
    <w:p>
      <w:pPr>
        <w:pStyle w:val="ListNumber"/>
      </w:pPr>
      <w:r>
        <w:t>comenzar() — deja al builder en un estado limpio.</w:t>
      </w:r>
    </w:p>
    <w:p>
      <w:pPr>
        <w:pStyle w:val="ListNumber"/>
      </w:pPr>
      <w:r>
        <w:t>construirInfraestructura() — decide qué implementación concreta se usa para leer archivos, crear productos/servicios y notificar (hoy: archivo de texto, RegistradorFabricasIPagable, consola).</w:t>
      </w:r>
    </w:p>
    <w:p>
      <w:pPr>
        <w:pStyle w:val="ListNumber"/>
      </w:pPr>
      <w:r>
        <w:t>construirRepositorios() — decide dónde se guardan productos, clientes, usuarios y ventas (hoy: en memoria).</w:t>
      </w:r>
    </w:p>
    <w:p>
      <w:pPr>
        <w:pStyle w:val="ListNumber"/>
      </w:pPr>
      <w:r>
        <w:t>construirCasosDeUso() — arma cada caso de uso con las piezas anteriores, y con ellos arma la AplicacionFarmacia.</w:t>
      </w:r>
    </w:p>
    <w:p>
      <w:r>
        <w:t>Al terminar, obtenerResultado() entrega la AplicacionFarmacia ya lista, que Main pasa a MenuFarmacia junto con las tres rutas de archivo (productos/servicios, clientes, usuarios).</w:t>
      </w:r>
    </w:p>
    <w:p>
      <w:r>
        <w:rPr>
          <w:b/>
        </w:rPr>
        <w:t>Si necesitas cambiar QUÉ implementación concreta se usa para algo (otro canal de aviso, otro almacenamiento, otra fuente de datos), el único lugar donde eso se decide es AplicacionFarmaciaBuilder. Ningún caso de uso ni la fachada deberían enterarse de ese cambio.</w:t>
      </w:r>
    </w:p>
    <w:p/>
    <w:p>
      <w:pPr>
        <w:pStyle w:val="Heading1"/>
      </w:pPr>
      <w:r>
        <w:rPr>
          <w:color w:val="1F3B57"/>
        </w:rPr>
        <w:t>5. Recorrido real, paso a paso: registrar una venta</w:t>
      </w:r>
    </w:p>
    <w:p>
      <w:r>
        <w:t>Sirve como ejemplo de cómo se conectan las piezas anteriores en la práctica. Es exactamente lo que pasa en el código cuando alguien vende algo:</w:t>
      </w:r>
    </w:p>
    <w:p>
      <w:pPr>
        <w:pStyle w:val="ListNumber"/>
      </w:pPr>
      <w:r>
        <w:t>MenuFarmacia recibe el nombre del ítem y la cantidad, y llama a AplicacionFarmacia.registrarVenta(nombreParcial, cantidad).</w:t>
      </w:r>
    </w:p>
    <w:p>
      <w:pPr>
        <w:pStyle w:val="ListNumber"/>
      </w:pPr>
      <w:r>
        <w:t>AplicacionFarmacia no decide nada: delega en RegistrarVenta.ejecutar(nombreParcial, cantidad).</w:t>
      </w:r>
    </w:p>
    <w:p>
      <w:pPr>
        <w:pStyle w:val="ListNumber"/>
      </w:pPr>
      <w:r>
        <w:t>RegistrarVenta busca el ítem con repositorioProducto.buscarPorNombreParcial(nombreParcial), a través del puerto IRepositorioPagable — no sabe ni le importa si eso vive en memoria o en otro lado.</w:t>
      </w:r>
    </w:p>
    <w:p>
      <w:pPr>
        <w:pStyle w:val="ListNumber"/>
      </w:pPr>
      <w:r>
        <w:t>Si lo encuentra, le pide al propio ítem que se aplique el efecto de la venta: pagableAVender.aceptar(new VisitanteAfectacionVenta(cantidad)). Sin preguntar de qué tipo es, el ítem decide: un Producto descuenta su stock, un Servicio no hace nada porque no maneja inventario.</w:t>
      </w:r>
    </w:p>
    <w:p>
      <w:pPr>
        <w:pStyle w:val="ListNumber"/>
      </w:pPr>
      <w:r>
        <w:t>Se crea una Venta con la fecha, la cantidad y el ítem vendido, y se guarda con repositorioVenta.registrar(venta), a través del puerto IRepositorioVenta.</w:t>
      </w:r>
    </w:p>
    <w:p>
      <w:pPr>
        <w:pStyle w:val="ListNumber"/>
      </w:pPr>
      <w:r>
        <w:t>Se avisa que la venta quedó registrada con notificador.ventaRegistrada(), a través del puerto INotificadorVentas.</w:t>
      </w:r>
    </w:p>
    <w:p>
      <w:pPr>
        <w:pStyle w:val="ListNumber"/>
      </w:pPr>
      <w:r>
        <w:t>El resultado (true si se pudo vender, false si no se encontró el ítem) sube de vuelta hasta MenuFarmacia.</w:t>
      </w:r>
    </w:p>
    <w:p>
      <w:r>
        <w:rPr>
          <w:i/>
          <w:color w:val="555555"/>
          <w:sz w:val="19"/>
        </w:rPr>
        <w:t>En este único recorrido participan cuatro patrones a la vez: Facade (paso 2), un puerto de dominio (paso 3), Visitor (paso 4) y otro puerto de dominio (pasos 5 y 6). Así se conectan entre sí en la práctica.</w:t>
      </w:r>
    </w:p>
    <w:p/>
    <w:p>
      <w:pPr>
        <w:pStyle w:val="Heading1"/>
      </w:pPr>
      <w:r>
        <w:rPr>
          <w:color w:val="1F3B57"/>
        </w:rPr>
        <w:t>6. Formato real de los datos de entrada</w:t>
      </w:r>
    </w:p>
    <w:p>
      <w:r>
        <w:t>El sistema carga tres archivos de texto plano, con campos separados por punto y coma. Estos son los formatos reales, con un ejemplo de cada uno: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B57"/>
          </w:tcPr>
          <w:p>
            <w:r/>
            <w:r>
              <w:rPr>
                <w:b/>
                <w:color w:val="FFFFFF"/>
                <w:sz w:val="19"/>
              </w:rPr>
              <w:t>Archivo</w:t>
            </w:r>
          </w:p>
        </w:tc>
        <w:tc>
          <w:tcPr>
            <w:tcW w:type="dxa" w:w="2880"/>
            <w:shd w:val="clear" w:color="auto" w:fill="1F3B57"/>
          </w:tcPr>
          <w:p>
            <w:r/>
            <w:r>
              <w:rPr>
                <w:b/>
                <w:color w:val="FFFFFF"/>
                <w:sz w:val="19"/>
              </w:rPr>
              <w:t>Formato</w:t>
            </w:r>
          </w:p>
        </w:tc>
        <w:tc>
          <w:tcPr>
            <w:tcW w:type="dxa" w:w="2880"/>
            <w:shd w:val="clear" w:color="auto" w:fill="1F3B57"/>
          </w:tcPr>
          <w:p>
            <w:r/>
            <w:r>
              <w:rPr>
                <w:b/>
                <w:color w:val="FFFFFF"/>
                <w:sz w:val="19"/>
              </w:rPr>
              <w:t>Ejemplo real</w:t>
            </w:r>
          </w:p>
        </w:tc>
      </w:tr>
      <w:tr>
        <w:tc>
          <w:tcPr>
            <w:tcW w:type="dxa" w:w="2880"/>
          </w:tcPr>
          <w:p>
            <w:r/>
            <w:r>
              <w:rPr>
                <w:b/>
                <w:sz w:val="19"/>
              </w:rPr>
              <w:t>clientes.txt</w:t>
            </w:r>
          </w:p>
        </w:tc>
        <w:tc>
          <w:tcPr>
            <w:tcW w:type="dxa" w:w="2880"/>
          </w:tcPr>
          <w:p>
            <w:r/>
            <w:r>
              <w:rPr>
                <w:rFonts w:ascii="Consolas" w:hAnsi="Consolas"/>
                <w:b w:val="0"/>
                <w:sz w:val="19"/>
              </w:rPr>
              <w:t>nombre;cedula;telefono;correo</w:t>
            </w:r>
          </w:p>
        </w:tc>
        <w:tc>
          <w:tcPr>
            <w:tcW w:type="dxa" w:w="2880"/>
          </w:tcPr>
          <w:p>
            <w:r/>
            <w:r>
              <w:rPr>
                <w:rFonts w:ascii="Consolas" w:hAnsi="Consolas"/>
                <w:b w:val="0"/>
                <w:sz w:val="19"/>
              </w:rPr>
              <w:t>Carlos;1089012345;3001111111;carlos@gmail.com</w:t>
            </w:r>
          </w:p>
        </w:tc>
      </w:tr>
      <w:tr>
        <w:tc>
          <w:tcPr>
            <w:tcW w:type="dxa" w:w="2880"/>
          </w:tcPr>
          <w:p>
            <w:r/>
            <w:r>
              <w:rPr>
                <w:b/>
                <w:sz w:val="19"/>
              </w:rPr>
              <w:t>usuarios.txt</w:t>
            </w:r>
          </w:p>
        </w:tc>
        <w:tc>
          <w:tcPr>
            <w:tcW w:type="dxa" w:w="2880"/>
          </w:tcPr>
          <w:p>
            <w:r/>
            <w:r>
              <w:rPr>
                <w:rFonts w:ascii="Consolas" w:hAnsi="Consolas"/>
                <w:b w:val="0"/>
                <w:sz w:val="19"/>
              </w:rPr>
              <w:t>nombre;cedula;telefono;correo;usuario;contrasena</w:t>
            </w:r>
          </w:p>
        </w:tc>
        <w:tc>
          <w:tcPr>
            <w:tcW w:type="dxa" w:w="2880"/>
          </w:tcPr>
          <w:p>
            <w:r/>
            <w:r>
              <w:rPr>
                <w:rFonts w:ascii="Consolas" w:hAnsi="Consolas"/>
                <w:b w:val="0"/>
                <w:sz w:val="19"/>
              </w:rPr>
              <w:t>Administrador;1032456789;3000000000;admin@gmail.com;admin;1234</w:t>
            </w:r>
          </w:p>
        </w:tc>
      </w:tr>
      <w:tr>
        <w:tc>
          <w:tcPr>
            <w:tcW w:type="dxa" w:w="2880"/>
          </w:tcPr>
          <w:p>
            <w:r/>
            <w:r>
              <w:rPr>
                <w:b/>
                <w:sz w:val="19"/>
              </w:rPr>
              <w:t>pagables.txt (sin discriminador)</w:t>
            </w:r>
          </w:p>
        </w:tc>
        <w:tc>
          <w:tcPr>
            <w:tcW w:type="dxa" w:w="2880"/>
          </w:tcPr>
          <w:p>
            <w:r/>
            <w:r>
              <w:rPr>
                <w:rFonts w:ascii="Consolas" w:hAnsi="Consolas"/>
                <w:b w:val="0"/>
                <w:sz w:val="19"/>
              </w:rPr>
              <w:t>nombre;precio;stock;stockMin;fecha;laboratorio (formato original, cae en MedicamentoCapsulaFormatoAntiguoFactory)</w:t>
            </w:r>
          </w:p>
        </w:tc>
        <w:tc>
          <w:tcPr>
            <w:tcW w:type="dxa" w:w="2880"/>
          </w:tcPr>
          <w:p>
            <w:r/>
            <w:r>
              <w:rPr>
                <w:rFonts w:ascii="Consolas" w:hAnsi="Consolas"/>
                <w:b w:val="0"/>
                <w:sz w:val="19"/>
              </w:rPr>
              <w:t>Dolex;5000;2;5;2025-10-10;MK</w:t>
            </w:r>
          </w:p>
        </w:tc>
      </w:tr>
      <w:tr>
        <w:tc>
          <w:tcPr>
            <w:tcW w:type="dxa" w:w="2880"/>
          </w:tcPr>
          <w:p>
            <w:r/>
            <w:r>
              <w:rPr>
                <w:b/>
                <w:sz w:val="19"/>
              </w:rPr>
              <w:t>pagables.txt (MED_CAP)</w:t>
            </w:r>
          </w:p>
        </w:tc>
        <w:tc>
          <w:tcPr>
            <w:tcW w:type="dxa" w:w="2880"/>
          </w:tcPr>
          <w:p>
            <w:r/>
            <w:r>
              <w:rPr>
                <w:rFonts w:ascii="Consolas" w:hAnsi="Consolas"/>
                <w:b w:val="0"/>
                <w:sz w:val="19"/>
              </w:rPr>
              <w:t>MED_CAP;nombre;precio;stock;stockMin;fecha;laboratorio;relleno</w:t>
            </w:r>
          </w:p>
        </w:tc>
        <w:tc>
          <w:tcPr>
            <w:tcW w:type="dxa" w:w="2880"/>
          </w:tcPr>
          <w:p>
            <w:r/>
            <w:r>
              <w:rPr>
                <w:rFonts w:ascii="Consolas" w:hAnsi="Consolas"/>
                <w:b w:val="0"/>
                <w:sz w:val="19"/>
              </w:rPr>
              <w:t>—</w:t>
            </w:r>
          </w:p>
        </w:tc>
      </w:tr>
      <w:tr>
        <w:tc>
          <w:tcPr>
            <w:tcW w:type="dxa" w:w="2880"/>
          </w:tcPr>
          <w:p>
            <w:r/>
            <w:r>
              <w:rPr>
                <w:b/>
                <w:sz w:val="19"/>
              </w:rPr>
              <w:t>pagables.txt (MED_LIQ)</w:t>
            </w:r>
          </w:p>
        </w:tc>
        <w:tc>
          <w:tcPr>
            <w:tcW w:type="dxa" w:w="2880"/>
          </w:tcPr>
          <w:p>
            <w:r/>
            <w:r>
              <w:rPr>
                <w:rFonts w:ascii="Consolas" w:hAnsi="Consolas"/>
                <w:b w:val="0"/>
                <w:sz w:val="19"/>
              </w:rPr>
              <w:t>MED_LIQ;nombre;precio;stock;stockMin;fecha;laboratorio;envase;ml</w:t>
            </w:r>
          </w:p>
        </w:tc>
        <w:tc>
          <w:tcPr>
            <w:tcW w:type="dxa" w:w="2880"/>
          </w:tcPr>
          <w:p>
            <w:r/>
            <w:r>
              <w:rPr>
                <w:rFonts w:ascii="Consolas" w:hAnsi="Consolas"/>
                <w:b w:val="0"/>
                <w:sz w:val="19"/>
              </w:rPr>
              <w:t>—</w:t>
            </w:r>
          </w:p>
        </w:tc>
      </w:tr>
      <w:tr>
        <w:tc>
          <w:tcPr>
            <w:tcW w:type="dxa" w:w="2880"/>
          </w:tcPr>
          <w:p>
            <w:r/>
            <w:r>
              <w:rPr>
                <w:b/>
                <w:sz w:val="19"/>
              </w:rPr>
              <w:t>pagables.txt (COS)</w:t>
            </w:r>
          </w:p>
        </w:tc>
        <w:tc>
          <w:tcPr>
            <w:tcW w:type="dxa" w:w="2880"/>
          </w:tcPr>
          <w:p>
            <w:r/>
            <w:r>
              <w:rPr>
                <w:rFonts w:ascii="Consolas" w:hAnsi="Consolas"/>
                <w:b w:val="0"/>
                <w:sz w:val="19"/>
              </w:rPr>
              <w:t>COS;nombre;precio;stock;stockMin;fecha;marca</w:t>
            </w:r>
          </w:p>
        </w:tc>
        <w:tc>
          <w:tcPr>
            <w:tcW w:type="dxa" w:w="2880"/>
          </w:tcPr>
          <w:p>
            <w:r/>
            <w:r>
              <w:rPr>
                <w:rFonts w:ascii="Consolas" w:hAnsi="Consolas"/>
                <w:b w:val="0"/>
                <w:sz w:val="19"/>
              </w:rPr>
              <w:t>—</w:t>
            </w:r>
          </w:p>
        </w:tc>
      </w:tr>
      <w:tr>
        <w:tc>
          <w:tcPr>
            <w:tcW w:type="dxa" w:w="2880"/>
          </w:tcPr>
          <w:p>
            <w:r/>
            <w:r>
              <w:rPr>
                <w:b/>
                <w:sz w:val="19"/>
              </w:rPr>
              <w:t>pagables.txt (COM)</w:t>
            </w:r>
          </w:p>
        </w:tc>
        <w:tc>
          <w:tcPr>
            <w:tcW w:type="dxa" w:w="2880"/>
          </w:tcPr>
          <w:p>
            <w:r/>
            <w:r>
              <w:rPr>
                <w:rFonts w:ascii="Consolas" w:hAnsi="Consolas"/>
                <w:b w:val="0"/>
                <w:sz w:val="19"/>
              </w:rPr>
              <w:t>COM;nombre;precio;stock;stockMin;fecha;refrigerado(true|false)</w:t>
            </w:r>
          </w:p>
        </w:tc>
        <w:tc>
          <w:tcPr>
            <w:tcW w:type="dxa" w:w="2880"/>
          </w:tcPr>
          <w:p>
            <w:r/>
            <w:r>
              <w:rPr>
                <w:rFonts w:ascii="Consolas" w:hAnsi="Consolas"/>
                <w:b w:val="0"/>
                <w:sz w:val="19"/>
              </w:rPr>
              <w:t>—</w:t>
            </w:r>
          </w:p>
        </w:tc>
      </w:tr>
      <w:tr>
        <w:tc>
          <w:tcPr>
            <w:tcW w:type="dxa" w:w="2880"/>
          </w:tcPr>
          <w:p>
            <w:r/>
            <w:r>
              <w:rPr>
                <w:b/>
                <w:sz w:val="19"/>
              </w:rPr>
              <w:t>pagables.txt (SER)</w:t>
            </w:r>
          </w:p>
        </w:tc>
        <w:tc>
          <w:tcPr>
            <w:tcW w:type="dxa" w:w="2880"/>
          </w:tcPr>
          <w:p>
            <w:r/>
            <w:r>
              <w:rPr>
                <w:rFonts w:ascii="Consolas" w:hAnsi="Consolas"/>
                <w:b w:val="0"/>
                <w:sz w:val="19"/>
              </w:rPr>
              <w:t>SER;nombre;precio;descripcion</w:t>
            </w:r>
          </w:p>
        </w:tc>
        <w:tc>
          <w:tcPr>
            <w:tcW w:type="dxa" w:w="2880"/>
          </w:tcPr>
          <w:p>
            <w:r/>
            <w:r>
              <w:rPr>
                <w:rFonts w:ascii="Consolas" w:hAnsi="Consolas"/>
                <w:b w:val="0"/>
                <w:sz w:val="19"/>
              </w:rPr>
              <w:t>—</w:t>
            </w:r>
          </w:p>
        </w:tc>
      </w:tr>
    </w:tbl>
    <w:p>
      <w:r>
        <w:rPr>
          <w:color w:val="555555"/>
          <w:sz w:val="19"/>
        </w:rPr>
        <w:t>El discriminador (primer campo de la línea, antes del primer punto y coma) es lo que RegistradorFabricasIPagable usa para decidir qué fábrica concreta llamar. Agregar un discriminador nuevo es exactamente la primera fila de la guía de cambios, en la sección 9.</w:t>
      </w:r>
    </w:p>
    <w:p/>
    <w:p>
      <w:pPr>
        <w:pStyle w:val="Heading1"/>
      </w:pPr>
      <w:r>
        <w:rPr>
          <w:color w:val="1F3B57"/>
        </w:rPr>
        <w:t>7. Reglas que no se deben romper, y por qué</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B57"/>
          </w:tcPr>
          <w:p>
            <w:r/>
            <w:r>
              <w:rPr>
                <w:b/>
                <w:color w:val="FFFFFF"/>
                <w:sz w:val="19"/>
              </w:rPr>
              <w:t>Regla</w:t>
            </w:r>
          </w:p>
        </w:tc>
        <w:tc>
          <w:tcPr>
            <w:tcW w:type="dxa" w:w="4320"/>
            <w:shd w:val="clear" w:color="auto" w:fill="1F3B57"/>
          </w:tcPr>
          <w:p>
            <w:r/>
            <w:r>
              <w:rPr>
                <w:b/>
                <w:color w:val="FFFFFF"/>
                <w:sz w:val="19"/>
              </w:rPr>
              <w:t>Por qué existe</w:t>
            </w:r>
          </w:p>
        </w:tc>
      </w:tr>
      <w:tr>
        <w:tc>
          <w:tcPr>
            <w:tcW w:type="dxa" w:w="4320"/>
          </w:tcPr>
          <w:p>
            <w:r/>
            <w:r>
              <w:rPr>
                <w:b w:val="0"/>
                <w:sz w:val="19"/>
              </w:rPr>
              <w:t>Todo lo vendible implementa IPagable; los casos de uso y la fachada dependen de IPagable, nunca directamente de Producto o Servicio.</w:t>
            </w:r>
          </w:p>
        </w:tc>
        <w:tc>
          <w:tcPr>
            <w:tcW w:type="dxa" w:w="4320"/>
          </w:tcPr>
          <w:p>
            <w:r/>
            <w:r>
              <w:rPr>
                <w:b w:val="0"/>
                <w:sz w:val="19"/>
              </w:rPr>
              <w:t>Es lo que permite tratar productos y servicios de forma uniforme en listados, ventas y en el Visitor. Depender del tipo concreto obligaría a duplicar esa lógica para cada tipo.</w:t>
            </w:r>
          </w:p>
        </w:tc>
      </w:tr>
      <w:tr>
        <w:tc>
          <w:tcPr>
            <w:tcW w:type="dxa" w:w="4320"/>
          </w:tcPr>
          <w:p>
            <w:r/>
            <w:r>
              <w:rPr>
                <w:b w:val="0"/>
                <w:sz w:val="19"/>
              </w:rPr>
              <w:t>Cada fábrica concreta nueva debe registrarse en RegistradorFabricasIPagable bajo su propio discriminador.</w:t>
            </w:r>
          </w:p>
        </w:tc>
        <w:tc>
          <w:tcPr>
            <w:tcW w:type="dxa" w:w="4320"/>
          </w:tcPr>
          <w:p>
            <w:r/>
            <w:r>
              <w:rPr>
                <w:b w:val="0"/>
                <w:sz w:val="19"/>
              </w:rPr>
              <w:t>Es el único lugar donde el discriminador de la línea se conecta con la fábrica que sabe construir ese tipo; sin ese registro, esa categoría no tiene forma de crearse.</w:t>
            </w:r>
          </w:p>
        </w:tc>
      </w:tr>
      <w:tr>
        <w:tc>
          <w:tcPr>
            <w:tcW w:type="dxa" w:w="4320"/>
          </w:tcPr>
          <w:p>
            <w:r/>
            <w:r>
              <w:rPr>
                <w:b w:val="0"/>
                <w:sz w:val="19"/>
              </w:rPr>
              <w:t>Los casos de uso solo dependen de las interfaces en dominio.puertos, nunca de una clase concreta de infraestructura.persistencia.</w:t>
            </w:r>
          </w:p>
        </w:tc>
        <w:tc>
          <w:tcPr>
            <w:tcW w:type="dxa" w:w="4320"/>
          </w:tcPr>
          <w:p>
            <w:r/>
            <w:r>
              <w:rPr>
                <w:b w:val="0"/>
                <w:sz w:val="19"/>
              </w:rPr>
              <w:t>Es lo único que permite reemplazar el almacenamiento en memoria por uno real sin tocar ni una línea de lógica de negocio.</w:t>
            </w:r>
          </w:p>
        </w:tc>
      </w:tr>
      <w:tr>
        <w:tc>
          <w:tcPr>
            <w:tcW w:type="dxa" w:w="4320"/>
          </w:tcPr>
          <w:p>
            <w:r/>
            <w:r>
              <w:rPr>
                <w:b w:val="0"/>
                <w:sz w:val="19"/>
              </w:rPr>
              <w:t>Cada método público de AplicacionFarmacia hace una sola cosa: delega en un caso de uso (una línea). Nunca decide ni combina resultados de dos casos de uso.</w:t>
            </w:r>
          </w:p>
        </w:tc>
        <w:tc>
          <w:tcPr>
            <w:tcW w:type="dxa" w:w="4320"/>
          </w:tcPr>
          <w:p>
            <w:r/>
            <w:r>
              <w:rPr>
                <w:b w:val="0"/>
                <w:sz w:val="19"/>
              </w:rPr>
              <w:t>Es lo que mantiene a la fachada como un simple punto de entrada; si empezara a decidir o combinar lógica, esa responsabilidad terminaría repartida en dos lugares distintos del código.</w:t>
            </w:r>
          </w:p>
        </w:tc>
      </w:tr>
      <w:tr>
        <w:tc>
          <w:tcPr>
            <w:tcW w:type="dxa" w:w="4320"/>
          </w:tcPr>
          <w:p>
            <w:r/>
            <w:r>
              <w:rPr>
                <w:b w:val="0"/>
                <w:sz w:val="19"/>
              </w:rPr>
              <w:t>El Builder existente construye la aplicación (infraestructura + casos de uso), nunca entidades de dominio (Producto, Cliente, etc.).</w:t>
            </w:r>
          </w:p>
        </w:tc>
        <w:tc>
          <w:tcPr>
            <w:tcW w:type="dxa" w:w="4320"/>
          </w:tcPr>
          <w:p>
            <w:r/>
            <w:r>
              <w:rPr>
                <w:b w:val="0"/>
                <w:sz w:val="19"/>
              </w:rPr>
              <w:t>Las entidades de dominio siguen validando en su propio constructor; ese es el lugar donde deben seguir viviendo esas reglas, no en un builder aparte.</w:t>
            </w:r>
          </w:p>
        </w:tc>
      </w:tr>
    </w:tbl>
    <w:p/>
    <w:p>
      <w:pPr>
        <w:pStyle w:val="Heading1"/>
      </w:pPr>
      <w:r>
        <w:rPr>
          <w:color w:val="1F3B57"/>
        </w:rPr>
        <w:t>8. Decisiones que quedan abiertas para el futuro</w:t>
      </w:r>
    </w:p>
    <w:p>
      <w:r>
        <w:t>Estas no son fallas ni pendientes urgentes: son puntos donde ya se dejó el camino preparado para cuando el negocio lo pida, y vale la pena que quien siga desarrollando los conozca de antemano.</w:t>
      </w:r>
    </w:p>
    <w:p>
      <w:pPr>
        <w:pStyle w:val="ListBullet"/>
      </w:pPr>
      <w:r>
        <w:t>Los repositorios en memoria son la implementación actual de los puertos de persistencia. El día que el negocio necesite guardar la información de forma permanente, se agrega una implementación nueva de cada puerto (fila correspondiente en la guía de cambios) sin tocar el resto del sistema.</w:t>
      </w:r>
    </w:p>
    <w:p>
      <w:pPr>
        <w:pStyle w:val="ListBullet"/>
      </w:pPr>
      <w:r>
        <w:t>La solicitud de convenios con entidades para descuentos y crédito todavía no tiene una implementación. Queda descrita, con la ruta completa de qué crear y qué modificar, en la guía de cambios de la sección 9.</w:t>
      </w:r>
    </w:p>
    <w:p>
      <w:pPr>
        <w:pStyle w:val="ListBullet"/>
      </w:pPr>
      <w:r>
        <w:t>La fachada centraliza hoy las operaciones de un único consumidor (el menú de consola). Si en el futuro aparece un segundo consumidor con necesidades distintas (por ejemplo, una API), ese es el momento natural de dividirla en interfaces más específicas.</w:t>
      </w:r>
    </w:p>
    <w:p>
      <w:pPr>
        <w:pStyle w:val="ListBullet"/>
      </w:pPr>
      <w:r>
        <w:t>Los colores de aviso en consola se definen en dos lugares del código. No representa ningún problema de funcionamiento; es solo una oportunidad de unificarlos si se vuelve a tocar esa parte.</w:t>
      </w:r>
    </w:p>
    <w:p/>
    <w:p>
      <w:pPr>
        <w:pStyle w:val="Heading1"/>
      </w:pPr>
      <w:r>
        <w:rPr>
          <w:color w:val="1F3B57"/>
        </w:rPr>
        <w:t>9. Guía de dónde tocar: por tipo de cambio previsible</w:t>
      </w:r>
    </w:p>
    <w:p>
      <w:r>
        <w:t>Este es el artefacto central de este documento. Antes de tocar nada, ubica tu cambio en esta tabla.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57"/>
          </w:tcPr>
          <w:p>
            <w:r/>
            <w:r>
              <w:rPr>
                <w:b/>
                <w:color w:val="FFFFFF"/>
                <w:sz w:val="19"/>
              </w:rPr>
              <w:t>Tipo de cambio previsible</w:t>
            </w:r>
          </w:p>
        </w:tc>
        <w:tc>
          <w:tcPr>
            <w:tcW w:type="dxa" w:w="2160"/>
            <w:shd w:val="clear" w:color="auto" w:fill="1F3B57"/>
          </w:tcPr>
          <w:p>
            <w:r/>
            <w:r>
              <w:rPr>
                <w:b/>
                <w:color w:val="FFFFFF"/>
                <w:sz w:val="19"/>
              </w:rPr>
              <w:t>Crear (nuevo)</w:t>
            </w:r>
          </w:p>
        </w:tc>
        <w:tc>
          <w:tcPr>
            <w:tcW w:type="dxa" w:w="2160"/>
            <w:shd w:val="clear" w:color="auto" w:fill="1F3B57"/>
          </w:tcPr>
          <w:p>
            <w:r/>
            <w:r>
              <w:rPr>
                <w:b/>
                <w:color w:val="FFFFFF"/>
                <w:sz w:val="19"/>
              </w:rPr>
              <w:t>Modificar (existente)</w:t>
            </w:r>
          </w:p>
        </w:tc>
        <w:tc>
          <w:tcPr>
            <w:tcW w:type="dxa" w:w="2160"/>
            <w:shd w:val="clear" w:color="auto" w:fill="1F3B57"/>
          </w:tcPr>
          <w:p>
            <w:r/>
            <w:r>
              <w:rPr>
                <w:b/>
                <w:color w:val="FFFFFF"/>
                <w:sz w:val="19"/>
              </w:rPr>
              <w:t>No tocar</w:t>
            </w:r>
          </w:p>
        </w:tc>
      </w:tr>
      <w:tr>
        <w:tc>
          <w:tcPr>
            <w:tcW w:type="dxa" w:w="2160"/>
          </w:tcPr>
          <w:p>
            <w:r/>
            <w:r>
              <w:rPr>
                <w:b/>
                <w:sz w:val="19"/>
              </w:rPr>
              <w:t>[Ya implementado] Variante nueva dentro de una categoría de producto existente — p. ej. una gaseosa o snack más (solicitud del negocio SC-1)</w:t>
            </w:r>
          </w:p>
        </w:tc>
        <w:tc>
          <w:tcPr>
            <w:tcW w:type="dxa" w:w="2160"/>
          </w:tcPr>
          <w:p>
            <w:r/>
            <w:r>
              <w:rPr>
                <w:b w:val="0"/>
                <w:sz w:val="19"/>
              </w:rPr>
              <w:t>Nada de código: una fila nueva en pagables.txt con el discriminador COM.</w:t>
            </w:r>
          </w:p>
        </w:tc>
        <w:tc>
          <w:tcPr>
            <w:tcW w:type="dxa" w:w="2160"/>
          </w:tcPr>
          <w:p>
            <w:r/>
            <w:r>
              <w:rPr>
                <w:b w:val="0"/>
                <w:sz w:val="19"/>
              </w:rPr>
              <w:t>Nada.</w:t>
            </w:r>
          </w:p>
        </w:tc>
        <w:tc>
          <w:tcPr>
            <w:tcW w:type="dxa" w:w="2160"/>
          </w:tcPr>
          <w:p>
            <w:r/>
            <w:r>
              <w:rPr>
                <w:b w:val="0"/>
                <w:sz w:val="19"/>
              </w:rPr>
              <w:t>Producto, Comestible, ComestibleFactory, RegistradorFabricasIPagable.</w:t>
            </w:r>
          </w:p>
        </w:tc>
      </w:tr>
      <w:tr>
        <w:tc>
          <w:tcPr>
            <w:tcW w:type="dxa" w:w="2160"/>
          </w:tcPr>
          <w:p>
            <w:r/>
            <w:r>
              <w:rPr>
                <w:b/>
                <w:sz w:val="19"/>
              </w:rPr>
              <w:t>[Ya implementado] Tipo de servicio nuevo — p. ej. otra curación básica (solicitud del negocio SC-2)</w:t>
            </w:r>
          </w:p>
        </w:tc>
        <w:tc>
          <w:tcPr>
            <w:tcW w:type="dxa" w:w="2160"/>
          </w:tcPr>
          <w:p>
            <w:r/>
            <w:r>
              <w:rPr>
                <w:b w:val="0"/>
                <w:sz w:val="19"/>
              </w:rPr>
              <w:t>Nada de código: una fila nueva en pagables.txt con el discriminador SER.</w:t>
            </w:r>
          </w:p>
        </w:tc>
        <w:tc>
          <w:tcPr>
            <w:tcW w:type="dxa" w:w="2160"/>
          </w:tcPr>
          <w:p>
            <w:r/>
            <w:r>
              <w:rPr>
                <w:b w:val="0"/>
                <w:sz w:val="19"/>
              </w:rPr>
              <w:t>Nada.</w:t>
            </w:r>
          </w:p>
        </w:tc>
        <w:tc>
          <w:tcPr>
            <w:tcW w:type="dxa" w:w="2160"/>
          </w:tcPr>
          <w:p>
            <w:r/>
            <w:r>
              <w:rPr>
                <w:b w:val="0"/>
                <w:sz w:val="19"/>
              </w:rPr>
              <w:t>Servicio, ServicioFactory, IPagable.</w:t>
            </w:r>
          </w:p>
        </w:tc>
      </w:tr>
      <w:tr>
        <w:tc>
          <w:tcPr>
            <w:tcW w:type="dxa" w:w="2160"/>
          </w:tcPr>
          <w:p>
            <w:r/>
            <w:r>
              <w:rPr>
                <w:b/>
                <w:sz w:val="19"/>
              </w:rPr>
              <w:t>Categoría de producto totalmente nueva, con atributos propios que ninguna categoría actual tiene</w:t>
            </w:r>
          </w:p>
        </w:tc>
        <w:tc>
          <w:tcPr>
            <w:tcW w:type="dxa" w:w="2160"/>
          </w:tcPr>
          <w:p>
            <w:r/>
            <w:r>
              <w:rPr>
                <w:b w:val="0"/>
                <w:sz w:val="19"/>
              </w:rPr>
              <w:t>Una subclase de Producto (o de Medicamento si aplica) + una fábrica concreta nueva que extienda IPagableFactory, con su propio discriminador.</w:t>
            </w:r>
          </w:p>
        </w:tc>
        <w:tc>
          <w:tcPr>
            <w:tcW w:type="dxa" w:w="2160"/>
          </w:tcPr>
          <w:p>
            <w:r/>
            <w:r>
              <w:rPr>
                <w:b w:val="0"/>
                <w:sz w:val="19"/>
              </w:rPr>
              <w:t>RegistradorFabricasIPagable, para registrar el nuevo discriminador en su mapa.</w:t>
            </w:r>
          </w:p>
        </w:tc>
        <w:tc>
          <w:tcPr>
            <w:tcW w:type="dxa" w:w="2160"/>
          </w:tcPr>
          <w:p>
            <w:r/>
            <w:r>
              <w:rPr>
                <w:b w:val="0"/>
                <w:sz w:val="19"/>
              </w:rPr>
              <w:t>Producto, las demás fábricas concretas, y los casos de uso existentes (ListarProductos, BuscarPagable, RegistrarVenta, VerificarAlertas) — todos operan de forma genérica sobre IPagable.</w:t>
            </w:r>
          </w:p>
        </w:tc>
      </w:tr>
      <w:tr>
        <w:tc>
          <w:tcPr>
            <w:tcW w:type="dxa" w:w="2160"/>
          </w:tcPr>
          <w:p>
            <w:r/>
            <w:r>
              <w:rPr>
                <w:b/>
                <w:sz w:val="19"/>
              </w:rPr>
              <w:t>[Pendiente] Convenios con entidades para descuentos y crédito descontable (solicitud del negocio SC-3, aún no implementada)</w:t>
            </w:r>
          </w:p>
        </w:tc>
        <w:tc>
          <w:tcPr>
            <w:tcW w:type="dxa" w:w="2160"/>
          </w:tcPr>
          <w:p>
            <w:r/>
            <w:r>
              <w:rPr>
                <w:b w:val="0"/>
                <w:sz w:val="19"/>
              </w:rPr>
              <w:t>Una clase de dominio para el convenio y su regla de descuento; un puerto nuevo para consultarlo; un adaptador que lo implemente; y la lógica que aplique el descuento antes de registrar la venta.</w:t>
            </w:r>
          </w:p>
        </w:tc>
        <w:tc>
          <w:tcPr>
            <w:tcW w:type="dxa" w:w="2160"/>
          </w:tcPr>
          <w:p>
            <w:r/>
            <w:r>
              <w:rPr>
                <w:b w:val="0"/>
                <w:sz w:val="19"/>
              </w:rPr>
              <w:t>El caso de uso RegistrarVenta (para consultar si el cliente tiene un convenio activo) y AplicacionFarmaciaBuilder / AplicacionFarmacia (para conectar la pieza nueva).</w:t>
            </w:r>
          </w:p>
        </w:tc>
        <w:tc>
          <w:tcPr>
            <w:tcW w:type="dxa" w:w="2160"/>
          </w:tcPr>
          <w:p>
            <w:r/>
            <w:r>
              <w:rPr>
                <w:b w:val="0"/>
                <w:sz w:val="19"/>
              </w:rPr>
              <w:t>Producto, Servicio, las fábricas existentes, y los casos de uso de búsqueda, listados y alertas — no tienen relación con esta regla.</w:t>
            </w:r>
          </w:p>
        </w:tc>
      </w:tr>
      <w:tr>
        <w:tc>
          <w:tcPr>
            <w:tcW w:type="dxa" w:w="2160"/>
          </w:tcPr>
          <w:p>
            <w:r/>
            <w:r>
              <w:rPr>
                <w:b/>
                <w:sz w:val="19"/>
              </w:rPr>
              <w:t>Cambiar el canal de aviso — p. ej. de consola a correo o SMS</w:t>
            </w:r>
          </w:p>
        </w:tc>
        <w:tc>
          <w:tcPr>
            <w:tcW w:type="dxa" w:w="2160"/>
          </w:tcPr>
          <w:p>
            <w:r/>
            <w:r>
              <w:rPr>
                <w:b w:val="0"/>
                <w:sz w:val="19"/>
              </w:rPr>
              <w:t>Una clase nueva que implemente INotificadorInventario / INotificadorFidelizacion / INotificadorVentas para el canal nuevo.</w:t>
            </w:r>
          </w:p>
        </w:tc>
        <w:tc>
          <w:tcPr>
            <w:tcW w:type="dxa" w:w="2160"/>
          </w:tcPr>
          <w:p>
            <w:r/>
            <w:r>
              <w:rPr>
                <w:b w:val="0"/>
                <w:sz w:val="19"/>
              </w:rPr>
              <w:t>AplicacionFarmaciaBuilder, para usar la implementación nueva en vez de NotificadorConsola.</w:t>
            </w:r>
          </w:p>
        </w:tc>
        <w:tc>
          <w:tcPr>
            <w:tcW w:type="dxa" w:w="2160"/>
          </w:tcPr>
          <w:p>
            <w:r/>
            <w:r>
              <w:rPr>
                <w:b w:val="0"/>
                <w:sz w:val="19"/>
              </w:rPr>
              <w:t>Los casos de uso que notifican (AcumularPuntos, RegistrarVenta, VerificarAlertas) — dependen del contrato, no del canal.</w:t>
            </w:r>
          </w:p>
        </w:tc>
      </w:tr>
      <w:tr>
        <w:tc>
          <w:tcPr>
            <w:tcW w:type="dxa" w:w="2160"/>
          </w:tcPr>
          <w:p>
            <w:r/>
            <w:r>
              <w:rPr>
                <w:b/>
                <w:sz w:val="19"/>
              </w:rPr>
              <w:t>Cambiar dónde se guardan los datos — p. ej. de memoria a una base de datos real</w:t>
            </w:r>
          </w:p>
        </w:tc>
        <w:tc>
          <w:tcPr>
            <w:tcW w:type="dxa" w:w="2160"/>
          </w:tcPr>
          <w:p>
            <w:r/>
            <w:r>
              <w:rPr>
                <w:b w:val="0"/>
                <w:sz w:val="19"/>
              </w:rPr>
              <w:t>Una clase nueva que implemente el puerto de repositorio correspondiente (IRepositorioPagable, IRepositorioCliente, IRepositorioUsuario o IRepositorioVenta) contra el almacenamiento real.</w:t>
            </w:r>
          </w:p>
        </w:tc>
        <w:tc>
          <w:tcPr>
            <w:tcW w:type="dxa" w:w="2160"/>
          </w:tcPr>
          <w:p>
            <w:r/>
            <w:r>
              <w:rPr>
                <w:b w:val="0"/>
                <w:sz w:val="19"/>
              </w:rPr>
              <w:t>AplicacionFarmaciaBuilder.</w:t>
            </w:r>
          </w:p>
        </w:tc>
        <w:tc>
          <w:tcPr>
            <w:tcW w:type="dxa" w:w="2160"/>
          </w:tcPr>
          <w:p>
            <w:r/>
            <w:r>
              <w:rPr>
                <w:b w:val="0"/>
                <w:sz w:val="19"/>
              </w:rPr>
              <w:t>El dominio y todos los casos de uso — ninguno conoce cómo ni dónde se guardan los datos.</w:t>
            </w:r>
          </w:p>
        </w:tc>
      </w:tr>
      <w:tr>
        <w:tc>
          <w:tcPr>
            <w:tcW w:type="dxa" w:w="2160"/>
          </w:tcPr>
          <w:p>
            <w:r/>
            <w:r>
              <w:rPr>
                <w:b/>
                <w:sz w:val="19"/>
              </w:rPr>
              <w:t>Cálculo o reporte nuevo que depende de si el ítem es Producto o Servicio — p. ej. un reporte de impuestos diferenciado</w:t>
            </w:r>
          </w:p>
        </w:tc>
        <w:tc>
          <w:tcPr>
            <w:tcW w:type="dxa" w:w="2160"/>
          </w:tcPr>
          <w:p>
            <w:r/>
            <w:r>
              <w:rPr>
                <w:b w:val="0"/>
                <w:sz w:val="19"/>
              </w:rPr>
              <w:t>Una clase nueva que implemente IPagableVisitor con la lógica diferenciada.</w:t>
            </w:r>
          </w:p>
        </w:tc>
        <w:tc>
          <w:tcPr>
            <w:tcW w:type="dxa" w:w="2160"/>
          </w:tcPr>
          <w:p>
            <w:r/>
            <w:r>
              <w:rPr>
                <w:b w:val="0"/>
                <w:sz w:val="19"/>
              </w:rPr>
              <w:t>El caso de uso que vaya a usar ese visitante nuevo (o crear uno nuevo si no existe todavía).</w:t>
            </w:r>
          </w:p>
        </w:tc>
        <w:tc>
          <w:tcPr>
            <w:tcW w:type="dxa" w:w="2160"/>
          </w:tcPr>
          <w:p>
            <w:r/>
            <w:r>
              <w:rPr>
                <w:b w:val="0"/>
                <w:sz w:val="19"/>
              </w:rPr>
              <w:t>Producto y Servicio — ya aceptan visitantes nuevos sin ningún cambio.</w:t>
            </w:r>
          </w:p>
        </w:tc>
      </w:tr>
    </w:tbl>
    <w:p/>
    <w:p>
      <w:r>
        <w:rPr>
          <w:i/>
          <w:color w:val="555555"/>
          <w:sz w:val="19"/>
        </w:rPr>
        <w:t>Con este documento — el mapa de paquetes, el modelo de dominio, los patrones, el ensamblado, el recorrido de una venta y esta guía — cualquiera de los siete cambios anteriores debería poder ubicarse sin más contexto que lo que está escrito aquí.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