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B88D" w14:textId="77777777" w:rsidR="0079028C" w:rsidRPr="0079028C" w:rsidRDefault="0079028C" w:rsidP="0079028C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79028C">
        <w:rPr>
          <w:rFonts w:ascii="Times New Roman" w:hAnsi="Times New Roman" w:cs="Times New Roman"/>
          <w:sz w:val="28"/>
          <w:szCs w:val="28"/>
        </w:rPr>
        <w:t>S1 – SSH Brute Force (Firewall-Drop)</w:t>
      </w:r>
    </w:p>
    <w:p w14:paraId="5AABB3AA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Descripción general: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Este escenario responde ante intentos reiterados de autenticación fallida por SSH contra servidores o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endpoints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monitoreados. El objetivo es detener rápidamente el origen del ataque y reducir el riesgo de compromiso por fuerza bruta.</w:t>
      </w:r>
    </w:p>
    <w:p w14:paraId="081874AD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Condiciones de activación: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>Alertas relacionadas con autenticación/SSH (por ejemplo, grupos de regla que incluyan “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ssh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” o eventos compatibles con fuerza bruta), con severidad elevada en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Wazuh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(0–15) o con clasificación de riesgo alta/critica por el agente de análisis.</w:t>
      </w:r>
    </w:p>
    <w:p w14:paraId="2D40C440" w14:textId="77777777" w:rsidR="0079028C" w:rsidRPr="0079028C" w:rsidRDefault="0079028C" w:rsidP="0079028C">
      <w:pPr>
        <w:pStyle w:val="Heading3"/>
        <w:jc w:val="both"/>
        <w:rPr>
          <w:rFonts w:ascii="Times New Roman" w:hAnsi="Times New Roman" w:cs="Times New Roman"/>
          <w:lang w:val="es-419"/>
        </w:rPr>
      </w:pPr>
      <w:r w:rsidRPr="0079028C">
        <w:rPr>
          <w:rFonts w:ascii="Times New Roman" w:hAnsi="Times New Roman" w:cs="Times New Roman"/>
          <w:lang w:val="es-419"/>
        </w:rPr>
        <w:t xml:space="preserve">Flujo del </w:t>
      </w:r>
      <w:proofErr w:type="spellStart"/>
      <w:r w:rsidRPr="0079028C">
        <w:rPr>
          <w:rFonts w:ascii="Times New Roman" w:hAnsi="Times New Roman" w:cs="Times New Roman"/>
          <w:lang w:val="es-419"/>
        </w:rPr>
        <w:t>playbook</w:t>
      </w:r>
      <w:proofErr w:type="spellEnd"/>
      <w:r w:rsidRPr="0079028C">
        <w:rPr>
          <w:rFonts w:ascii="Times New Roman" w:hAnsi="Times New Roman" w:cs="Times New Roman"/>
          <w:lang w:val="es-419"/>
        </w:rPr>
        <w:t>:</w:t>
      </w:r>
    </w:p>
    <w:p w14:paraId="28B595F5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1) Identificación: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El orquestador recibe la alerta desde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Wazuh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vía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webhook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>, normaliza los campos (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timestamp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,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rule.id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, </w:t>
      </w:r>
      <w:proofErr w:type="spellStart"/>
      <w:proofErr w:type="gram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rule.level</w:t>
      </w:r>
      <w:proofErr w:type="spellEnd"/>
      <w:proofErr w:type="gram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, agente e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IPs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>) y genera un reporte de investigación (resumen y contexto MITRE) para el canal de operaciones (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Telegram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SOC).</w:t>
      </w:r>
    </w:p>
    <w:p w14:paraId="59468F26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2) Contención: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>Se ejecuta la mitigación automática mediante bloqueo de la IP origen del intento (firewall-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drop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/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iptables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>), enfocada en el servicio SSH (puerto 22). Para incidentes con alto impacto o baja confianza, se habilita validación Human-in-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the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>-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Loop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(HITL) antes de aplicar el bloqueo.</w:t>
      </w:r>
    </w:p>
    <w:p w14:paraId="02EE9906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3) Erradicación: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>Se recomienda verificar credenciales comprometidas, revisar logs de autenticación, confirmar si existieron accesos exitosos y, de ser necesario, forzar rotación de credenciales o endurecer políticas de autenticación (MFA/lockout).</w:t>
      </w:r>
    </w:p>
    <w:p w14:paraId="16712418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4) Recuperación: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Se monitorea la recurrencia del patrón durante una ventana posterior al bloqueo y se ajustan umbrales/reglas si se detectan falsos positivos (por ejemplo,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health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checks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o bastiones autorizados).</w:t>
      </w:r>
    </w:p>
    <w:p w14:paraId="0D8266F2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5) Lecciones aprendidas: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>Se documenta la IP, el usuario objetivo y el patrón temporal (IOC), y se ajustan reglas de correlación para acelerar detecciones futuras.</w:t>
      </w:r>
    </w:p>
    <w:p w14:paraId="5EB3FB33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Acción automatizada principal: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>Bloqueo de IP origen hacia SSH (puerto 22) usando firewall-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drop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>/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iptables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39B8B097" w14:textId="77777777" w:rsidR="0079028C" w:rsidRPr="0079028C" w:rsidRDefault="0079028C" w:rsidP="0079028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79028C">
        <w:rPr>
          <w:rFonts w:ascii="Times New Roman" w:hAnsi="Times New Roman" w:cs="Times New Roman"/>
          <w:b/>
          <w:sz w:val="24"/>
          <w:szCs w:val="24"/>
          <w:lang w:val="es-419"/>
        </w:rPr>
        <w:t xml:space="preserve">Métricas esperadas: </w:t>
      </w:r>
      <w:r w:rsidRPr="0079028C">
        <w:rPr>
          <w:rFonts w:ascii="Times New Roman" w:hAnsi="Times New Roman" w:cs="Times New Roman"/>
          <w:sz w:val="24"/>
          <w:szCs w:val="24"/>
          <w:lang w:val="es-419"/>
        </w:rPr>
        <w:t>Reducción del MTTR y del tiempo de contención; disminución de recurrencia del intento tras el bloqueo; trazabilidad de acción (</w:t>
      </w:r>
      <w:proofErr w:type="spellStart"/>
      <w:r w:rsidRPr="0079028C">
        <w:rPr>
          <w:rFonts w:ascii="Times New Roman" w:hAnsi="Times New Roman" w:cs="Times New Roman"/>
          <w:sz w:val="24"/>
          <w:szCs w:val="24"/>
          <w:lang w:val="es-419"/>
        </w:rPr>
        <w:t>timestamps</w:t>
      </w:r>
      <w:proofErr w:type="spellEnd"/>
      <w:r w:rsidRPr="0079028C">
        <w:rPr>
          <w:rFonts w:ascii="Times New Roman" w:hAnsi="Times New Roman" w:cs="Times New Roman"/>
          <w:sz w:val="24"/>
          <w:szCs w:val="24"/>
          <w:lang w:val="es-419"/>
        </w:rPr>
        <w:t xml:space="preserve"> de respuesta).</w:t>
      </w:r>
    </w:p>
    <w:p w14:paraId="68D5F114" w14:textId="77777777" w:rsidR="00D54651" w:rsidRPr="0079028C" w:rsidRDefault="00D54651">
      <w:pPr>
        <w:rPr>
          <w:lang w:val="es-419"/>
        </w:rPr>
      </w:pPr>
    </w:p>
    <w:sectPr w:rsidR="00D54651" w:rsidRPr="00790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8C"/>
    <w:rsid w:val="00127483"/>
    <w:rsid w:val="006B2455"/>
    <w:rsid w:val="007607E8"/>
    <w:rsid w:val="0079028C"/>
    <w:rsid w:val="008A3698"/>
    <w:rsid w:val="00D5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BD1A"/>
  <w15:chartTrackingRefBased/>
  <w15:docId w15:val="{DBB9E52B-247F-4B5F-990B-6AACF9FE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28C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2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2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02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8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8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8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8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0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8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0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8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0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1741</Characters>
  <Application>Microsoft Office Word</Application>
  <DocSecurity>0</DocSecurity>
  <Lines>30</Lines>
  <Paragraphs>13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Contreras Parreño</dc:creator>
  <cp:keywords/>
  <dc:description/>
  <cp:lastModifiedBy>José Luis Contreras Parreño</cp:lastModifiedBy>
  <cp:revision>1</cp:revision>
  <dcterms:created xsi:type="dcterms:W3CDTF">2025-12-16T23:53:00Z</dcterms:created>
  <dcterms:modified xsi:type="dcterms:W3CDTF">2025-12-16T23:54:00Z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b10915-602c-481a-bdc7-238d429ea082_Enabled">
    <vt:lpwstr>true</vt:lpwstr>
  </property>
  <property fmtid="{D5CDD505-2E9C-101B-9397-08002B2CF9AE}" pid="3" name="MSIP_Label_f7b10915-602c-481a-bdc7-238d429ea082_SetDate">
    <vt:lpwstr>2025-12-16T23:54:28Z</vt:lpwstr>
  </property>
  <property fmtid="{D5CDD505-2E9C-101B-9397-08002B2CF9AE}" pid="4" name="MSIP_Label_f7b10915-602c-481a-bdc7-238d429ea082_Method">
    <vt:lpwstr>Standard</vt:lpwstr>
  </property>
  <property fmtid="{D5CDD505-2E9C-101B-9397-08002B2CF9AE}" pid="5" name="MSIP_Label_f7b10915-602c-481a-bdc7-238d429ea082_Name">
    <vt:lpwstr>defa4170-0d19-0005-0004-bc88714345d2</vt:lpwstr>
  </property>
  <property fmtid="{D5CDD505-2E9C-101B-9397-08002B2CF9AE}" pid="6" name="MSIP_Label_f7b10915-602c-481a-bdc7-238d429ea082_SiteId">
    <vt:lpwstr>9f119962-8c62-431c-a8ef-e7e0a42d11fc</vt:lpwstr>
  </property>
  <property fmtid="{D5CDD505-2E9C-101B-9397-08002B2CF9AE}" pid="7" name="MSIP_Label_f7b10915-602c-481a-bdc7-238d429ea082_ActionId">
    <vt:lpwstr>b1d36e4b-81dd-4cfe-bbfe-dc73a1a18cea</vt:lpwstr>
  </property>
  <property fmtid="{D5CDD505-2E9C-101B-9397-08002B2CF9AE}" pid="8" name="MSIP_Label_f7b10915-602c-481a-bdc7-238d429ea082_ContentBits">
    <vt:lpwstr>0</vt:lpwstr>
  </property>
  <property fmtid="{D5CDD505-2E9C-101B-9397-08002B2CF9AE}" pid="9" name="MSIP_Label_f7b10915-602c-481a-bdc7-238d429ea082_Tag">
    <vt:lpwstr>10, 3, 0, 1</vt:lpwstr>
  </property>
</Properties>
</file>