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1527" w14:textId="77777777" w:rsidR="003A334F" w:rsidRPr="003A334F" w:rsidRDefault="003A334F" w:rsidP="003A334F">
      <w:pPr>
        <w:pStyle w:val="Heading2"/>
        <w:spacing w:line="360" w:lineRule="auto"/>
        <w:jc w:val="center"/>
        <w:rPr>
          <w:rFonts w:ascii="Times New Roman" w:hAnsi="Times New Roman" w:cs="Times New Roman"/>
          <w:lang w:val="es-419"/>
        </w:rPr>
      </w:pPr>
      <w:r w:rsidRPr="003A334F">
        <w:rPr>
          <w:rFonts w:ascii="Times New Roman" w:hAnsi="Times New Roman" w:cs="Times New Roman"/>
          <w:lang w:val="es-419"/>
        </w:rPr>
        <w:t xml:space="preserve">S2 – HTTP </w:t>
      </w:r>
      <w:proofErr w:type="spellStart"/>
      <w:r w:rsidRPr="003A334F">
        <w:rPr>
          <w:rFonts w:ascii="Times New Roman" w:hAnsi="Times New Roman" w:cs="Times New Roman"/>
          <w:lang w:val="es-419"/>
        </w:rPr>
        <w:t>Scan</w:t>
      </w:r>
      <w:proofErr w:type="spellEnd"/>
      <w:r w:rsidRPr="003A334F">
        <w:rPr>
          <w:rFonts w:ascii="Times New Roman" w:hAnsi="Times New Roman" w:cs="Times New Roman"/>
          <w:lang w:val="es-419"/>
        </w:rPr>
        <w:t xml:space="preserve"> / Web </w:t>
      </w:r>
      <w:proofErr w:type="spellStart"/>
      <w:r w:rsidRPr="003A334F">
        <w:rPr>
          <w:rFonts w:ascii="Times New Roman" w:hAnsi="Times New Roman" w:cs="Times New Roman"/>
          <w:lang w:val="es-419"/>
        </w:rPr>
        <w:t>Reconnaissance</w:t>
      </w:r>
      <w:proofErr w:type="spellEnd"/>
    </w:p>
    <w:p w14:paraId="2BD4375C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Descripción general: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Este escenario cubre actividades de reconocimiento y escaneo contra servicios web (por ejemplo, enumeración de rutas, patrones de escaneo, intentos de identificación de tecnologías y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endpoints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>). Busca mitigar tempranamente comportamiento precursor de explotación a nivel de aplicación.</w:t>
      </w:r>
    </w:p>
    <w:p w14:paraId="075C9520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Condiciones de activación: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Alertas asociadas a tráfico web anómalo o reconocimiento HTTP (por ejemplo, grupos “web/http” o descripciones de reglas compatibles con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scanning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), así como correlación con tácticas/técnicas MITRE relacionadas con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Reconnaissance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14:paraId="05D191CB" w14:textId="77777777" w:rsidR="003A334F" w:rsidRPr="003A334F" w:rsidRDefault="003A334F" w:rsidP="003A334F">
      <w:pPr>
        <w:pStyle w:val="Heading3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Flujo del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playbook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>:</w:t>
      </w:r>
    </w:p>
    <w:p w14:paraId="53D2CFD1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1) Identificación: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El </w:t>
      </w:r>
      <w:proofErr w:type="gram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orquestador ingesta</w:t>
      </w:r>
      <w:proofErr w:type="gram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 la alerta, normaliza el evento y genera un reporte estructurado para el SOC, incluyendo IP origen/destino, host afectado, comparación de severidad (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Wazuh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 vs IA) y contexto MITRE (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Wazuh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 e inferido por IA).</w:t>
      </w:r>
    </w:p>
    <w:p w14:paraId="597B722C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2) Contención: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>Se aplica bloqueo temporal de la IP ofensiva a nivel de firewall para los servicios web (por ejemplo, puertos 80/443) o se limita el tráfico (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rate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limiting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>) según el diseño de mitigación. En incidentes de mayor riesgo se puede requerir aprobación HITL.</w:t>
      </w:r>
    </w:p>
    <w:p w14:paraId="6FD7D561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3) Erradicación: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Se revisan logs del servidor web (accesos, errores, patrones de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User-Agent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 y rutas objetivo), se valida ausencia de explotación y se actualizan firmas/reglas para capturar el patrón observado.</w:t>
      </w:r>
    </w:p>
    <w:p w14:paraId="4621CA72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4) Recuperación: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>Se restablece el acceso si el bloqueo fue preventivo y se monitorea el tráfico posterior para confirmar que la actividad cesó.</w:t>
      </w:r>
    </w:p>
    <w:p w14:paraId="196059F3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5) Lecciones aprendidas: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Se agrega el IOC (IP,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path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,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User-Agent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>) a listas de reputación/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blacklists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 y se ajustan umbrales para diferenciar escaneos legítimos de actividades maliciosas.</w:t>
      </w:r>
    </w:p>
    <w:p w14:paraId="20676D49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Acción automatizada principal: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Contención de la IP origen (bloqueo temporal o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rate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limiting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>) enfocada a servicios web.</w:t>
      </w:r>
    </w:p>
    <w:p w14:paraId="3AD8513A" w14:textId="77777777" w:rsidR="003A334F" w:rsidRPr="003A334F" w:rsidRDefault="003A334F" w:rsidP="003A33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3A334F">
        <w:rPr>
          <w:rFonts w:ascii="Times New Roman" w:hAnsi="Times New Roman" w:cs="Times New Roman"/>
          <w:b/>
          <w:sz w:val="24"/>
          <w:szCs w:val="24"/>
          <w:lang w:val="es-419"/>
        </w:rPr>
        <w:t xml:space="preserve">Métricas esperadas: </w:t>
      </w:r>
      <w:r w:rsidRPr="003A334F">
        <w:rPr>
          <w:rFonts w:ascii="Times New Roman" w:hAnsi="Times New Roman" w:cs="Times New Roman"/>
          <w:sz w:val="24"/>
          <w:szCs w:val="24"/>
          <w:lang w:val="es-419"/>
        </w:rPr>
        <w:t xml:space="preserve">Reducción del tiempo de respuesta ante </w:t>
      </w:r>
      <w:proofErr w:type="spellStart"/>
      <w:r w:rsidRPr="003A334F">
        <w:rPr>
          <w:rFonts w:ascii="Times New Roman" w:hAnsi="Times New Roman" w:cs="Times New Roman"/>
          <w:sz w:val="24"/>
          <w:szCs w:val="24"/>
          <w:lang w:val="es-419"/>
        </w:rPr>
        <w:t>recon</w:t>
      </w:r>
      <w:proofErr w:type="spellEnd"/>
      <w:r w:rsidRPr="003A334F">
        <w:rPr>
          <w:rFonts w:ascii="Times New Roman" w:hAnsi="Times New Roman" w:cs="Times New Roman"/>
          <w:sz w:val="24"/>
          <w:szCs w:val="24"/>
          <w:lang w:val="es-419"/>
        </w:rPr>
        <w:t>; menor exposición de superficie web durante la ventana de ataque; trazabilidad y evidencia en reporte.</w:t>
      </w:r>
    </w:p>
    <w:p w14:paraId="29C73EFF" w14:textId="77777777" w:rsidR="00D54651" w:rsidRPr="003A334F" w:rsidRDefault="00D54651">
      <w:pPr>
        <w:rPr>
          <w:lang w:val="es-419"/>
        </w:rPr>
      </w:pPr>
    </w:p>
    <w:sectPr w:rsidR="00D54651" w:rsidRPr="003A3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4F"/>
    <w:rsid w:val="00127483"/>
    <w:rsid w:val="003A334F"/>
    <w:rsid w:val="006B2455"/>
    <w:rsid w:val="007607E8"/>
    <w:rsid w:val="008A3698"/>
    <w:rsid w:val="00D5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41A8"/>
  <w15:chartTrackingRefBased/>
  <w15:docId w15:val="{50C47ECC-E83E-4BD5-A213-45E28460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34F"/>
    <w:pPr>
      <w:spacing w:after="200" w:line="276" w:lineRule="auto"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3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3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3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3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34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34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34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34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3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3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34F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34F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3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1683</Characters>
  <Application>Microsoft Office Word</Application>
  <DocSecurity>0</DocSecurity>
  <Lines>29</Lines>
  <Paragraphs>13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Contreras Parreño</dc:creator>
  <cp:keywords/>
  <dc:description/>
  <cp:lastModifiedBy>José Luis Contreras Parreño</cp:lastModifiedBy>
  <cp:revision>1</cp:revision>
  <dcterms:created xsi:type="dcterms:W3CDTF">2025-12-16T23:55:00Z</dcterms:created>
  <dcterms:modified xsi:type="dcterms:W3CDTF">2025-12-16T23:56:00Z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b10915-602c-481a-bdc7-238d429ea082_Enabled">
    <vt:lpwstr>true</vt:lpwstr>
  </property>
  <property fmtid="{D5CDD505-2E9C-101B-9397-08002B2CF9AE}" pid="3" name="MSIP_Label_f7b10915-602c-481a-bdc7-238d429ea082_SetDate">
    <vt:lpwstr>2025-12-16T23:56:14Z</vt:lpwstr>
  </property>
  <property fmtid="{D5CDD505-2E9C-101B-9397-08002B2CF9AE}" pid="4" name="MSIP_Label_f7b10915-602c-481a-bdc7-238d429ea082_Method">
    <vt:lpwstr>Standard</vt:lpwstr>
  </property>
  <property fmtid="{D5CDD505-2E9C-101B-9397-08002B2CF9AE}" pid="5" name="MSIP_Label_f7b10915-602c-481a-bdc7-238d429ea082_Name">
    <vt:lpwstr>defa4170-0d19-0005-0004-bc88714345d2</vt:lpwstr>
  </property>
  <property fmtid="{D5CDD505-2E9C-101B-9397-08002B2CF9AE}" pid="6" name="MSIP_Label_f7b10915-602c-481a-bdc7-238d429ea082_SiteId">
    <vt:lpwstr>9f119962-8c62-431c-a8ef-e7e0a42d11fc</vt:lpwstr>
  </property>
  <property fmtid="{D5CDD505-2E9C-101B-9397-08002B2CF9AE}" pid="7" name="MSIP_Label_f7b10915-602c-481a-bdc7-238d429ea082_ActionId">
    <vt:lpwstr>bcbdde1e-bd71-42cf-8bca-b184bf52cb09</vt:lpwstr>
  </property>
  <property fmtid="{D5CDD505-2E9C-101B-9397-08002B2CF9AE}" pid="8" name="MSIP_Label_f7b10915-602c-481a-bdc7-238d429ea082_ContentBits">
    <vt:lpwstr>0</vt:lpwstr>
  </property>
  <property fmtid="{D5CDD505-2E9C-101B-9397-08002B2CF9AE}" pid="9" name="MSIP_Label_f7b10915-602c-481a-bdc7-238d429ea082_Tag">
    <vt:lpwstr>10, 3, 0, 1</vt:lpwstr>
  </property>
</Properties>
</file>