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E1F9" w14:textId="15A49FD5" w:rsidR="00EE43E4" w:rsidRPr="00C66679" w:rsidRDefault="00000000" w:rsidP="00C66679">
      <w:pPr>
        <w:pStyle w:val="Heading2"/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419"/>
        </w:rPr>
      </w:pPr>
      <w:r w:rsidRPr="00C66679">
        <w:rPr>
          <w:rFonts w:ascii="Times New Roman" w:hAnsi="Times New Roman" w:cs="Times New Roman"/>
          <w:sz w:val="32"/>
          <w:szCs w:val="32"/>
          <w:lang w:val="es-419"/>
        </w:rPr>
        <w:t xml:space="preserve">S3 – Port </w:t>
      </w:r>
      <w:proofErr w:type="spellStart"/>
      <w:r w:rsidRPr="00C66679">
        <w:rPr>
          <w:rFonts w:ascii="Times New Roman" w:hAnsi="Times New Roman" w:cs="Times New Roman"/>
          <w:sz w:val="32"/>
          <w:szCs w:val="32"/>
          <w:lang w:val="es-419"/>
        </w:rPr>
        <w:t>Scanning</w:t>
      </w:r>
      <w:proofErr w:type="spellEnd"/>
      <w:r w:rsidRPr="00C66679">
        <w:rPr>
          <w:rFonts w:ascii="Times New Roman" w:hAnsi="Times New Roman" w:cs="Times New Roman"/>
          <w:sz w:val="32"/>
          <w:szCs w:val="32"/>
          <w:lang w:val="es-419"/>
        </w:rPr>
        <w:t xml:space="preserve"> </w:t>
      </w:r>
    </w:p>
    <w:p w14:paraId="729BC43A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Descripción general: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>Este escenario responde ante enumeración de servicios por escaneo de puertos (TCP/UDP), actividad típica de reconocimiento previa a explotación. El objetivo es frenar el origen del escaneo y preservar evidencia para análisis posterior.</w:t>
      </w:r>
    </w:p>
    <w:p w14:paraId="5CC3DCCE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Condiciones de activación: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>Detección de múltiples intentos de conexión a distintos puertos en un periodo corto (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Wazuh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y/o IDS), con correlación hacia MITRE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Reconnaissance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y técnica de escaneo de servicios de red.</w:t>
      </w:r>
    </w:p>
    <w:p w14:paraId="60FAAEDD" w14:textId="77777777" w:rsidR="00EE43E4" w:rsidRPr="00C66679" w:rsidRDefault="00000000" w:rsidP="00C66679">
      <w:pPr>
        <w:pStyle w:val="Heading3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Flujo del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playbook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>:</w:t>
      </w:r>
    </w:p>
    <w:p w14:paraId="0C1340EF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1) Identificación: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Se normaliza el evento y se produce un reporte con host e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IPs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involucradas. El agente de análisis clasifica el evento y propone MITRE (por ejemplo, Network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Service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Scanning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>) y recomendaciones de investigación.</w:t>
      </w:r>
    </w:p>
    <w:p w14:paraId="59AED2D6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2) Contención: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Se bloquea la IP origen a nivel de firewall (bloqueo general o por puertos objetivo) para detener la enumeración. En casos críticos o con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hitlRequired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>=true, se solicita aprobación humana antes de ejecutar la acción.</w:t>
      </w:r>
    </w:p>
    <w:p w14:paraId="22DB368F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3) Erradicación: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>Se correlacionan eventos de red y de host para confirmar alcance (puertos objetivo, hosts afectados). Se revisa si el escaneo derivó en intentos de autenticación o explotación y se endurecen servicios expuestos.</w:t>
      </w:r>
    </w:p>
    <w:p w14:paraId="4EC8C51E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4) Recuperación: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>Se verifica estabilidad del servicio y se mantiene monitoreo posterior. Si el bloqueo afectó tráfico legítimo, se ajusta la regla con criterios más específicos.</w:t>
      </w:r>
    </w:p>
    <w:p w14:paraId="073F0072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5) Lecciones aprendidas: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Se incorporan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fingerprints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del escaneo (tasas, puertos comunes, patrones) a reglas IDS y se documentan indicadores para campañas futuras.</w:t>
      </w:r>
    </w:p>
    <w:p w14:paraId="1700C226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Acción automatizada principal: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>Bloqueo de IP origen asociada al escaneo (general o por puertos objetivo).</w:t>
      </w:r>
    </w:p>
    <w:p w14:paraId="1324F024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b/>
          <w:sz w:val="24"/>
          <w:szCs w:val="24"/>
          <w:lang w:val="es-419"/>
        </w:rPr>
        <w:t xml:space="preserve">Métricas esperadas: 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Disminución del tiempo de contención; reducción de superficie explorada; mejora de priorización (Kendall </w:t>
      </w:r>
      <w:r w:rsidRPr="00C66679">
        <w:rPr>
          <w:rFonts w:ascii="Times New Roman" w:hAnsi="Times New Roman" w:cs="Times New Roman"/>
          <w:sz w:val="24"/>
          <w:szCs w:val="24"/>
        </w:rPr>
        <w:t>τ</w:t>
      </w:r>
      <w:r w:rsidRPr="00C66679">
        <w:rPr>
          <w:rFonts w:ascii="Times New Roman" w:hAnsi="Times New Roman" w:cs="Times New Roman"/>
          <w:sz w:val="24"/>
          <w:szCs w:val="24"/>
          <w:lang w:val="es-419"/>
        </w:rPr>
        <w:t>) al clasificar eventos de reconocimiento.</w:t>
      </w:r>
    </w:p>
    <w:p w14:paraId="0B1D61BC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sz w:val="24"/>
          <w:szCs w:val="24"/>
          <w:lang w:val="es-419"/>
        </w:rPr>
        <w:br w:type="page"/>
      </w:r>
    </w:p>
    <w:p w14:paraId="013B15CF" w14:textId="77777777" w:rsidR="00EE43E4" w:rsidRPr="00C66679" w:rsidRDefault="00000000" w:rsidP="00C6667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sz w:val="24"/>
          <w:szCs w:val="24"/>
          <w:lang w:val="es-419"/>
        </w:rPr>
        <w:lastRenderedPageBreak/>
        <w:t>3. Consideraciones operativas</w:t>
      </w:r>
    </w:p>
    <w:p w14:paraId="52C055A1" w14:textId="77777777" w:rsidR="00EE43E4" w:rsidRPr="00C66679" w:rsidRDefault="00000000" w:rsidP="00C6667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66679">
        <w:rPr>
          <w:rFonts w:ascii="Times New Roman" w:hAnsi="Times New Roman" w:cs="Times New Roman"/>
          <w:sz w:val="24"/>
          <w:szCs w:val="24"/>
          <w:lang w:val="es-419"/>
        </w:rPr>
        <w:t>Los tres escenarios contemplan un esquema human-in-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the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>-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loop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(HITL) para incidentes que el sistema clasifica como de alto impacto o baja confianza. Además, el registro de </w:t>
      </w:r>
      <w:proofErr w:type="spellStart"/>
      <w:r w:rsidRPr="00C66679">
        <w:rPr>
          <w:rFonts w:ascii="Times New Roman" w:hAnsi="Times New Roman" w:cs="Times New Roman"/>
          <w:sz w:val="24"/>
          <w:szCs w:val="24"/>
          <w:lang w:val="es-419"/>
        </w:rPr>
        <w:t>timestamps</w:t>
      </w:r>
      <w:proofErr w:type="spellEnd"/>
      <w:r w:rsidRPr="00C66679">
        <w:rPr>
          <w:rFonts w:ascii="Times New Roman" w:hAnsi="Times New Roman" w:cs="Times New Roman"/>
          <w:sz w:val="24"/>
          <w:szCs w:val="24"/>
          <w:lang w:val="es-419"/>
        </w:rPr>
        <w:t xml:space="preserve"> de análisis y de respuesta permite calcular métricas operativas (por ejemplo, MTTR) y comparar contra una línea base sin automatización.</w:t>
      </w:r>
    </w:p>
    <w:sectPr w:rsidR="00EE43E4" w:rsidRPr="00C6667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656691">
    <w:abstractNumId w:val="8"/>
  </w:num>
  <w:num w:numId="2" w16cid:durableId="1999460846">
    <w:abstractNumId w:val="6"/>
  </w:num>
  <w:num w:numId="3" w16cid:durableId="599918834">
    <w:abstractNumId w:val="5"/>
  </w:num>
  <w:num w:numId="4" w16cid:durableId="492599303">
    <w:abstractNumId w:val="4"/>
  </w:num>
  <w:num w:numId="5" w16cid:durableId="2049797486">
    <w:abstractNumId w:val="7"/>
  </w:num>
  <w:num w:numId="6" w16cid:durableId="651787007">
    <w:abstractNumId w:val="3"/>
  </w:num>
  <w:num w:numId="7" w16cid:durableId="966199575">
    <w:abstractNumId w:val="2"/>
  </w:num>
  <w:num w:numId="8" w16cid:durableId="1684745826">
    <w:abstractNumId w:val="1"/>
  </w:num>
  <w:num w:numId="9" w16cid:durableId="7702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483"/>
    <w:rsid w:val="0015074B"/>
    <w:rsid w:val="0029639D"/>
    <w:rsid w:val="00326F90"/>
    <w:rsid w:val="00AA1D8D"/>
    <w:rsid w:val="00B47730"/>
    <w:rsid w:val="00C66679"/>
    <w:rsid w:val="00CB0664"/>
    <w:rsid w:val="00EE43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9FB48"/>
  <w14:defaultImageDpi w14:val="300"/>
  <w15:docId w15:val="{8A247EA1-961D-4D52-8B85-BBFB4D31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1859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Luis Contreras Parreño</cp:lastModifiedBy>
  <cp:revision>2</cp:revision>
  <dcterms:created xsi:type="dcterms:W3CDTF">2013-12-23T23:15:00Z</dcterms:created>
  <dcterms:modified xsi:type="dcterms:W3CDTF">2025-12-16T23:57:00Z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b10915-602c-481a-bdc7-238d429ea082_Enabled">
    <vt:lpwstr>true</vt:lpwstr>
  </property>
  <property fmtid="{D5CDD505-2E9C-101B-9397-08002B2CF9AE}" pid="3" name="MSIP_Label_f7b10915-602c-481a-bdc7-238d429ea082_SetDate">
    <vt:lpwstr>2025-12-16T23:57:51Z</vt:lpwstr>
  </property>
  <property fmtid="{D5CDD505-2E9C-101B-9397-08002B2CF9AE}" pid="4" name="MSIP_Label_f7b10915-602c-481a-bdc7-238d429ea082_Method">
    <vt:lpwstr>Standard</vt:lpwstr>
  </property>
  <property fmtid="{D5CDD505-2E9C-101B-9397-08002B2CF9AE}" pid="5" name="MSIP_Label_f7b10915-602c-481a-bdc7-238d429ea082_Name">
    <vt:lpwstr>defa4170-0d19-0005-0004-bc88714345d2</vt:lpwstr>
  </property>
  <property fmtid="{D5CDD505-2E9C-101B-9397-08002B2CF9AE}" pid="6" name="MSIP_Label_f7b10915-602c-481a-bdc7-238d429ea082_SiteId">
    <vt:lpwstr>9f119962-8c62-431c-a8ef-e7e0a42d11fc</vt:lpwstr>
  </property>
  <property fmtid="{D5CDD505-2E9C-101B-9397-08002B2CF9AE}" pid="7" name="MSIP_Label_f7b10915-602c-481a-bdc7-238d429ea082_ActionId">
    <vt:lpwstr>e8ad8cd8-89a7-46bc-8fd1-88b784cbd4cf</vt:lpwstr>
  </property>
  <property fmtid="{D5CDD505-2E9C-101B-9397-08002B2CF9AE}" pid="8" name="MSIP_Label_f7b10915-602c-481a-bdc7-238d429ea082_ContentBits">
    <vt:lpwstr>0</vt:lpwstr>
  </property>
  <property fmtid="{D5CDD505-2E9C-101B-9397-08002B2CF9AE}" pid="9" name="MSIP_Label_f7b10915-602c-481a-bdc7-238d429ea082_Tag">
    <vt:lpwstr>10, 3, 0, 1</vt:lpwstr>
  </property>
</Properties>
</file>