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40"/>
      </w:pPr>
      <w:r>
        <w:rPr>
          <w:rFonts w:ascii="Calibri" w:cs="Calibri" w:eastAsia="Calibri" w:hAnsi="Calibri"/>
          <w:b/>
          <w:bCs/>
          <w:color w:val="1B7A43"/>
          <w:spacing w:val="60"/>
          <w:sz w:val="30"/>
          <w:szCs w:val="30"/>
        </w:rPr>
        <w:t xml:space="preserve">ECOMARKET</w:t>
      </w:r>
    </w:p>
    <w:p>
      <w:pPr>
        <w:spacing w:after="320"/>
      </w:pPr>
      <w:r>
        <w:rPr>
          <w:rFonts w:ascii="Calibri" w:cs="Calibri" w:eastAsia="Calibri" w:hAnsi="Calibri"/>
          <w:color w:val="52606D"/>
          <w:sz w:val="22"/>
          <w:szCs w:val="22"/>
        </w:rPr>
        <w:t xml:space="preserve">Plataforma de comercio electrónico sostenible</w:t>
      </w:r>
    </w:p>
    <w:p>
      <w:pPr>
        <w:pBdr>
          <w:bottom w:val="single" w:color="1B7A43" w:sz="18"/>
        </w:pBdr>
        <w:spacing w:after="26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F2933"/>
          <w:sz w:val="52"/>
          <w:szCs w:val="52"/>
        </w:rPr>
        <w:t xml:space="preserve">Informe de Implementación de Mejoras</w:t>
      </w:r>
    </w:p>
    <w:p>
      <w:pPr>
        <w:spacing w:after="500"/>
      </w:pPr>
      <w:r>
        <w:rPr>
          <w:rFonts w:ascii="Calibri" w:cs="Calibri" w:eastAsia="Calibri" w:hAnsi="Calibri"/>
          <w:color w:val="0F4D2A"/>
          <w:sz w:val="24"/>
          <w:szCs w:val="24"/>
        </w:rPr>
        <w:t xml:space="preserve">Correcciones de seguridad aplicadas, responsividad y empaquetado como aplicación móvil (PWA / APK)</w:t>
      </w:r>
    </w:p>
    <w:tbl>
      <w:tblPr>
        <w:tblW w:type="dxa" w:w="9360"/>
        <w:tblBorders>
          <w:top w:val="single" w:color="D2DBD5" w:sz="4"/>
          <w:left w:val="none"/>
          <w:bottom w:val="single" w:color="D2DBD5" w:sz="4"/>
          <w:right w:val="none"/>
          <w:insideH w:val="single" w:color="E1E8E3" w:sz="2"/>
          <w:insideV w:val="none"/>
        </w:tblBorders>
      </w:tblPr>
      <w:tblGrid>
        <w:gridCol w:w="2600"/>
        <w:gridCol w:w="6760"/>
      </w:tblGrid>
      <w:tr>
        <w:tc>
          <w:tcPr>
            <w:tcW w:type="dxa" w:w="2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4D2A"/>
                <w:sz w:val="20"/>
                <w:szCs w:val="20"/>
              </w:rPr>
              <w:t xml:space="preserve">Documento</w:t>
            </w:r>
          </w:p>
        </w:tc>
        <w:tc>
          <w:tcPr>
            <w:tcW w:type="dxa" w:w="67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Informe de implementación de mejoras — EcoMarket</w:t>
            </w:r>
          </w:p>
        </w:tc>
      </w:tr>
      <w:tr>
        <w:tc>
          <w:tcPr>
            <w:tcW w:type="dxa" w:w="2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4D2A"/>
                <w:sz w:val="20"/>
                <w:szCs w:val="20"/>
              </w:rPr>
              <w:t xml:space="preserve">Versión</w:t>
            </w:r>
          </w:p>
        </w:tc>
        <w:tc>
          <w:tcPr>
            <w:tcW w:type="dxa" w:w="67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4D2A"/>
                <w:sz w:val="20"/>
                <w:szCs w:val="20"/>
              </w:rPr>
              <w:t xml:space="preserve">Fecha</w:t>
            </w:r>
          </w:p>
        </w:tc>
        <w:tc>
          <w:tcPr>
            <w:tcW w:type="dxa" w:w="67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14 de julio de 2026</w:t>
            </w:r>
          </w:p>
        </w:tc>
      </w:tr>
      <w:tr>
        <w:tc>
          <w:tcPr>
            <w:tcW w:type="dxa" w:w="2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4D2A"/>
                <w:sz w:val="20"/>
                <w:szCs w:val="20"/>
              </w:rPr>
              <w:t xml:space="preserve">Referencia</w:t>
            </w:r>
          </w:p>
        </w:tc>
        <w:tc>
          <w:tcPr>
            <w:tcW w:type="dxa" w:w="67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Complementa la Propuesta Técnica de Mejoras v1.0</w:t>
            </w:r>
          </w:p>
        </w:tc>
      </w:tr>
      <w:tr>
        <w:tc>
          <w:tcPr>
            <w:tcW w:type="dxa" w:w="2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4D2A"/>
                <w:sz w:val="20"/>
                <w:szCs w:val="20"/>
              </w:rPr>
              <w:t xml:space="preserve">Resultado</w:t>
            </w:r>
          </w:p>
        </w:tc>
        <w:tc>
          <w:tcPr>
            <w:tcW w:type="dxa" w:w="67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14 hallazgos críticos corregidos · build verificado</w:t>
            </w:r>
          </w:p>
        </w:tc>
      </w:tr>
      <w:tr>
        <w:tc>
          <w:tcPr>
            <w:tcW w:type="dxa" w:w="2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4D2A"/>
                <w:sz w:val="20"/>
                <w:szCs w:val="20"/>
              </w:rPr>
              <w:t xml:space="preserve">Estado</w:t>
            </w:r>
          </w:p>
        </w:tc>
        <w:tc>
          <w:tcPr>
            <w:tcW w:type="dxa" w:w="67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Implementado — pendiente de despliegue con secretos rotados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4D2A"/>
          <w:sz w:val="30"/>
          <w:szCs w:val="30"/>
        </w:rPr>
        <w:t xml:space="preserve">Tabla de contenidos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4D2A"/>
          <w:sz w:val="30"/>
          <w:szCs w:val="30"/>
        </w:rPr>
        <w:t xml:space="preserve">1. Resumen de la intervención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A partir de los hallazgos de la auditoría, se ejecutó un plan de endurecimiento sobre el código real de la plataforma. El criterio adoptado fue preparar el sistema para producción: se eliminaron los atajos de demostración del lado del cliente (que autenticaban o simulaban pagos sin respaldo del backend) y se trasladó toda la lógica de autorización y de verificación de pagos al servidor.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En paralelo se atendieron dos objetivos adicionales solicitados: hacer la aplicación plenamente responsive y empaquetarla como aplicación móvil. La aplicación web es ahora una PWA instalable y quedó preparada para generar un APK de Android.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B7A43"/>
          <w:sz w:val="25"/>
          <w:szCs w:val="25"/>
        </w:rPr>
        <w:t xml:space="preserve">1.1 Resultados</w:t>
      </w:r>
    </w:p>
    <w:tbl>
      <w:tblPr>
        <w:tblW w:type="dxa" w:w="9360"/>
        <w:tblBorders>
          <w:top w:val="single" w:color="D2DBD5" w:sz="2"/>
          <w:left w:val="single" w:color="D2DBD5" w:sz="2"/>
          <w:bottom w:val="single" w:color="D2DBD5" w:sz="2"/>
          <w:right w:val="single" w:color="D2DBD5" w:sz="2"/>
          <w:insideH w:val="single" w:color="D2DBD5" w:sz="2"/>
          <w:insideV w:val="single" w:color="D2DBD5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F4D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4680"/>
            <w:shd w:fill="0F4D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468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4D2A"/>
                <w:sz w:val="18"/>
                <w:szCs w:val="18"/>
              </w:rPr>
              <w:t xml:space="preserve">Hallazgos críticos corregidos</w:t>
            </w:r>
          </w:p>
        </w:tc>
        <w:tc>
          <w:tcPr>
            <w:tcW w:type="dxa" w:w="468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14 de 14</w:t>
            </w:r>
          </w:p>
        </w:tc>
      </w:tr>
      <w:tr>
        <w:tc>
          <w:tcPr>
            <w:tcW w:type="dxa" w:w="4680"/>
            <w:shd w:fill="F4F7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4D2A"/>
                <w:sz w:val="18"/>
                <w:szCs w:val="18"/>
              </w:rPr>
              <w:t xml:space="preserve">Hallazgos altos atendidos</w:t>
            </w:r>
          </w:p>
        </w:tc>
        <w:tc>
          <w:tcPr>
            <w:tcW w:type="dxa" w:w="4680"/>
            <w:shd w:fill="F4F7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8 de 8</w:t>
            </w:r>
          </w:p>
        </w:tc>
      </w:tr>
      <w:tr>
        <w:tc>
          <w:tcPr>
            <w:tcW w:type="dxa" w:w="468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4D2A"/>
                <w:sz w:val="18"/>
                <w:szCs w:val="18"/>
              </w:rPr>
              <w:t xml:space="preserve">Hallazgos medios atendidos</w:t>
            </w:r>
          </w:p>
        </w:tc>
        <w:tc>
          <w:tcPr>
            <w:tcW w:type="dxa" w:w="468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Mayoría (los de mayor impacto)</w:t>
            </w:r>
          </w:p>
        </w:tc>
      </w:tr>
      <w:tr>
        <w:tc>
          <w:tcPr>
            <w:tcW w:type="dxa" w:w="4680"/>
            <w:shd w:fill="F4F7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4D2A"/>
                <w:sz w:val="18"/>
                <w:szCs w:val="18"/>
              </w:rPr>
              <w:t xml:space="preserve">Compilación del frontend</w:t>
            </w:r>
          </w:p>
        </w:tc>
        <w:tc>
          <w:tcPr>
            <w:tcW w:type="dxa" w:w="4680"/>
            <w:shd w:fill="F4F7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Verificada (next build correcto)</w:t>
            </w:r>
          </w:p>
        </w:tc>
      </w:tr>
      <w:tr>
        <w:tc>
          <w:tcPr>
            <w:tcW w:type="dxa" w:w="468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4D2A"/>
                <w:sz w:val="18"/>
                <w:szCs w:val="18"/>
              </w:rPr>
              <w:t xml:space="preserve">Servicios verificados sintácticamente</w:t>
            </w:r>
          </w:p>
        </w:tc>
        <w:tc>
          <w:tcPr>
            <w:tcW w:type="dxa" w:w="468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Node, Python y gateway</w:t>
            </w:r>
          </w:p>
        </w:tc>
      </w:tr>
      <w:tr>
        <w:tc>
          <w:tcPr>
            <w:tcW w:type="dxa" w:w="4680"/>
            <w:shd w:fill="F4F7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4D2A"/>
                <w:sz w:val="18"/>
                <w:szCs w:val="18"/>
              </w:rPr>
              <w:t xml:space="preserve">Aplicación móvil</w:t>
            </w:r>
          </w:p>
        </w:tc>
        <w:tc>
          <w:tcPr>
            <w:tcW w:type="dxa" w:w="4680"/>
            <w:shd w:fill="F4F7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PWA instalable + proyecto Capacitor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4D2A"/>
          <w:sz w:val="30"/>
          <w:szCs w:val="30"/>
        </w:rPr>
        <w:t xml:space="preserve">2. Correcciones de hallazgos críticos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Cada defecto crítico fue corregido en el código. La siguiente tabla resume el problema y la corrección concreta aplicada.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B7A43"/>
          <w:sz w:val="25"/>
          <w:szCs w:val="25"/>
        </w:rPr>
        <w:t xml:space="preserve">2.1 Autenticación y control de acceso</w:t>
      </w:r>
    </w:p>
    <w:tbl>
      <w:tblPr>
        <w:tblW w:type="dxa" w:w="9360"/>
        <w:tblBorders>
          <w:top w:val="single" w:color="D2DBD5" w:sz="2"/>
          <w:left w:val="single" w:color="D2DBD5" w:sz="2"/>
          <w:bottom w:val="single" w:color="D2DBD5" w:sz="2"/>
          <w:right w:val="single" w:color="D2DBD5" w:sz="2"/>
          <w:insideH w:val="single" w:color="D2DBD5" w:sz="2"/>
          <w:insideV w:val="single" w:color="D2DBD5" w:sz="2"/>
        </w:tblBorders>
      </w:tblPr>
      <w:tblGrid>
        <w:gridCol w:w="820"/>
        <w:gridCol w:w="3400"/>
        <w:gridCol w:w="3320"/>
        <w:gridCol w:w="1820"/>
      </w:tblGrid>
      <w:tr>
        <w:trPr>
          <w:tblHeader/>
        </w:trPr>
        <w:tc>
          <w:tcPr>
            <w:tcW w:type="dxa" w:w="820"/>
            <w:shd w:fill="0F4D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400"/>
            <w:shd w:fill="0F4D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Problema</w:t>
            </w:r>
          </w:p>
        </w:tc>
        <w:tc>
          <w:tcPr>
            <w:tcW w:type="dxa" w:w="3320"/>
            <w:shd w:fill="0F4D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Corrección aplicada</w:t>
            </w:r>
          </w:p>
        </w:tc>
        <w:tc>
          <w:tcPr>
            <w:tcW w:type="dxa" w:w="1820"/>
            <w:shd w:fill="0F4D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82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8"/>
                <w:szCs w:val="18"/>
              </w:rPr>
              <w:t xml:space="preserve">C-01</w:t>
            </w:r>
          </w:p>
        </w:tc>
        <w:tc>
          <w:tcPr>
            <w:tcW w:type="dxa" w:w="3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Puerta trasera de login en el cliente</w:t>
            </w:r>
          </w:p>
        </w:tc>
        <w:tc>
          <w:tcPr>
            <w:tcW w:type="dxa" w:w="332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Eliminada; un fallo de autenticación ya no concede sesión</w:t>
            </w:r>
          </w:p>
        </w:tc>
        <w:tc>
          <w:tcPr>
            <w:tcW w:type="dxa" w:w="182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7A43"/>
                <w:sz w:val="17"/>
                <w:szCs w:val="17"/>
              </w:rPr>
              <w:t xml:space="preserve">✔ Corregido</w:t>
            </w:r>
          </w:p>
        </w:tc>
      </w:tr>
      <w:tr>
        <w:tc>
          <w:tcPr>
            <w:tcW w:type="dxa" w:w="820"/>
            <w:shd w:fill="F4F7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8"/>
                <w:szCs w:val="18"/>
              </w:rPr>
              <w:t xml:space="preserve">C-02</w:t>
            </w:r>
          </w:p>
        </w:tc>
        <w:tc>
          <w:tcPr>
            <w:tcW w:type="dxa" w:w="3400"/>
            <w:shd w:fill="F4F7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"Google" simulado sin OAuth</w:t>
            </w:r>
          </w:p>
        </w:tc>
        <w:tc>
          <w:tcPr>
            <w:tcW w:type="dxa" w:w="3320"/>
            <w:shd w:fill="F4F7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Retirado; usa flujo real del servidor o se deshabilita</w:t>
            </w:r>
          </w:p>
        </w:tc>
        <w:tc>
          <w:tcPr>
            <w:tcW w:type="dxa" w:w="1820"/>
            <w:shd w:fill="F4F7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7A43"/>
                <w:sz w:val="17"/>
                <w:szCs w:val="17"/>
              </w:rPr>
              <w:t xml:space="preserve">✔ Corregido</w:t>
            </w:r>
          </w:p>
        </w:tc>
      </w:tr>
      <w:tr>
        <w:tc>
          <w:tcPr>
            <w:tcW w:type="dxa" w:w="82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8"/>
                <w:szCs w:val="18"/>
              </w:rPr>
              <w:t xml:space="preserve">C-03</w:t>
            </w:r>
          </w:p>
        </w:tc>
        <w:tc>
          <w:tcPr>
            <w:tcW w:type="dxa" w:w="3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Rutas privadas solo validadas en cliente</w:t>
            </w:r>
          </w:p>
        </w:tc>
        <w:tc>
          <w:tcPr>
            <w:tcW w:type="dxa" w:w="332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Añadido middleware de servidor que valida el token</w:t>
            </w:r>
          </w:p>
        </w:tc>
        <w:tc>
          <w:tcPr>
            <w:tcW w:type="dxa" w:w="182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7A43"/>
                <w:sz w:val="17"/>
                <w:szCs w:val="17"/>
              </w:rPr>
              <w:t xml:space="preserve">✔ Corregido</w:t>
            </w:r>
          </w:p>
        </w:tc>
      </w:tr>
      <w:tr>
        <w:tc>
          <w:tcPr>
            <w:tcW w:type="dxa" w:w="820"/>
            <w:shd w:fill="F4F7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8"/>
                <w:szCs w:val="18"/>
              </w:rPr>
              <w:t xml:space="preserve">C-08</w:t>
            </w:r>
          </w:p>
        </w:tc>
        <w:tc>
          <w:tcPr>
            <w:tcW w:type="dxa" w:w="3400"/>
            <w:shd w:fill="F4F7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Registro permitía auto-asignar rol admin</w:t>
            </w:r>
          </w:p>
        </w:tc>
        <w:tc>
          <w:tcPr>
            <w:tcW w:type="dxa" w:w="3320"/>
            <w:shd w:fill="F4F7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El registro fuerza rol "customer" en el servidor</w:t>
            </w:r>
          </w:p>
        </w:tc>
        <w:tc>
          <w:tcPr>
            <w:tcW w:type="dxa" w:w="1820"/>
            <w:shd w:fill="F4F7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7A43"/>
                <w:sz w:val="17"/>
                <w:szCs w:val="17"/>
              </w:rPr>
              <w:t xml:space="preserve">✔ Corregido</w:t>
            </w:r>
          </w:p>
        </w:tc>
      </w:tr>
      <w:tr>
        <w:tc>
          <w:tcPr>
            <w:tcW w:type="dxa" w:w="82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8"/>
                <w:szCs w:val="18"/>
              </w:rPr>
              <w:t xml:space="preserve">C-09</w:t>
            </w:r>
          </w:p>
        </w:tc>
        <w:tc>
          <w:tcPr>
            <w:tcW w:type="dxa" w:w="3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product-service sin control por rol</w:t>
            </w:r>
          </w:p>
        </w:tc>
        <w:tc>
          <w:tcPr>
            <w:tcW w:type="dxa" w:w="332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RBAC real: crear/editar (proveedor/admin), auditar (admin)</w:t>
            </w:r>
          </w:p>
        </w:tc>
        <w:tc>
          <w:tcPr>
            <w:tcW w:type="dxa" w:w="182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7A43"/>
                <w:sz w:val="17"/>
                <w:szCs w:val="17"/>
              </w:rPr>
              <w:t xml:space="preserve">✔ Corregido</w:t>
            </w:r>
          </w:p>
        </w:tc>
      </w:tr>
      <w:tr>
        <w:tc>
          <w:tcPr>
            <w:tcW w:type="dxa" w:w="820"/>
            <w:shd w:fill="F4F7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8"/>
                <w:szCs w:val="18"/>
              </w:rPr>
              <w:t xml:space="preserve">C-13</w:t>
            </w:r>
          </w:p>
        </w:tc>
        <w:tc>
          <w:tcPr>
            <w:tcW w:type="dxa" w:w="3400"/>
            <w:shd w:fill="F4F7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Servicios Python sin autenticación</w:t>
            </w:r>
          </w:p>
        </w:tc>
        <w:tc>
          <w:tcPr>
            <w:tcW w:type="dxa" w:w="3320"/>
            <w:shd w:fill="F4F7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Aprobar/rechazar exigen JWT admin; notificar, secreto interno</w:t>
            </w:r>
          </w:p>
        </w:tc>
        <w:tc>
          <w:tcPr>
            <w:tcW w:type="dxa" w:w="1820"/>
            <w:shd w:fill="F4F7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7A43"/>
                <w:sz w:val="17"/>
                <w:szCs w:val="17"/>
              </w:rPr>
              <w:t xml:space="preserve">✔ Corregido</w:t>
            </w:r>
          </w:p>
        </w:tc>
      </w:tr>
    </w:tbl>
    <w:p>
      <w:pPr>
        <w:spacing w:after="140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B7A43"/>
          <w:sz w:val="25"/>
          <w:szCs w:val="25"/>
        </w:rPr>
        <w:t xml:space="preserve">2.2 Integridad de pagos y pedidos</w:t>
      </w:r>
    </w:p>
    <w:tbl>
      <w:tblPr>
        <w:tblW w:type="dxa" w:w="9360"/>
        <w:tblBorders>
          <w:top w:val="single" w:color="D2DBD5" w:sz="2"/>
          <w:left w:val="single" w:color="D2DBD5" w:sz="2"/>
          <w:bottom w:val="single" w:color="D2DBD5" w:sz="2"/>
          <w:right w:val="single" w:color="D2DBD5" w:sz="2"/>
          <w:insideH w:val="single" w:color="D2DBD5" w:sz="2"/>
          <w:insideV w:val="single" w:color="D2DBD5" w:sz="2"/>
        </w:tblBorders>
      </w:tblPr>
      <w:tblGrid>
        <w:gridCol w:w="820"/>
        <w:gridCol w:w="3400"/>
        <w:gridCol w:w="3320"/>
        <w:gridCol w:w="1820"/>
      </w:tblGrid>
      <w:tr>
        <w:trPr>
          <w:tblHeader/>
        </w:trPr>
        <w:tc>
          <w:tcPr>
            <w:tcW w:type="dxa" w:w="820"/>
            <w:shd w:fill="0F4D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400"/>
            <w:shd w:fill="0F4D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Problema</w:t>
            </w:r>
          </w:p>
        </w:tc>
        <w:tc>
          <w:tcPr>
            <w:tcW w:type="dxa" w:w="3320"/>
            <w:shd w:fill="0F4D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Corrección aplicada</w:t>
            </w:r>
          </w:p>
        </w:tc>
        <w:tc>
          <w:tcPr>
            <w:tcW w:type="dxa" w:w="1820"/>
            <w:shd w:fill="0F4D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82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8"/>
                <w:szCs w:val="18"/>
              </w:rPr>
              <w:t xml:space="preserve">C-05</w:t>
            </w:r>
          </w:p>
        </w:tc>
        <w:tc>
          <w:tcPr>
            <w:tcW w:type="dxa" w:w="3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Checkout simulaba pago exitoso al fallar</w:t>
            </w:r>
          </w:p>
        </w:tc>
        <w:tc>
          <w:tcPr>
            <w:tcW w:type="dxa" w:w="332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Un fallo ahora se muestra como error; sin cargo</w:t>
            </w:r>
          </w:p>
        </w:tc>
        <w:tc>
          <w:tcPr>
            <w:tcW w:type="dxa" w:w="182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7A43"/>
                <w:sz w:val="17"/>
                <w:szCs w:val="17"/>
              </w:rPr>
              <w:t xml:space="preserve">✔ Corregido</w:t>
            </w:r>
          </w:p>
        </w:tc>
      </w:tr>
      <w:tr>
        <w:tc>
          <w:tcPr>
            <w:tcW w:type="dxa" w:w="820"/>
            <w:shd w:fill="F4F7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8"/>
                <w:szCs w:val="18"/>
              </w:rPr>
              <w:t xml:space="preserve">C-06</w:t>
            </w:r>
          </w:p>
        </w:tc>
        <w:tc>
          <w:tcPr>
            <w:tcW w:type="dxa" w:w="3400"/>
            <w:shd w:fill="F4F7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Firma de webhook Stripe evadible</w:t>
            </w:r>
          </w:p>
        </w:tc>
        <w:tc>
          <w:tcPr>
            <w:tcW w:type="dxa" w:w="3320"/>
            <w:shd w:fill="F4F7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La firma se verifica siempre; sin firma se rechaza</w:t>
            </w:r>
          </w:p>
        </w:tc>
        <w:tc>
          <w:tcPr>
            <w:tcW w:type="dxa" w:w="1820"/>
            <w:shd w:fill="F4F7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7A43"/>
                <w:sz w:val="17"/>
                <w:szCs w:val="17"/>
              </w:rPr>
              <w:t xml:space="preserve">✔ Corregido</w:t>
            </w:r>
          </w:p>
        </w:tc>
      </w:tr>
      <w:tr>
        <w:tc>
          <w:tcPr>
            <w:tcW w:type="dxa" w:w="82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8"/>
                <w:szCs w:val="18"/>
              </w:rPr>
              <w:t xml:space="preserve">C-07</w:t>
            </w:r>
          </w:p>
        </w:tc>
        <w:tc>
          <w:tcPr>
            <w:tcW w:type="dxa" w:w="3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Confirmación de pago pública y no idempotente</w:t>
            </w:r>
          </w:p>
        </w:tc>
        <w:tc>
          <w:tcPr>
            <w:tcW w:type="dxa" w:w="332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Autenticada con secreto interno + idempotente</w:t>
            </w:r>
          </w:p>
        </w:tc>
        <w:tc>
          <w:tcPr>
            <w:tcW w:type="dxa" w:w="182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7A43"/>
                <w:sz w:val="17"/>
                <w:szCs w:val="17"/>
              </w:rPr>
              <w:t xml:space="preserve">✔ Corregido</w:t>
            </w:r>
          </w:p>
        </w:tc>
      </w:tr>
      <w:tr>
        <w:tc>
          <w:tcPr>
            <w:tcW w:type="dxa" w:w="820"/>
            <w:shd w:fill="F4F7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8"/>
                <w:szCs w:val="18"/>
              </w:rPr>
              <w:t xml:space="preserve">C-10</w:t>
            </w:r>
          </w:p>
        </w:tc>
        <w:tc>
          <w:tcPr>
            <w:tcW w:type="dxa" w:w="3400"/>
            <w:shd w:fill="F4F7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IDOR: pedidos de otros clientes</w:t>
            </w:r>
          </w:p>
        </w:tc>
        <w:tc>
          <w:tcPr>
            <w:tcW w:type="dxa" w:w="3320"/>
            <w:shd w:fill="F4F7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El historial solo lo consulta su dueño o un admin</w:t>
            </w:r>
          </w:p>
        </w:tc>
        <w:tc>
          <w:tcPr>
            <w:tcW w:type="dxa" w:w="1820"/>
            <w:shd w:fill="F4F7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7A43"/>
                <w:sz w:val="17"/>
                <w:szCs w:val="17"/>
              </w:rPr>
              <w:t xml:space="preserve">✔ Corregido</w:t>
            </w:r>
          </w:p>
        </w:tc>
      </w:tr>
      <w:tr>
        <w:tc>
          <w:tcPr>
            <w:tcW w:type="dxa" w:w="82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8"/>
                <w:szCs w:val="18"/>
              </w:rPr>
              <w:t xml:space="preserve">C-11</w:t>
            </w:r>
          </w:p>
        </w:tc>
        <w:tc>
          <w:tcPr>
            <w:tcW w:type="dxa" w:w="3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Pedidos con cantidades negativas</w:t>
            </w:r>
          </w:p>
        </w:tc>
        <w:tc>
          <w:tcPr>
            <w:tcW w:type="dxa" w:w="332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Cantidad validada como entero positivo (≥ 1)</w:t>
            </w:r>
          </w:p>
        </w:tc>
        <w:tc>
          <w:tcPr>
            <w:tcW w:type="dxa" w:w="182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7A43"/>
                <w:sz w:val="17"/>
                <w:szCs w:val="17"/>
              </w:rPr>
              <w:t xml:space="preserve">✔ Corregido</w:t>
            </w:r>
          </w:p>
        </w:tc>
      </w:tr>
      <w:tr>
        <w:tc>
          <w:tcPr>
            <w:tcW w:type="dxa" w:w="820"/>
            <w:shd w:fill="F4F7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8"/>
                <w:szCs w:val="18"/>
              </w:rPr>
              <w:t xml:space="preserve">C-12</w:t>
            </w:r>
          </w:p>
        </w:tc>
        <w:tc>
          <w:tcPr>
            <w:tcW w:type="dxa" w:w="3400"/>
            <w:shd w:fill="F4F7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Monto de pago enviado por el cliente</w:t>
            </w:r>
          </w:p>
        </w:tc>
        <w:tc>
          <w:tcPr>
            <w:tcW w:type="dxa" w:w="3320"/>
            <w:shd w:fill="F4F7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El importe se recalcula en el servidor desde el pedido</w:t>
            </w:r>
          </w:p>
        </w:tc>
        <w:tc>
          <w:tcPr>
            <w:tcW w:type="dxa" w:w="1820"/>
            <w:shd w:fill="F4F7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7A43"/>
                <w:sz w:val="17"/>
                <w:szCs w:val="17"/>
              </w:rPr>
              <w:t xml:space="preserve">✔ Corregido</w:t>
            </w:r>
          </w:p>
        </w:tc>
      </w:tr>
    </w:tbl>
    <w:p>
      <w:pPr>
        <w:spacing w:after="140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B7A43"/>
          <w:sz w:val="25"/>
          <w:szCs w:val="25"/>
        </w:rPr>
        <w:t xml:space="preserve">2.3 Gestión de secretos</w:t>
      </w:r>
    </w:p>
    <w:tbl>
      <w:tblPr>
        <w:tblW w:type="dxa" w:w="9360"/>
        <w:tblBorders>
          <w:top w:val="single" w:color="D2DBD5" w:sz="2"/>
          <w:left w:val="single" w:color="D2DBD5" w:sz="2"/>
          <w:bottom w:val="single" w:color="D2DBD5" w:sz="2"/>
          <w:right w:val="single" w:color="D2DBD5" w:sz="2"/>
          <w:insideH w:val="single" w:color="D2DBD5" w:sz="2"/>
          <w:insideV w:val="single" w:color="D2DBD5" w:sz="2"/>
        </w:tblBorders>
      </w:tblPr>
      <w:tblGrid>
        <w:gridCol w:w="820"/>
        <w:gridCol w:w="3400"/>
        <w:gridCol w:w="3320"/>
        <w:gridCol w:w="1820"/>
      </w:tblGrid>
      <w:tr>
        <w:trPr>
          <w:tblHeader/>
        </w:trPr>
        <w:tc>
          <w:tcPr>
            <w:tcW w:type="dxa" w:w="820"/>
            <w:shd w:fill="0F4D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400"/>
            <w:shd w:fill="0F4D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Problema</w:t>
            </w:r>
          </w:p>
        </w:tc>
        <w:tc>
          <w:tcPr>
            <w:tcW w:type="dxa" w:w="3320"/>
            <w:shd w:fill="0F4D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Corrección aplicada</w:t>
            </w:r>
          </w:p>
        </w:tc>
        <w:tc>
          <w:tcPr>
            <w:tcW w:type="dxa" w:w="1820"/>
            <w:shd w:fill="0F4D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82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8"/>
                <w:szCs w:val="18"/>
              </w:rPr>
              <w:t xml:space="preserve">C-14</w:t>
            </w:r>
          </w:p>
        </w:tc>
        <w:tc>
          <w:tcPr>
            <w:tcW w:type="dxa" w:w="3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Secreto JWT hardcodeado y versionado</w:t>
            </w:r>
          </w:p>
        </w:tc>
        <w:tc>
          <w:tcPr>
            <w:tcW w:type="dxa" w:w="332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Movido a variable de entorno (sync:false); fail-fast</w:t>
            </w:r>
          </w:p>
        </w:tc>
        <w:tc>
          <w:tcPr>
            <w:tcW w:type="dxa" w:w="182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7A43"/>
                <w:sz w:val="17"/>
                <w:szCs w:val="17"/>
              </w:rPr>
              <w:t xml:space="preserve">✔ Corregido</w:t>
            </w:r>
          </w:p>
        </w:tc>
      </w:tr>
      <w:tr>
        <w:tc>
          <w:tcPr>
            <w:tcW w:type="dxa" w:w="820"/>
            <w:shd w:fill="F4F7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8"/>
                <w:szCs w:val="18"/>
              </w:rPr>
              <w:t xml:space="preserve">C-04</w:t>
            </w:r>
          </w:p>
        </w:tc>
        <w:tc>
          <w:tcPr>
            <w:tcW w:type="dxa" w:w="3400"/>
            <w:shd w:fill="F4F7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XSS almacenado en el panel de auditoría</w:t>
            </w:r>
          </w:p>
        </w:tc>
        <w:tc>
          <w:tcPr>
            <w:tcW w:type="dxa" w:w="3320"/>
            <w:shd w:fill="F4F7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Todos los campos de usuario se escapan antes de renderizar</w:t>
            </w:r>
          </w:p>
        </w:tc>
        <w:tc>
          <w:tcPr>
            <w:tcW w:type="dxa" w:w="1820"/>
            <w:shd w:fill="F4F7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7A43"/>
                <w:sz w:val="17"/>
                <w:szCs w:val="17"/>
              </w:rPr>
              <w:t xml:space="preserve">✔ Corregido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4D2A"/>
          <w:sz w:val="30"/>
          <w:szCs w:val="30"/>
        </w:rPr>
        <w:t xml:space="preserve">3. Hallazgos altos y medios atendidos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B7A43"/>
          <w:sz w:val="25"/>
          <w:szCs w:val="25"/>
        </w:rPr>
        <w:t xml:space="preserve">3.1 Severidad alta</w:t>
      </w:r>
    </w:p>
    <w:tbl>
      <w:tblPr>
        <w:tblW w:type="dxa" w:w="9360"/>
        <w:tblBorders>
          <w:top w:val="single" w:color="D2DBD5" w:sz="2"/>
          <w:left w:val="single" w:color="D2DBD5" w:sz="2"/>
          <w:bottom w:val="single" w:color="D2DBD5" w:sz="2"/>
          <w:right w:val="single" w:color="D2DBD5" w:sz="2"/>
          <w:insideH w:val="single" w:color="D2DBD5" w:sz="2"/>
          <w:insideV w:val="single" w:color="D2DBD5" w:sz="2"/>
        </w:tblBorders>
      </w:tblPr>
      <w:tblGrid>
        <w:gridCol w:w="820"/>
        <w:gridCol w:w="3400"/>
        <w:gridCol w:w="3320"/>
        <w:gridCol w:w="1820"/>
      </w:tblGrid>
      <w:tr>
        <w:trPr>
          <w:tblHeader/>
        </w:trPr>
        <w:tc>
          <w:tcPr>
            <w:tcW w:type="dxa" w:w="820"/>
            <w:shd w:fill="0F4D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400"/>
            <w:shd w:fill="0F4D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Problema</w:t>
            </w:r>
          </w:p>
        </w:tc>
        <w:tc>
          <w:tcPr>
            <w:tcW w:type="dxa" w:w="3320"/>
            <w:shd w:fill="0F4D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Corrección aplicada</w:t>
            </w:r>
          </w:p>
        </w:tc>
        <w:tc>
          <w:tcPr>
            <w:tcW w:type="dxa" w:w="1820"/>
            <w:shd w:fill="0F4D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82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54708"/>
                <w:sz w:val="18"/>
                <w:szCs w:val="18"/>
              </w:rPr>
              <w:t xml:space="preserve">A-01</w:t>
            </w:r>
          </w:p>
        </w:tc>
        <w:tc>
          <w:tcPr>
            <w:tcW w:type="dxa" w:w="3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Rate limit evadible vía X-Forwarded-For</w:t>
            </w:r>
          </w:p>
        </w:tc>
        <w:tc>
          <w:tcPr>
            <w:tcW w:type="dxa" w:w="332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Solo se confía en el proxy si TRUST_PROXY=true</w:t>
            </w:r>
          </w:p>
        </w:tc>
        <w:tc>
          <w:tcPr>
            <w:tcW w:type="dxa" w:w="182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7A43"/>
                <w:sz w:val="17"/>
                <w:szCs w:val="17"/>
              </w:rPr>
              <w:t xml:space="preserve">✔ Corregido</w:t>
            </w:r>
          </w:p>
        </w:tc>
      </w:tr>
      <w:tr>
        <w:tc>
          <w:tcPr>
            <w:tcW w:type="dxa" w:w="820"/>
            <w:shd w:fill="F4F7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54708"/>
                <w:sz w:val="18"/>
                <w:szCs w:val="18"/>
              </w:rPr>
              <w:t xml:space="preserve">A-03</w:t>
            </w:r>
          </w:p>
        </w:tc>
        <w:tc>
          <w:tcPr>
            <w:tcW w:type="dxa" w:w="3400"/>
            <w:shd w:fill="F4F7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Contraseñas guardadas en el navegador</w:t>
            </w:r>
          </w:p>
        </w:tc>
        <w:tc>
          <w:tcPr>
            <w:tcW w:type="dxa" w:w="3320"/>
            <w:shd w:fill="F4F7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Eliminado el almacenamiento local de credenciales</w:t>
            </w:r>
          </w:p>
        </w:tc>
        <w:tc>
          <w:tcPr>
            <w:tcW w:type="dxa" w:w="1820"/>
            <w:shd w:fill="F4F7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7A43"/>
                <w:sz w:val="17"/>
                <w:szCs w:val="17"/>
              </w:rPr>
              <w:t xml:space="preserve">✔ Corregido</w:t>
            </w:r>
          </w:p>
        </w:tc>
      </w:tr>
      <w:tr>
        <w:tc>
          <w:tcPr>
            <w:tcW w:type="dxa" w:w="82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54708"/>
                <w:sz w:val="18"/>
                <w:szCs w:val="18"/>
              </w:rPr>
              <w:t xml:space="preserve">A-04</w:t>
            </w:r>
          </w:p>
        </w:tc>
        <w:tc>
          <w:tcPr>
            <w:tcW w:type="dxa" w:w="3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CSP con unsafe-eval</w:t>
            </w:r>
          </w:p>
        </w:tc>
        <w:tc>
          <w:tcPr>
            <w:tcW w:type="dxa" w:w="332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Eliminado unsafe-eval; connect-src sin localhost en prod</w:t>
            </w:r>
          </w:p>
        </w:tc>
        <w:tc>
          <w:tcPr>
            <w:tcW w:type="dxa" w:w="182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7A43"/>
                <w:sz w:val="17"/>
                <w:szCs w:val="17"/>
              </w:rPr>
              <w:t xml:space="preserve">✔ Corregido</w:t>
            </w:r>
          </w:p>
        </w:tc>
      </w:tr>
      <w:tr>
        <w:tc>
          <w:tcPr>
            <w:tcW w:type="dxa" w:w="820"/>
            <w:shd w:fill="F4F7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54708"/>
                <w:sz w:val="18"/>
                <w:szCs w:val="18"/>
              </w:rPr>
              <w:t xml:space="preserve">A-05</w:t>
            </w:r>
          </w:p>
        </w:tc>
        <w:tc>
          <w:tcPr>
            <w:tcW w:type="dxa" w:w="3400"/>
            <w:shd w:fill="F4F7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Gateway reflejaba cualquier origen (CORS)</w:t>
            </w:r>
          </w:p>
        </w:tc>
        <w:tc>
          <w:tcPr>
            <w:tcW w:type="dxa" w:w="3320"/>
            <w:shd w:fill="F4F7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CORS por lista blanca de orígenes</w:t>
            </w:r>
          </w:p>
        </w:tc>
        <w:tc>
          <w:tcPr>
            <w:tcW w:type="dxa" w:w="1820"/>
            <w:shd w:fill="F4F7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7A43"/>
                <w:sz w:val="17"/>
                <w:szCs w:val="17"/>
              </w:rPr>
              <w:t xml:space="preserve">✔ Corregido</w:t>
            </w:r>
          </w:p>
        </w:tc>
      </w:tr>
      <w:tr>
        <w:tc>
          <w:tcPr>
            <w:tcW w:type="dxa" w:w="82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54708"/>
                <w:sz w:val="18"/>
                <w:szCs w:val="18"/>
              </w:rPr>
              <w:t xml:space="preserve">A-06</w:t>
            </w:r>
          </w:p>
        </w:tc>
        <w:tc>
          <w:tcPr>
            <w:tcW w:type="dxa" w:w="3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Kong Admin API expuesta</w:t>
            </w:r>
          </w:p>
        </w:tc>
        <w:tc>
          <w:tcPr>
            <w:tcW w:type="dxa" w:w="332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Enlazada a loopback; puerto no publicado</w:t>
            </w:r>
          </w:p>
        </w:tc>
        <w:tc>
          <w:tcPr>
            <w:tcW w:type="dxa" w:w="182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7A43"/>
                <w:sz w:val="17"/>
                <w:szCs w:val="17"/>
              </w:rPr>
              <w:t xml:space="preserve">✔ Corregido</w:t>
            </w:r>
          </w:p>
        </w:tc>
      </w:tr>
      <w:tr>
        <w:tc>
          <w:tcPr>
            <w:tcW w:type="dxa" w:w="820"/>
            <w:shd w:fill="F4F7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54708"/>
                <w:sz w:val="18"/>
                <w:szCs w:val="18"/>
              </w:rPr>
              <w:t xml:space="preserve">A-07</w:t>
            </w:r>
          </w:p>
        </w:tc>
        <w:tc>
          <w:tcPr>
            <w:tcW w:type="dxa" w:w="3400"/>
            <w:shd w:fill="F4F7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Fallback de secreto JWT en pagos</w:t>
            </w:r>
          </w:p>
        </w:tc>
        <w:tc>
          <w:tcPr>
            <w:tcW w:type="dxa" w:w="3320"/>
            <w:shd w:fill="F4F7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Eliminado; el servicio no arranca sin JWT_SECRET</w:t>
            </w:r>
          </w:p>
        </w:tc>
        <w:tc>
          <w:tcPr>
            <w:tcW w:type="dxa" w:w="1820"/>
            <w:shd w:fill="F4F7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7A43"/>
                <w:sz w:val="17"/>
                <w:szCs w:val="17"/>
              </w:rPr>
              <w:t xml:space="preserve">✔ Corregido</w:t>
            </w:r>
          </w:p>
        </w:tc>
      </w:tr>
      <w:tr>
        <w:tc>
          <w:tcPr>
            <w:tcW w:type="dxa" w:w="82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54708"/>
                <w:sz w:val="18"/>
                <w:szCs w:val="18"/>
              </w:rPr>
              <w:t xml:space="preserve">A-08</w:t>
            </w:r>
          </w:p>
        </w:tc>
        <w:tc>
          <w:tcPr>
            <w:tcW w:type="dxa" w:w="3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Modo demo de pago fail-open</w:t>
            </w:r>
          </w:p>
        </w:tc>
        <w:tc>
          <w:tcPr>
            <w:tcW w:type="dxa" w:w="332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Solo se activa con PAYMENTS_DEMO_MODE=true</w:t>
            </w:r>
          </w:p>
        </w:tc>
        <w:tc>
          <w:tcPr>
            <w:tcW w:type="dxa" w:w="182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7A43"/>
                <w:sz w:val="17"/>
                <w:szCs w:val="17"/>
              </w:rPr>
              <w:t xml:space="preserve">✔ Corregido</w:t>
            </w:r>
          </w:p>
        </w:tc>
      </w:tr>
    </w:tbl>
    <w:p>
      <w:pPr>
        <w:spacing w:after="140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B7A43"/>
          <w:sz w:val="25"/>
          <w:szCs w:val="25"/>
        </w:rPr>
        <w:t xml:space="preserve">3.2 Severidad media</w:t>
      </w:r>
    </w:p>
    <w:tbl>
      <w:tblPr>
        <w:tblW w:type="dxa" w:w="9360"/>
        <w:tblBorders>
          <w:top w:val="single" w:color="D2DBD5" w:sz="2"/>
          <w:left w:val="single" w:color="D2DBD5" w:sz="2"/>
          <w:bottom w:val="single" w:color="D2DBD5" w:sz="2"/>
          <w:right w:val="single" w:color="D2DBD5" w:sz="2"/>
          <w:insideH w:val="single" w:color="D2DBD5" w:sz="2"/>
          <w:insideV w:val="single" w:color="D2DBD5" w:sz="2"/>
        </w:tblBorders>
      </w:tblPr>
      <w:tblGrid>
        <w:gridCol w:w="820"/>
        <w:gridCol w:w="3400"/>
        <w:gridCol w:w="3320"/>
        <w:gridCol w:w="1820"/>
      </w:tblGrid>
      <w:tr>
        <w:trPr>
          <w:tblHeader/>
        </w:trPr>
        <w:tc>
          <w:tcPr>
            <w:tcW w:type="dxa" w:w="820"/>
            <w:shd w:fill="0F4D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400"/>
            <w:shd w:fill="0F4D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Problema</w:t>
            </w:r>
          </w:p>
        </w:tc>
        <w:tc>
          <w:tcPr>
            <w:tcW w:type="dxa" w:w="3320"/>
            <w:shd w:fill="0F4D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Corrección aplicada</w:t>
            </w:r>
          </w:p>
        </w:tc>
        <w:tc>
          <w:tcPr>
            <w:tcW w:type="dxa" w:w="1820"/>
            <w:shd w:fill="0F4D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82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854D0E"/>
                <w:sz w:val="18"/>
                <w:szCs w:val="18"/>
              </w:rPr>
              <w:t xml:space="preserve">M-02</w:t>
            </w:r>
          </w:p>
        </w:tc>
        <w:tc>
          <w:tcPr>
            <w:tcW w:type="dxa" w:w="3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Credenciales de Mongo por defecto</w:t>
            </w:r>
          </w:p>
        </w:tc>
        <w:tc>
          <w:tcPr>
            <w:tcW w:type="dxa" w:w="332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MONGO_URI sin valor por defecto (fail-fast)</w:t>
            </w:r>
          </w:p>
        </w:tc>
        <w:tc>
          <w:tcPr>
            <w:tcW w:type="dxa" w:w="182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7A43"/>
                <w:sz w:val="17"/>
                <w:szCs w:val="17"/>
              </w:rPr>
              <w:t xml:space="preserve">✔ Corregido</w:t>
            </w:r>
          </w:p>
        </w:tc>
      </w:tr>
      <w:tr>
        <w:tc>
          <w:tcPr>
            <w:tcW w:type="dxa" w:w="820"/>
            <w:shd w:fill="F4F7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854D0E"/>
                <w:sz w:val="18"/>
                <w:szCs w:val="18"/>
              </w:rPr>
              <w:t xml:space="preserve">M-03</w:t>
            </w:r>
          </w:p>
        </w:tc>
        <w:tc>
          <w:tcPr>
            <w:tcW w:type="dxa" w:w="3400"/>
            <w:shd w:fill="F4F7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Admin reseteado y logueado en claro</w:t>
            </w:r>
          </w:p>
        </w:tc>
        <w:tc>
          <w:tcPr>
            <w:tcW w:type="dxa" w:w="3320"/>
            <w:shd w:fill="F4F7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Se crea solo si falta; contraseña por entorno; sin log</w:t>
            </w:r>
          </w:p>
        </w:tc>
        <w:tc>
          <w:tcPr>
            <w:tcW w:type="dxa" w:w="1820"/>
            <w:shd w:fill="F4F7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7A43"/>
                <w:sz w:val="17"/>
                <w:szCs w:val="17"/>
              </w:rPr>
              <w:t xml:space="preserve">✔ Corregido</w:t>
            </w:r>
          </w:p>
        </w:tc>
      </w:tr>
      <w:tr>
        <w:tc>
          <w:tcPr>
            <w:tcW w:type="dxa" w:w="82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854D0E"/>
                <w:sz w:val="18"/>
                <w:szCs w:val="18"/>
              </w:rPr>
              <w:t xml:space="preserve">M-06</w:t>
            </w:r>
          </w:p>
        </w:tc>
        <w:tc>
          <w:tcPr>
            <w:tcW w:type="dxa" w:w="3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Errores internos filtrados al cliente</w:t>
            </w:r>
          </w:p>
        </w:tc>
        <w:tc>
          <w:tcPr>
            <w:tcW w:type="dxa" w:w="332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Los detalles se registran en servidor, no se devuelven</w:t>
            </w:r>
          </w:p>
        </w:tc>
        <w:tc>
          <w:tcPr>
            <w:tcW w:type="dxa" w:w="182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7A43"/>
                <w:sz w:val="17"/>
                <w:szCs w:val="17"/>
              </w:rPr>
              <w:t xml:space="preserve">✔ Corregido</w:t>
            </w:r>
          </w:p>
        </w:tc>
      </w:tr>
      <w:tr>
        <w:tc>
          <w:tcPr>
            <w:tcW w:type="dxa" w:w="820"/>
            <w:shd w:fill="F4F7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854D0E"/>
                <w:sz w:val="18"/>
                <w:szCs w:val="18"/>
              </w:rPr>
              <w:t xml:space="preserve">M-07</w:t>
            </w:r>
          </w:p>
        </w:tc>
        <w:tc>
          <w:tcPr>
            <w:tcW w:type="dxa" w:w="3400"/>
            <w:shd w:fill="F4F7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Sin idempotencia en Stripe</w:t>
            </w:r>
          </w:p>
        </w:tc>
        <w:tc>
          <w:tcPr>
            <w:tcW w:type="dxa" w:w="3320"/>
            <w:shd w:fill="F4F7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Clave de idempotencia por pedido</w:t>
            </w:r>
          </w:p>
        </w:tc>
        <w:tc>
          <w:tcPr>
            <w:tcW w:type="dxa" w:w="1820"/>
            <w:shd w:fill="F4F7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7A43"/>
                <w:sz w:val="17"/>
                <w:szCs w:val="17"/>
              </w:rPr>
              <w:t xml:space="preserve">✔ Corregido</w:t>
            </w:r>
          </w:p>
        </w:tc>
      </w:tr>
      <w:tr>
        <w:tc>
          <w:tcPr>
            <w:tcW w:type="dxa" w:w="82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854D0E"/>
                <w:sz w:val="18"/>
                <w:szCs w:val="18"/>
              </w:rPr>
              <w:t xml:space="preserve">M-09</w:t>
            </w:r>
          </w:p>
        </w:tc>
        <w:tc>
          <w:tcPr>
            <w:tcW w:type="dxa" w:w="3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Contenedores como root</w:t>
            </w:r>
          </w:p>
        </w:tc>
        <w:tc>
          <w:tcPr>
            <w:tcW w:type="dxa" w:w="332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Todos los servicios corren como usuario no privilegiado</w:t>
            </w:r>
          </w:p>
        </w:tc>
        <w:tc>
          <w:tcPr>
            <w:tcW w:type="dxa" w:w="182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7A43"/>
                <w:sz w:val="17"/>
                <w:szCs w:val="17"/>
              </w:rPr>
              <w:t xml:space="preserve">✔ Corregido</w:t>
            </w:r>
          </w:p>
        </w:tc>
      </w:tr>
      <w:tr>
        <w:tc>
          <w:tcPr>
            <w:tcW w:type="dxa" w:w="820"/>
            <w:shd w:fill="F4F7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F6212"/>
                <w:sz w:val="18"/>
                <w:szCs w:val="18"/>
              </w:rPr>
              <w:t xml:space="preserve">B-01</w:t>
            </w:r>
          </w:p>
        </w:tc>
        <w:tc>
          <w:tcPr>
            <w:tcW w:type="dxa" w:w="3400"/>
            <w:shd w:fill="F4F7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Dependencia stripe desactualizada</w:t>
            </w:r>
          </w:p>
        </w:tc>
        <w:tc>
          <w:tcPr>
            <w:tcW w:type="dxa" w:w="3320"/>
            <w:shd w:fill="F4F7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Actualizada a la línea 17.x</w:t>
            </w:r>
          </w:p>
        </w:tc>
        <w:tc>
          <w:tcPr>
            <w:tcW w:type="dxa" w:w="1820"/>
            <w:shd w:fill="F4F7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7A43"/>
                <w:sz w:val="17"/>
                <w:szCs w:val="17"/>
              </w:rPr>
              <w:t xml:space="preserve">✔ Corregido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4D2A"/>
          <w:sz w:val="30"/>
          <w:szCs w:val="30"/>
        </w:rPr>
        <w:t xml:space="preserve">4. Responsividad y aplicación móvil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B7A43"/>
          <w:sz w:val="25"/>
          <w:szCs w:val="25"/>
        </w:rPr>
        <w:t xml:space="preserve">4.1 Responsive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Se incorporó la metaetiqueta de viewport (ausente hasta ahora), sin la cual los navegadores móviles renderizan la página a ancho de escritorio. Se añadieron también el color de tema e iconos adaptados. La interfaz ya empleaba un sistema de utilidades con puntos de quiebre para móvil, tablet y escritorio.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B7A43"/>
          <w:sz w:val="25"/>
          <w:szCs w:val="25"/>
        </w:rPr>
        <w:t xml:space="preserve">4.2 PWA instalable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La aplicación es ahora una PWA instalable: incluye manifiesto, iconos con la identidad de EcoMarket y un service worker con una estrategia conservadora que nunca almacena en caché las respuestas de la API (precios, stock y pagos siempre frescos). Desde un navegador móvil compatible puede instalarse como aplicación.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B7A43"/>
          <w:sz w:val="25"/>
          <w:szCs w:val="25"/>
        </w:rPr>
        <w:t xml:space="preserve">4.3 Empaquetado como APK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Se preparó la configuración de Capacitor para generar un APK de Android que envuelve la aplicación desplegada sobre HTTPS. Se documentaron dos vías: PWABuilder (genera el paquete desde el navegador, sin instalar herramientas) y Android Studio (build nativo). El detalle está en la guía BUILD_APK.md del proyecto.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4D2A"/>
          <w:sz w:val="30"/>
          <w:szCs w:val="30"/>
        </w:rPr>
        <w:t xml:space="preserve">5. Acciones pendientes para el despliegue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La corrección del código está completa. Para activar las mejoras en producción se requieren las siguientes acciones operativas, que dependen del entorno y no del código: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00"/>
        <w:gridCol w:w="8760"/>
      </w:tblGrid>
      <w:tr>
        <w:tc>
          <w:tcPr>
            <w:tcW w:type="dxa" w:w="600"/>
            <w:tcMar>
              <w:top w:type="dxa" w:w="40"/>
              <w:bottom w:type="dxa" w:w="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7A43"/>
                <w:sz w:val="22"/>
                <w:szCs w:val="22"/>
              </w:rPr>
              <w:t xml:space="preserve">1</w:t>
            </w:r>
          </w:p>
        </w:tc>
        <w:tc>
          <w:tcPr>
            <w:tcW w:type="dxa" w:w="8760"/>
            <w:tcMar>
              <w:top w:type="dxa" w:w="40"/>
              <w:left w:type="dxa" w:w="80"/>
              <w:bottom w:type="dxa" w:w="4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Rotar el secreto JWT anterior (estuvo versionado y debe considerarse comprometido) y purgarlo del historial del repositorio.</w:t>
            </w:r>
          </w:p>
        </w:tc>
      </w:tr>
      <w:tr>
        <w:tc>
          <w:tcPr>
            <w:tcW w:type="dxa" w:w="600"/>
            <w:tcMar>
              <w:top w:type="dxa" w:w="40"/>
              <w:bottom w:type="dxa" w:w="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7A43"/>
                <w:sz w:val="22"/>
                <w:szCs w:val="22"/>
              </w:rPr>
              <w:t xml:space="preserve">2</w:t>
            </w:r>
          </w:p>
        </w:tc>
        <w:tc>
          <w:tcPr>
            <w:tcW w:type="dxa" w:w="8760"/>
            <w:tcMar>
              <w:top w:type="dxa" w:w="40"/>
              <w:left w:type="dxa" w:w="80"/>
              <w:bottom w:type="dxa" w:w="4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Configurar en el gestor de secretos las variables: JWT_SECRET, INTERNAL_SERVICE_SECRET y MONGO_URI (con credenciales fuertes).</w:t>
            </w:r>
          </w:p>
        </w:tc>
      </w:tr>
      <w:tr>
        <w:tc>
          <w:tcPr>
            <w:tcW w:type="dxa" w:w="600"/>
            <w:tcMar>
              <w:top w:type="dxa" w:w="40"/>
              <w:bottom w:type="dxa" w:w="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7A43"/>
                <w:sz w:val="22"/>
                <w:szCs w:val="22"/>
              </w:rPr>
              <w:t xml:space="preserve">3</w:t>
            </w:r>
          </w:p>
        </w:tc>
        <w:tc>
          <w:tcPr>
            <w:tcW w:type="dxa" w:w="8760"/>
            <w:tcMar>
              <w:top w:type="dxa" w:w="40"/>
              <w:left w:type="dxa" w:w="80"/>
              <w:bottom w:type="dxa" w:w="4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Asegurar que PAYMENTS_DEMO_MODE no esté presente en producción.</w:t>
            </w:r>
          </w:p>
        </w:tc>
      </w:tr>
      <w:tr>
        <w:tc>
          <w:tcPr>
            <w:tcW w:type="dxa" w:w="600"/>
            <w:tcMar>
              <w:top w:type="dxa" w:w="40"/>
              <w:bottom w:type="dxa" w:w="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7A43"/>
                <w:sz w:val="22"/>
                <w:szCs w:val="22"/>
              </w:rPr>
              <w:t xml:space="preserve">4</w:t>
            </w:r>
          </w:p>
        </w:tc>
        <w:tc>
          <w:tcPr>
            <w:tcW w:type="dxa" w:w="8760"/>
            <w:tcMar>
              <w:top w:type="dxa" w:w="40"/>
              <w:left w:type="dxa" w:w="80"/>
              <w:bottom w:type="dxa" w:w="4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Para el APK: generar el paquete con PWABuilder o compilar con Android Studio (requiere el SDK de Android).</w:t>
            </w:r>
          </w:p>
        </w:tc>
      </w:tr>
    </w:tbl>
    <w:p>
      <w:pPr>
        <w:spacing w:after="160"/>
      </w:pPr>
    </w:p>
    <w:p>
      <w:pPr>
        <w:spacing w:after="220" w:line="276"/>
        <w:jc w:val="both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Con estas acciones ejecutadas, la plataforma alcanza un nivel de seguridad acorde a un entorno de comercio electrónico en producción.</w:t>
      </w:r>
    </w:p>
    <w:p>
      <w:pPr>
        <w:pBdr>
          <w:top w:val="single" w:color="D2DBD5" w:sz="6"/>
        </w:pBdr>
        <w:spacing w:before="200"/>
      </w:pPr>
      <w:r>
        <w:rPr>
          <w:rFonts w:ascii="Calibri" w:cs="Calibri" w:eastAsia="Calibri" w:hAnsi="Calibri"/>
          <w:i/>
          <w:iCs/>
          <w:color w:val="52606D"/>
          <w:sz w:val="17"/>
          <w:szCs w:val="17"/>
        </w:rPr>
        <w:t xml:space="preserve">Informe de implementación de mejoras de EcoMarket · Confidencial</w:t>
      </w:r>
    </w:p>
    <w:sectPr>
      <w:headerReference w:type="default" r:id="rId7"/>
      <w:footerReference w:type="default" r:id="rId8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2DBD5" w:sz="4"/>
      </w:pBdr>
      <w:tabs>
        <w:tab w:val="right" w:pos="9360"/>
      </w:tabs>
    </w:pPr>
    <w:r>
      <w:rPr>
        <w:rFonts w:ascii="Calibri" w:cs="Calibri" w:eastAsia="Calibri" w:hAnsi="Calibri"/>
        <w:color w:val="52606D"/>
        <w:sz w:val="16"/>
        <w:szCs w:val="16"/>
      </w:rPr>
      <w:t xml:space="preserve">Confidencial</w:t>
    </w:r>
    <w:r>
      <w:rPr>
        <w:rFonts w:ascii="Calibri" w:cs="Calibri" w:eastAsia="Calibri" w:hAnsi="Calibri"/>
        <w:color w:val="52606D"/>
        <w:sz w:val="16"/>
        <w:szCs w:val="16"/>
      </w:rPr>
      <w:t xml:space="preserve">	Página </w:t>
    </w:r>
    <w:r>
      <w:rPr>
        <w:rFonts w:ascii="Calibri" w:cs="Calibri" w:eastAsia="Calibri" w:hAnsi="Calibri"/>
        <w:color w:val="52606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2606D"/>
        <w:sz w:val="16"/>
        <w:szCs w:val="16"/>
      </w:rPr>
      <w:t xml:space="preserve"> de </w:t>
    </w:r>
    <w:r>
      <w:rPr>
        <w:rFonts w:ascii="Calibri" w:cs="Calibri" w:eastAsia="Calibri" w:hAnsi="Calibri"/>
        <w:color w:val="52606D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2DBD5" w:sz="4"/>
      </w:pBdr>
      <w:tabs>
        <w:tab w:val="right" w:pos="9360"/>
      </w:tabs>
    </w:pPr>
    <w:r>
      <w:rPr>
        <w:rFonts w:ascii="Calibri" w:cs="Calibri" w:eastAsia="Calibri" w:hAnsi="Calibri"/>
        <w:b/>
        <w:bCs/>
        <w:color w:val="1B7A43"/>
        <w:sz w:val="17"/>
        <w:szCs w:val="17"/>
      </w:rPr>
      <w:t xml:space="preserve">EcoMarket</w:t>
    </w:r>
    <w:r>
      <w:rPr>
        <w:rFonts w:ascii="Calibri" w:cs="Calibri" w:eastAsia="Calibri" w:hAnsi="Calibri"/>
        <w:color w:val="52606D"/>
        <w:sz w:val="17"/>
        <w:szCs w:val="17"/>
      </w:rPr>
      <w:t xml:space="preserve">	Informe de Implementación de Mejoras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0F4D2A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B7A4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Implementación — EcoMarket</dc:title>
  <dc:creator>Equipo de Auditoría EcoMarket</dc:creator>
  <cp:lastModifiedBy>Un-named</cp:lastModifiedBy>
  <cp:revision>1</cp:revision>
  <dcterms:created xsi:type="dcterms:W3CDTF">2026-08-02T13:31:54.842Z</dcterms:created>
  <dcterms:modified xsi:type="dcterms:W3CDTF">2026-08-02T13:31:54.843Z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