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Immigration Client Communication Log</w:t>
      </w:r>
    </w:p>
    <w:p>
      <w:r>
        <w:t>Log all client communications regarding immigration matters, including calls, emails, texts, and case updates.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Method (Call/Text/Email)</w:t>
            </w:r>
          </w:p>
        </w:tc>
        <w:tc>
          <w:tcPr>
            <w:tcW w:type="dxa" w:w="1728"/>
          </w:tcPr>
          <w:p>
            <w:r>
              <w:t>Summary of Communication</w:t>
            </w:r>
          </w:p>
        </w:tc>
        <w:tc>
          <w:tcPr>
            <w:tcW w:type="dxa" w:w="1728"/>
          </w:tcPr>
          <w:p>
            <w:r>
              <w:t>Follow-Up Needed? (Y/N)</w:t>
            </w:r>
          </w:p>
        </w:tc>
        <w:tc>
          <w:tcPr>
            <w:tcW w:type="dxa" w:w="1728"/>
          </w:tcPr>
          <w:p>
            <w:r>
              <w:t>Next Steps / Notes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