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Immigration Form Filing Flowchart (Bonus)</w:t>
      </w:r>
    </w:p>
    <w:p>
      <w:r>
        <w:t>Use this simplified flowchart to visualize which USCIS forms are commonly filed together based on the case type. This tool is helpful for new paralegals and legal assistants to understand how various immigration filings interconnect.</w:t>
      </w:r>
    </w:p>
    <w:p/>
    <w:p>
      <w:pPr>
        <w:pStyle w:val="Heading1"/>
      </w:pPr>
      <w:r>
        <w:t>Common Filing Combinations</w:t>
      </w:r>
    </w:p>
    <w:tbl>
      <w:tblPr>
        <w:tblStyle w:val="TableGrid"/>
        <w:tblW w:type="auto" w:w="0"/>
        <w:tblLook w:firstColumn="1" w:firstRow="1" w:lastColumn="0" w:lastRow="0" w:noHBand="0" w:noVBand="1" w:val="04A0"/>
      </w:tblPr>
      <w:tblGrid>
        <w:gridCol w:w="2880"/>
        <w:gridCol w:w="2880"/>
        <w:gridCol w:w="2880"/>
      </w:tblGrid>
      <w:tr>
        <w:tc>
          <w:tcPr>
            <w:tcW w:type="dxa" w:w="2880"/>
          </w:tcPr>
          <w:p>
            <w:r>
              <w:t>Case Type</w:t>
            </w:r>
          </w:p>
        </w:tc>
        <w:tc>
          <w:tcPr>
            <w:tcW w:type="dxa" w:w="2880"/>
          </w:tcPr>
          <w:p>
            <w:r>
              <w:t>Common Form Bundle</w:t>
            </w:r>
          </w:p>
        </w:tc>
        <w:tc>
          <w:tcPr>
            <w:tcW w:type="dxa" w:w="2880"/>
          </w:tcPr>
          <w:p>
            <w:r>
              <w:t>Notes</w:t>
            </w:r>
          </w:p>
        </w:tc>
      </w:tr>
      <w:tr>
        <w:tc>
          <w:tcPr>
            <w:tcW w:type="dxa" w:w="2880"/>
          </w:tcPr>
          <w:p>
            <w:r>
              <w:t>Family-Based Adjustment of Status</w:t>
            </w:r>
          </w:p>
        </w:tc>
        <w:tc>
          <w:tcPr>
            <w:tcW w:type="dxa" w:w="2880"/>
          </w:tcPr>
          <w:p>
            <w:r>
              <w:t>I-130, I-485, I-765, I-131, I-864, G-28</w:t>
            </w:r>
          </w:p>
        </w:tc>
        <w:tc>
          <w:tcPr>
            <w:tcW w:type="dxa" w:w="2880"/>
          </w:tcPr>
          <w:p>
            <w:r>
              <w:t>Filed concurrently if beneficiary is in the U.S.</w:t>
            </w:r>
          </w:p>
        </w:tc>
      </w:tr>
      <w:tr>
        <w:tc>
          <w:tcPr>
            <w:tcW w:type="dxa" w:w="2880"/>
          </w:tcPr>
          <w:p>
            <w:r>
              <w:t>Consular Processing</w:t>
            </w:r>
          </w:p>
        </w:tc>
        <w:tc>
          <w:tcPr>
            <w:tcW w:type="dxa" w:w="2880"/>
          </w:tcPr>
          <w:p>
            <w:r>
              <w:t>I-130, DS-260 (NVC), I-864, G-28</w:t>
            </w:r>
          </w:p>
        </w:tc>
        <w:tc>
          <w:tcPr>
            <w:tcW w:type="dxa" w:w="2880"/>
          </w:tcPr>
          <w:p>
            <w:r>
              <w:t>I-130 filed first; rest handled via NVC and embassy</w:t>
            </w:r>
          </w:p>
        </w:tc>
      </w:tr>
      <w:tr>
        <w:tc>
          <w:tcPr>
            <w:tcW w:type="dxa" w:w="2880"/>
          </w:tcPr>
          <w:p>
            <w:r>
              <w:t>Employment-Based Green Card</w:t>
            </w:r>
          </w:p>
        </w:tc>
        <w:tc>
          <w:tcPr>
            <w:tcW w:type="dxa" w:w="2880"/>
          </w:tcPr>
          <w:p>
            <w:r>
              <w:t>I-140, I-485, I-765, I-131, I-693, G-28</w:t>
            </w:r>
          </w:p>
        </w:tc>
        <w:tc>
          <w:tcPr>
            <w:tcW w:type="dxa" w:w="2880"/>
          </w:tcPr>
          <w:p>
            <w:r>
              <w:t>Often filed concurrently (I-140 + I-485 combo)</w:t>
            </w:r>
          </w:p>
        </w:tc>
      </w:tr>
      <w:tr>
        <w:tc>
          <w:tcPr>
            <w:tcW w:type="dxa" w:w="2880"/>
          </w:tcPr>
          <w:p>
            <w:r>
              <w:t>Asylum Application</w:t>
            </w:r>
          </w:p>
        </w:tc>
        <w:tc>
          <w:tcPr>
            <w:tcW w:type="dxa" w:w="2880"/>
          </w:tcPr>
          <w:p>
            <w:r>
              <w:t>I-589, G-28, supporting evidence</w:t>
            </w:r>
          </w:p>
        </w:tc>
        <w:tc>
          <w:tcPr>
            <w:tcW w:type="dxa" w:w="2880"/>
          </w:tcPr>
          <w:p>
            <w:r>
              <w:t>No filing fee; must file within 1 year of entry unless exception applies</w:t>
            </w:r>
          </w:p>
        </w:tc>
      </w:tr>
      <w:tr>
        <w:tc>
          <w:tcPr>
            <w:tcW w:type="dxa" w:w="2880"/>
          </w:tcPr>
          <w:p>
            <w:r>
              <w:t>Work Authorization (Standalone or Renewal)</w:t>
            </w:r>
          </w:p>
        </w:tc>
        <w:tc>
          <w:tcPr>
            <w:tcW w:type="dxa" w:w="2880"/>
          </w:tcPr>
          <w:p>
            <w:r>
              <w:t>I-765, G-28</w:t>
            </w:r>
          </w:p>
        </w:tc>
        <w:tc>
          <w:tcPr>
            <w:tcW w:type="dxa" w:w="2880"/>
          </w:tcPr>
          <w:p>
            <w:r>
              <w:t>Include eligibility category; verify renewal windows</w:t>
            </w:r>
          </w:p>
        </w:tc>
      </w:tr>
      <w:tr>
        <w:tc>
          <w:tcPr>
            <w:tcW w:type="dxa" w:w="2880"/>
          </w:tcPr>
          <w:p>
            <w:r>
              <w:t>Advance Parole</w:t>
            </w:r>
          </w:p>
        </w:tc>
        <w:tc>
          <w:tcPr>
            <w:tcW w:type="dxa" w:w="2880"/>
          </w:tcPr>
          <w:p>
            <w:r>
              <w:t>I-131, G-28</w:t>
            </w:r>
          </w:p>
        </w:tc>
        <w:tc>
          <w:tcPr>
            <w:tcW w:type="dxa" w:w="2880"/>
          </w:tcPr>
          <w:p>
            <w:r>
              <w:t>Usually filed with I-485 but can be standalone</w:t>
            </w:r>
          </w:p>
        </w:tc>
      </w:tr>
      <w:tr>
        <w:tc>
          <w:tcPr>
            <w:tcW w:type="dxa" w:w="2880"/>
          </w:tcPr>
          <w:p>
            <w:r>
              <w:t>Waiver (Provisional or Post-Denial)</w:t>
            </w:r>
          </w:p>
        </w:tc>
        <w:tc>
          <w:tcPr>
            <w:tcW w:type="dxa" w:w="2880"/>
          </w:tcPr>
          <w:p>
            <w:r>
              <w:t>I-601 or I-601A, supporting evidence, G-28</w:t>
            </w:r>
          </w:p>
        </w:tc>
        <w:tc>
          <w:tcPr>
            <w:tcW w:type="dxa" w:w="2880"/>
          </w:tcPr>
          <w:p>
            <w:r>
              <w:t>I-601A is for unlawful presence; I-601 is broader</w:t>
            </w:r>
          </w:p>
        </w:tc>
      </w:tr>
      <w:tr>
        <w:tc>
          <w:tcPr>
            <w:tcW w:type="dxa" w:w="2880"/>
          </w:tcPr>
          <w:p>
            <w:r>
              <w:t>Naturalization</w:t>
            </w:r>
          </w:p>
        </w:tc>
        <w:tc>
          <w:tcPr>
            <w:tcW w:type="dxa" w:w="2880"/>
          </w:tcPr>
          <w:p>
            <w:r>
              <w:t>N-400, G-28, supporting documentation</w:t>
            </w:r>
          </w:p>
        </w:tc>
        <w:tc>
          <w:tcPr>
            <w:tcW w:type="dxa" w:w="2880"/>
          </w:tcPr>
          <w:p>
            <w:r>
              <w:t>Submit tax records, proof of continuous residence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