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1B365D"/>
          <w:sz w:val="52"/>
        </w:rPr>
        <w:t>Telco Customer Churn &amp; Retention Analysis</w:t>
      </w:r>
    </w:p>
    <w:p>
      <w:pPr>
        <w:spacing w:after="480"/>
        <w:jc w:val="center"/>
      </w:pPr>
      <w:r>
        <w:rPr>
          <w:rFonts w:ascii="Calibri" w:hAnsi="Calibri"/>
          <w:i/>
          <w:color w:val="008080"/>
          <w:sz w:val="28"/>
        </w:rPr>
        <w:t>Executive Summary &amp; Strategic Action Plan</w:t>
      </w:r>
    </w:p>
    <w:p>
      <w:pPr>
        <w:spacing w:before="320" w:after="120"/>
      </w:pPr>
      <w:r>
        <w:rPr>
          <w:rFonts w:ascii="Calibri" w:hAnsi="Calibri"/>
          <w:b/>
          <w:color w:val="1B365D"/>
          <w:sz w:val="36"/>
        </w:rPr>
        <w:t>1. Executive Summary</w:t>
      </w:r>
    </w:p>
    <w:p>
      <w:pPr>
        <w:spacing w:after="120" w:line="276" w:lineRule="auto"/>
      </w:pPr>
      <w:r>
        <w:rPr>
          <w:rFonts w:ascii="Calibri" w:hAnsi="Calibri"/>
          <w:color w:val="333333"/>
          <w:sz w:val="22"/>
        </w:rPr>
        <w:t>This document presents a comprehensive evaluation of customer churn patterns within the telecommunications sector. By analyzing underlying drivers behind customer attrition, this report outlines actionable retention strategies to minimize churn, enhance subscriber lifetime value (LTV), and optimize revenue stability.</w:t>
      </w:r>
    </w:p>
    <w:p>
      <w:pPr>
        <w:spacing w:before="320" w:after="120"/>
      </w:pPr>
      <w:r>
        <w:rPr>
          <w:rFonts w:ascii="Calibri" w:hAnsi="Calibri"/>
          <w:b/>
          <w:color w:val="1B365D"/>
          <w:sz w:val="36"/>
        </w:rPr>
        <w:t>2. Key Insights &amp; Findings</w:t>
      </w:r>
    </w:p>
    <w:p>
      <w:pPr>
        <w:pStyle w:val="ListBullet"/>
        <w:spacing w:after="80" w:line="276" w:lineRule="auto"/>
      </w:pPr>
      <w:r>
        <w:rPr>
          <w:rFonts w:ascii="Calibri" w:hAnsi="Calibri"/>
          <w:b/>
          <w:color w:val="333333"/>
          <w:sz w:val="22"/>
        </w:rPr>
        <w:t xml:space="preserve">Contract Types: </w:t>
      </w:r>
      <w:r>
        <w:rPr>
          <w:rFonts w:ascii="Calibri" w:hAnsi="Calibri"/>
          <w:color w:val="333333"/>
          <w:sz w:val="22"/>
        </w:rPr>
        <w:t xml:space="preserve"> High churn rates are concentrated among month-to-month subscribers compared to those with one- or two-year contracts.</w:t>
      </w:r>
    </w:p>
    <w:p>
      <w:pPr>
        <w:pStyle w:val="ListBullet"/>
        <w:spacing w:after="80" w:line="276" w:lineRule="auto"/>
      </w:pPr>
      <w:r>
        <w:rPr>
          <w:rFonts w:ascii="Calibri" w:hAnsi="Calibri"/>
          <w:b/>
          <w:color w:val="333333"/>
          <w:sz w:val="22"/>
        </w:rPr>
        <w:t xml:space="preserve">Payment Methods: </w:t>
      </w:r>
      <w:r>
        <w:rPr>
          <w:rFonts w:ascii="Calibri" w:hAnsi="Calibri"/>
          <w:color w:val="333333"/>
          <w:sz w:val="22"/>
        </w:rPr>
        <w:t xml:space="preserve"> Customers utilizing electronic check payments exhibit higher cancellation rates than those on automated credit card or bank transfer subscriptions.</w:t>
      </w:r>
    </w:p>
    <w:p>
      <w:pPr>
        <w:pStyle w:val="ListBullet"/>
        <w:spacing w:after="80" w:line="276" w:lineRule="auto"/>
      </w:pPr>
      <w:r>
        <w:rPr>
          <w:rFonts w:ascii="Calibri" w:hAnsi="Calibri"/>
          <w:b/>
          <w:color w:val="333333"/>
          <w:sz w:val="22"/>
        </w:rPr>
        <w:t xml:space="preserve">Customer Tenure: </w:t>
      </w:r>
      <w:r>
        <w:rPr>
          <w:rFonts w:ascii="Calibri" w:hAnsi="Calibri"/>
          <w:color w:val="333333"/>
          <w:sz w:val="22"/>
        </w:rPr>
        <w:t xml:space="preserve"> Tenures under 12 months show the highest propensity for churn, stabilizing significantly after the first year of service.</w:t>
      </w:r>
    </w:p>
    <w:p>
      <w:pPr>
        <w:pStyle w:val="ListBullet"/>
        <w:spacing w:after="80" w:line="276" w:lineRule="auto"/>
      </w:pPr>
      <w:r>
        <w:rPr>
          <w:rFonts w:ascii="Calibri" w:hAnsi="Calibri"/>
          <w:b/>
          <w:color w:val="333333"/>
          <w:sz w:val="22"/>
        </w:rPr>
        <w:t xml:space="preserve">Service Subscriptions: </w:t>
      </w:r>
      <w:r>
        <w:rPr>
          <w:rFonts w:ascii="Calibri" w:hAnsi="Calibri"/>
          <w:color w:val="333333"/>
          <w:sz w:val="22"/>
        </w:rPr>
        <w:t xml:space="preserve"> Higher churn observed in subscribers without value-added security or technical support add-ons.</w:t>
      </w:r>
    </w:p>
    <w:p>
      <w:pPr>
        <w:spacing w:before="320" w:after="120"/>
      </w:pPr>
      <w:r>
        <w:rPr>
          <w:rFonts w:ascii="Calibri" w:hAnsi="Calibri"/>
          <w:b/>
          <w:color w:val="1B365D"/>
          <w:sz w:val="36"/>
        </w:rPr>
        <w:t>3. Strategic Recommendations</w:t>
      </w:r>
    </w:p>
    <w:p>
      <w:pPr>
        <w:spacing w:before="240" w:after="80"/>
      </w:pPr>
      <w:r>
        <w:rPr>
          <w:rFonts w:ascii="Calibri" w:hAnsi="Calibri"/>
          <w:b/>
          <w:color w:val="008080"/>
          <w:sz w:val="28"/>
        </w:rPr>
        <w:t>A. Contract Migration Strategies</w:t>
      </w:r>
    </w:p>
    <w:p>
      <w:pPr>
        <w:spacing w:after="120" w:line="276" w:lineRule="auto"/>
      </w:pPr>
      <w:r>
        <w:rPr>
          <w:rFonts w:ascii="Calibri" w:hAnsi="Calibri"/>
          <w:color w:val="333333"/>
          <w:sz w:val="22"/>
        </w:rPr>
        <w:t>Incentivize month-to-month customers to transition into annual contracts by offering initial plan discounts or service upgrades upon conversion.</w:t>
      </w:r>
    </w:p>
    <w:p>
      <w:pPr>
        <w:spacing w:before="240" w:after="80"/>
      </w:pPr>
      <w:r>
        <w:rPr>
          <w:rFonts w:ascii="Calibri" w:hAnsi="Calibri"/>
          <w:b/>
          <w:color w:val="008080"/>
          <w:sz w:val="28"/>
        </w:rPr>
        <w:t>B. Automated Payment Adoption</w:t>
      </w:r>
    </w:p>
    <w:p>
      <w:pPr>
        <w:spacing w:after="120" w:line="276" w:lineRule="auto"/>
      </w:pPr>
      <w:r>
        <w:rPr>
          <w:rFonts w:ascii="Calibri" w:hAnsi="Calibri"/>
          <w:color w:val="333333"/>
          <w:sz w:val="22"/>
        </w:rPr>
        <w:t>Encourage users on manual payment methods (e.g., electronic check) to enroll in auto-pay services via subtle billing incentives or fee waivers.</w:t>
      </w:r>
    </w:p>
    <w:p>
      <w:pPr>
        <w:spacing w:before="240" w:after="80"/>
      </w:pPr>
      <w:r>
        <w:rPr>
          <w:rFonts w:ascii="Calibri" w:hAnsi="Calibri"/>
          <w:b/>
          <w:color w:val="008080"/>
          <w:sz w:val="28"/>
        </w:rPr>
        <w:t>C. Onboarding &amp; Early Retention Programs</w:t>
      </w:r>
    </w:p>
    <w:p>
      <w:pPr>
        <w:spacing w:after="120" w:line="276" w:lineRule="auto"/>
      </w:pPr>
      <w:r>
        <w:rPr>
          <w:rFonts w:ascii="Calibri" w:hAnsi="Calibri"/>
          <w:color w:val="333333"/>
          <w:sz w:val="22"/>
        </w:rPr>
        <w:t>Implement proactive engagement workflows during the first 90 days of onboarding to establish service value and reduce initial churn risk.</w:t>
      </w:r>
    </w:p>
    <w:p>
      <w:pPr>
        <w:spacing w:before="320" w:after="120"/>
      </w:pPr>
      <w:r>
        <w:rPr>
          <w:rFonts w:ascii="Calibri" w:hAnsi="Calibri"/>
          <w:b/>
          <w:color w:val="1B365D"/>
          <w:sz w:val="36"/>
        </w:rPr>
        <w:t>4. Action Plan &amp; Timeline</w:t>
      </w:r>
    </w:p>
    <w:tbl>
      <w:tblPr>
        <w:tblW w:type="auto" w:w="0"/>
        <w:jc w:val="center"/>
        <w:tblLook w:firstColumn="1" w:firstRow="1" w:lastColumn="0" w:lastRow="0" w:noHBand="0" w:noVBand="1" w:val="04A0"/>
      </w:tblPr>
      <w:tblGrid>
        <w:gridCol w:w="3120"/>
        <w:gridCol w:w="3120"/>
        <w:gridCol w:w="3120"/>
      </w:tblGrid>
      <w:tr>
        <w:tc>
          <w:tcPr>
            <w:tcW w:type="dxa" w:w="3120"/>
            <w:shd w:fill="1B365D"/>
          </w:tcPr>
          <w:p>
            <w:pPr>
              <w:jc w:val="left"/>
            </w:pPr>
            <w:r>
              <w:rPr>
                <w:rFonts w:ascii="Calibri" w:hAnsi="Calibri"/>
                <w:b/>
                <w:color w:val="FFFFFF"/>
              </w:rPr>
              <w:t>Initiative</w:t>
            </w:r>
          </w:p>
        </w:tc>
        <w:tc>
          <w:tcPr>
            <w:tcW w:type="dxa" w:w="3120"/>
            <w:shd w:fill="1B365D"/>
          </w:tcPr>
          <w:p>
            <w:pPr>
              <w:jc w:val="left"/>
            </w:pPr>
            <w:r>
              <w:rPr>
                <w:rFonts w:ascii="Calibri" w:hAnsi="Calibri"/>
                <w:b/>
                <w:color w:val="FFFFFF"/>
              </w:rPr>
              <w:t>Target Impact</w:t>
            </w:r>
          </w:p>
        </w:tc>
        <w:tc>
          <w:tcPr>
            <w:tcW w:type="dxa" w:w="3120"/>
            <w:shd w:fill="1B365D"/>
          </w:tcPr>
          <w:p>
            <w:pPr>
              <w:jc w:val="left"/>
            </w:pPr>
            <w:r>
              <w:rPr>
                <w:rFonts w:ascii="Calibri" w:hAnsi="Calibri"/>
                <w:b/>
                <w:color w:val="FFFFFF"/>
              </w:rPr>
              <w:t>Implementation Timeline</w:t>
            </w:r>
          </w:p>
        </w:tc>
      </w:tr>
      <w:tr>
        <w:tc>
          <w:tcPr>
            <w:tcW w:type="dxa" w:w="3120"/>
            <w:shd w:fill="F4F5F7"/>
          </w:tcPr>
          <w:p>
            <w:r>
              <w:rPr>
                <w:rFonts w:ascii="Calibri" w:hAnsi="Calibri"/>
                <w:color w:val="333333"/>
                <w:sz w:val="20"/>
              </w:rPr>
              <w:t>Contract Conversion Offers</w:t>
            </w:r>
          </w:p>
        </w:tc>
        <w:tc>
          <w:tcPr>
            <w:tcW w:type="dxa" w:w="3120"/>
            <w:shd w:fill="F4F5F7"/>
          </w:tcPr>
          <w:p>
            <w:r>
              <w:rPr>
                <w:rFonts w:ascii="Calibri" w:hAnsi="Calibri"/>
                <w:color w:val="333333"/>
                <w:sz w:val="20"/>
              </w:rPr>
              <w:t>Reduce short-term contract churn by 15%</w:t>
            </w:r>
          </w:p>
        </w:tc>
        <w:tc>
          <w:tcPr>
            <w:tcW w:type="dxa" w:w="3120"/>
            <w:shd w:fill="F4F5F7"/>
          </w:tcPr>
          <w:p>
            <w:r>
              <w:rPr>
                <w:rFonts w:ascii="Calibri" w:hAnsi="Calibri"/>
                <w:color w:val="333333"/>
                <w:sz w:val="20"/>
              </w:rPr>
              <w:t>Q1 - Q2</w:t>
            </w:r>
          </w:p>
        </w:tc>
      </w:tr>
      <w:tr>
        <w:tc>
          <w:tcPr>
            <w:tcW w:type="dxa" w:w="3120"/>
            <w:shd w:fill="FFFFFF"/>
          </w:tcPr>
          <w:p>
            <w:r>
              <w:rPr>
                <w:rFonts w:ascii="Calibri" w:hAnsi="Calibri"/>
                <w:color w:val="333333"/>
                <w:sz w:val="20"/>
              </w:rPr>
              <w:t>Auto-Pay Enrollment Campaign</w:t>
            </w:r>
          </w:p>
        </w:tc>
        <w:tc>
          <w:tcPr>
            <w:tcW w:type="dxa" w:w="3120"/>
            <w:shd w:fill="FFFFFF"/>
          </w:tcPr>
          <w:p>
            <w:r>
              <w:rPr>
                <w:rFonts w:ascii="Calibri" w:hAnsi="Calibri"/>
                <w:color w:val="333333"/>
                <w:sz w:val="20"/>
              </w:rPr>
              <w:t>Lower payment friction &amp; drop-offs</w:t>
            </w:r>
          </w:p>
        </w:tc>
        <w:tc>
          <w:tcPr>
            <w:tcW w:type="dxa" w:w="3120"/>
            <w:shd w:fill="FFFFFF"/>
          </w:tcPr>
          <w:p>
            <w:r>
              <w:rPr>
                <w:rFonts w:ascii="Calibri" w:hAnsi="Calibri"/>
                <w:color w:val="333333"/>
                <w:sz w:val="20"/>
              </w:rPr>
              <w:t>Q2</w:t>
            </w:r>
          </w:p>
        </w:tc>
      </w:tr>
      <w:tr>
        <w:tc>
          <w:tcPr>
            <w:tcW w:type="dxa" w:w="3120"/>
            <w:shd w:fill="F4F5F7"/>
          </w:tcPr>
          <w:p>
            <w:r>
              <w:rPr>
                <w:rFonts w:ascii="Calibri" w:hAnsi="Calibri"/>
                <w:color w:val="333333"/>
                <w:sz w:val="20"/>
              </w:rPr>
              <w:t>Enhanced Onboarding Support</w:t>
            </w:r>
          </w:p>
        </w:tc>
        <w:tc>
          <w:tcPr>
            <w:tcW w:type="dxa" w:w="3120"/>
            <w:shd w:fill="F4F5F7"/>
          </w:tcPr>
          <w:p>
            <w:r>
              <w:rPr>
                <w:rFonts w:ascii="Calibri" w:hAnsi="Calibri"/>
                <w:color w:val="333333"/>
                <w:sz w:val="20"/>
              </w:rPr>
              <w:t>Boost 90-day retention by 20%</w:t>
            </w:r>
          </w:p>
        </w:tc>
        <w:tc>
          <w:tcPr>
            <w:tcW w:type="dxa" w:w="3120"/>
            <w:shd w:fill="F4F5F7"/>
          </w:tcPr>
          <w:p>
            <w:r>
              <w:rPr>
                <w:rFonts w:ascii="Calibri" w:hAnsi="Calibri"/>
                <w:color w:val="333333"/>
                <w:sz w:val="20"/>
              </w:rPr>
              <w:t>Q1 - Q3</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