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B365D"/>
          <w:sz w:val="48"/>
        </w:rPr>
        <w:t>Bank Term-Deposit Campaign Analysis</w:t>
      </w:r>
    </w:p>
    <w:p>
      <w:pPr>
        <w:spacing w:before="0" w:after="360"/>
      </w:pPr>
      <w:r>
        <w:rPr>
          <w:rFonts w:ascii="Arial" w:hAnsi="Arial"/>
          <w:color w:val="4A777A"/>
          <w:sz w:val="24"/>
        </w:rPr>
        <w:t>Funnel &amp; Conversion Analysis | Technical &amp; Business Documentation</w:t>
      </w:r>
    </w:p>
    <w:tbl>
      <w:tblPr>
        <w:tblW w:type="auto" w:w="0"/>
        <w:jc w:val="center"/>
        <w:tblLook w:firstColumn="1" w:firstRow="1" w:lastColumn="0" w:lastRow="0" w:noHBand="0" w:noVBand="1" w:val="04A0"/>
        <w:tblBorders>
          <w:top w:val="single" w:sz="4" w:space="0" w:color="E0E0E0"/>
          <w:bottom w:val="single" w:sz="4" w:space="0" w:color="E0E0E0"/>
          <w:insideH w:val="single" w:sz="4" w:space="0" w:color="E0E0E0"/>
          <w:left w:val="none"/>
          <w:right w:val="none"/>
          <w:insideV w:val="none"/>
        </w:tblBorders>
      </w:tblPr>
      <w:tblGrid>
        <w:gridCol w:w="4680"/>
        <w:gridCol w:w="4680"/>
      </w:tblGrid>
      <w:tr>
        <w:tc>
          <w:tcPr>
            <w:tcW w:type="dxa" w:w="4680"/>
            <w:shd w:fill="F9FAFC"/>
            <w:tcMar>
              <w:top w:w="80" w:type="dxa"/>
              <w:bottom w:w="80" w:type="dxa"/>
              <w:left w:w="120" w:type="dxa"/>
              <w:right w:w="120" w:type="dxa"/>
            </w:tcMar>
          </w:tcPr>
          <w:p>
            <w:pPr>
              <w:spacing w:after="40"/>
            </w:pPr>
            <w:r>
              <w:rPr>
                <w:b/>
                <w:color w:val="1B365D"/>
                <w:sz w:val="19"/>
              </w:rPr>
              <w:t xml:space="preserve">Dataset Source: </w:t>
            </w:r>
            <w:r>
              <w:rPr>
                <w:sz w:val="19"/>
              </w:rPr>
              <w:t>Portuguese Bank Direct-Marketing Phone Campaigns (May 2008 – Nov 2010)</w:t>
            </w:r>
          </w:p>
        </w:tc>
        <w:tc>
          <w:tcPr>
            <w:tcW w:type="dxa" w:w="4680"/>
            <w:shd w:fill="F9FAFC"/>
            <w:tcMar>
              <w:top w:w="80" w:type="dxa"/>
              <w:bottom w:w="80" w:type="dxa"/>
              <w:left w:w="120" w:type="dxa"/>
              <w:right w:w="120" w:type="dxa"/>
            </w:tcMar>
          </w:tcPr>
          <w:p>
            <w:pPr>
              <w:spacing w:after="40"/>
            </w:pPr>
            <w:r>
              <w:rPr>
                <w:b/>
                <w:color w:val="1B365D"/>
                <w:sz w:val="19"/>
              </w:rPr>
              <w:t xml:space="preserve">Author / Analyst: </w:t>
            </w:r>
            <w:r>
              <w:rPr>
                <w:sz w:val="19"/>
              </w:rPr>
              <w:t>Joseph Christian (SCT213-C002-0094/2024)</w:t>
            </w:r>
          </w:p>
        </w:tc>
      </w:tr>
      <w:tr>
        <w:tc>
          <w:tcPr>
            <w:tcW w:type="dxa" w:w="4680"/>
            <w:shd w:fill="F9FAFC"/>
            <w:tcMar>
              <w:top w:w="80" w:type="dxa"/>
              <w:bottom w:w="80" w:type="dxa"/>
              <w:left w:w="120" w:type="dxa"/>
              <w:right w:w="120" w:type="dxa"/>
            </w:tcMar>
          </w:tcPr>
          <w:p>
            <w:pPr>
              <w:spacing w:after="40"/>
            </w:pPr>
            <w:r>
              <w:rPr>
                <w:b/>
                <w:color w:val="1B365D"/>
                <w:sz w:val="19"/>
              </w:rPr>
              <w:t xml:space="preserve">Methodology: </w:t>
            </w:r>
            <w:r>
              <w:rPr>
                <w:sz w:val="19"/>
              </w:rPr>
              <w:t>CRISP-DM / Call-Centre Funnel Mapping</w:t>
            </w:r>
          </w:p>
        </w:tc>
        <w:tc>
          <w:tcPr>
            <w:tcW w:type="dxa" w:w="4680"/>
            <w:shd w:fill="F9FAFC"/>
            <w:tcMar>
              <w:top w:w="80" w:type="dxa"/>
              <w:bottom w:w="80" w:type="dxa"/>
              <w:left w:w="120" w:type="dxa"/>
              <w:right w:w="120" w:type="dxa"/>
            </w:tcMar>
          </w:tcPr>
          <w:p>
            <w:pPr>
              <w:spacing w:after="40"/>
            </w:pPr>
            <w:r>
              <w:rPr>
                <w:b/>
                <w:color w:val="1B365D"/>
                <w:sz w:val="19"/>
              </w:rPr>
              <w:t xml:space="preserve">Citation: </w:t>
            </w:r>
            <w:r>
              <w:rPr>
                <w:sz w:val="19"/>
              </w:rPr>
              <w:t>S. Moro, R. Laureano, and P. Cortez (ESM 2011)</w:t>
            </w:r>
          </w:p>
        </w:tc>
      </w:tr>
    </w:tbl>
    <w:p>
      <w:pPr>
        <w:spacing w:before="0" w:after="240"/>
      </w:pPr>
    </w:p>
    <w:p>
      <w:pPr>
        <w:keepNext/>
        <w:spacing w:before="360" w:after="120"/>
      </w:pPr>
      <w:r>
        <w:rPr>
          <w:rFonts w:ascii="Arial" w:hAnsi="Arial"/>
          <w:b/>
          <w:color w:val="1B365D"/>
          <w:sz w:val="32"/>
        </w:rPr>
        <w:t>1. Executive Summary</w:t>
      </w:r>
    </w:p>
    <w:p>
      <w:pPr>
        <w:spacing w:after="160" w:line="276" w:lineRule="auto"/>
      </w:pPr>
      <w:r>
        <w:t>This document provides a comprehensive analysis of the direct-marketing phone campaigns conducted by a Portuguese banking institution between May 2008 and November 2010. The dataset contains 45,211 client contact records. Because standard digital conversion metrics (e.g., website clicks or CRM lead states) were not present, a multi-stage marketing funnel was constructed using call duration thresholds and subscription outcomes.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40" w:after="40"/>
            </w:pPr>
            <w:r>
              <w:rPr>
                <w:b/>
                <w:color w:val="1B365D"/>
              </w:rPr>
              <w:t xml:space="preserve">KEY FINDING: </w:t>
            </w:r>
            <w:r>
              <w:rPr>
                <w:color w:val="222222"/>
              </w:rPr>
              <w:t>Out of 45,211 contacted clients, 5,289 subscribed to term deposits, representing an overall end-to-end conversion rate of 11.70% (95% CI: 11.41% – 12.00%). The biggest opportunity lies in converting engaged calls into qualified conversations.</w:t>
            </w:r>
          </w:p>
        </w:tc>
      </w:tr>
    </w:tbl>
    <w:p>
      <w:pPr>
        <w:spacing w:before="0" w:after="120"/>
      </w:pPr>
    </w:p>
    <w:p>
      <w:pPr>
        <w:keepNext/>
        <w:spacing w:before="360" w:after="120"/>
      </w:pPr>
      <w:r>
        <w:rPr>
          <w:rFonts w:ascii="Arial" w:hAnsi="Arial"/>
          <w:b/>
          <w:color w:val="1B365D"/>
          <w:sz w:val="32"/>
        </w:rPr>
        <w:t>2. Funnel Architecture &amp; Methodology</w:t>
      </w:r>
    </w:p>
    <w:p>
      <w:pPr>
        <w:spacing w:after="160" w:line="276" w:lineRule="auto"/>
      </w:pPr>
      <w:r>
        <w:t>To map phone marketing interactions onto standard sales funnel stages, call durations were segmented into actionable milestones: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120"/>
        <w:gridCol w:w="3120"/>
        <w:gridCol w:w="3120"/>
      </w:tblGrid>
      <w:tr>
        <w:tc>
          <w:tcPr>
            <w:tcW w:type="dxa" w:w="3120"/>
            <w:shd w:fill="1B365D"/>
            <w:tcMar>
              <w:top w:w="100" w:type="dxa"/>
              <w:bottom w:w="100" w:type="dxa"/>
              <w:left w:w="120" w:type="dxa"/>
              <w:right w:w="120" w:type="dxa"/>
            </w:tcMar>
          </w:tcPr>
          <w:p>
            <w:r>
              <w:rPr>
                <w:b/>
                <w:color w:val="FFFFFF"/>
                <w:sz w:val="20"/>
              </w:rPr>
              <w:t>Stage</w:t>
            </w:r>
          </w:p>
        </w:tc>
        <w:tc>
          <w:tcPr>
            <w:tcW w:type="dxa" w:w="3120"/>
            <w:shd w:fill="1B365D"/>
            <w:tcMar>
              <w:top w:w="100" w:type="dxa"/>
              <w:bottom w:w="100" w:type="dxa"/>
              <w:left w:w="120" w:type="dxa"/>
              <w:right w:w="120" w:type="dxa"/>
            </w:tcMar>
          </w:tcPr>
          <w:p>
            <w:r>
              <w:rPr>
                <w:b/>
                <w:color w:val="FFFFFF"/>
                <w:sz w:val="20"/>
              </w:rPr>
              <w:t>Technical Definition</w:t>
            </w:r>
          </w:p>
        </w:tc>
        <w:tc>
          <w:tcPr>
            <w:tcW w:type="dxa" w:w="3120"/>
            <w:shd w:fill="1B365D"/>
            <w:tcMar>
              <w:top w:w="100" w:type="dxa"/>
              <w:bottom w:w="100" w:type="dxa"/>
              <w:left w:w="120" w:type="dxa"/>
              <w:right w:w="120" w:type="dxa"/>
            </w:tcMar>
          </w:tcPr>
          <w:p>
            <w:r>
              <w:rPr>
                <w:b/>
                <w:color w:val="FFFFFF"/>
                <w:sz w:val="20"/>
              </w:rPr>
              <w:t>Marketing Analogue</w:t>
            </w:r>
          </w:p>
        </w:tc>
      </w:tr>
      <w:tr>
        <w:tc>
          <w:tcPr>
            <w:tcW w:type="dxa" w:w="3120"/>
            <w:shd w:fill="F9FAFC"/>
            <w:tcMar>
              <w:top w:w="80" w:type="dxa"/>
              <w:bottom w:w="80" w:type="dxa"/>
              <w:left w:w="120" w:type="dxa"/>
              <w:right w:w="120" w:type="dxa"/>
            </w:tcMar>
          </w:tcPr>
          <w:p>
            <w:pPr>
              <w:spacing w:after="40"/>
            </w:pPr>
            <w:r>
              <w:rPr>
                <w:sz w:val="19"/>
              </w:rPr>
              <w:t>1. Contacted</w:t>
            </w:r>
          </w:p>
        </w:tc>
        <w:tc>
          <w:tcPr>
            <w:tcW w:type="dxa" w:w="3120"/>
            <w:shd w:fill="F9FAFC"/>
            <w:tcMar>
              <w:top w:w="80" w:type="dxa"/>
              <w:bottom w:w="80" w:type="dxa"/>
              <w:left w:w="120" w:type="dxa"/>
              <w:right w:w="120" w:type="dxa"/>
            </w:tcMar>
          </w:tcPr>
          <w:p>
            <w:pPr>
              <w:spacing w:after="40"/>
            </w:pPr>
            <w:r>
              <w:rPr>
                <w:sz w:val="19"/>
              </w:rPr>
              <w:t>Every client row in dataset (n=45,211)</w:t>
            </w:r>
          </w:p>
        </w:tc>
        <w:tc>
          <w:tcPr>
            <w:tcW w:type="dxa" w:w="3120"/>
            <w:shd w:fill="F9FAFC"/>
            <w:tcMar>
              <w:top w:w="80" w:type="dxa"/>
              <w:bottom w:w="80" w:type="dxa"/>
              <w:left w:w="120" w:type="dxa"/>
              <w:right w:w="120" w:type="dxa"/>
            </w:tcMar>
          </w:tcPr>
          <w:p>
            <w:pPr>
              <w:spacing w:after="40"/>
            </w:pPr>
            <w:r>
              <w:rPr>
                <w:sz w:val="19"/>
              </w:rPr>
              <w:t>Target Audience / Total Reached</w:t>
            </w:r>
          </w:p>
        </w:tc>
      </w:tr>
      <w:tr>
        <w:tc>
          <w:tcPr>
            <w:tcW w:type="dxa" w:w="3120"/>
            <w:tcMar>
              <w:top w:w="80" w:type="dxa"/>
              <w:bottom w:w="80" w:type="dxa"/>
              <w:left w:w="120" w:type="dxa"/>
              <w:right w:w="120" w:type="dxa"/>
            </w:tcMar>
          </w:tcPr>
          <w:p>
            <w:pPr>
              <w:spacing w:after="40"/>
            </w:pPr>
            <w:r>
              <w:rPr>
                <w:sz w:val="19"/>
              </w:rPr>
              <w:t>2. Engaged</w:t>
            </w:r>
          </w:p>
        </w:tc>
        <w:tc>
          <w:tcPr>
            <w:tcW w:type="dxa" w:w="3120"/>
            <w:tcMar>
              <w:top w:w="80" w:type="dxa"/>
              <w:bottom w:w="80" w:type="dxa"/>
              <w:left w:w="120" w:type="dxa"/>
              <w:right w:w="120" w:type="dxa"/>
            </w:tcMar>
          </w:tcPr>
          <w:p>
            <w:pPr>
              <w:spacing w:after="40"/>
            </w:pPr>
            <w:r>
              <w:rPr>
                <w:sz w:val="19"/>
              </w:rPr>
              <w:t>Call duration ≥ 60 seconds (ENGAGED_SEC)</w:t>
            </w:r>
          </w:p>
        </w:tc>
        <w:tc>
          <w:tcPr>
            <w:tcW w:type="dxa" w:w="3120"/>
            <w:tcMar>
              <w:top w:w="80" w:type="dxa"/>
              <w:bottom w:w="80" w:type="dxa"/>
              <w:left w:w="120" w:type="dxa"/>
              <w:right w:w="120" w:type="dxa"/>
            </w:tcMar>
          </w:tcPr>
          <w:p>
            <w:pPr>
              <w:spacing w:after="40"/>
            </w:pPr>
            <w:r>
              <w:rPr>
                <w:sz w:val="19"/>
              </w:rPr>
              <w:t>Lead (passed initial brush-off)</w:t>
            </w:r>
          </w:p>
        </w:tc>
      </w:tr>
      <w:tr>
        <w:tc>
          <w:tcPr>
            <w:tcW w:type="dxa" w:w="3120"/>
            <w:shd w:fill="F9FAFC"/>
            <w:tcMar>
              <w:top w:w="80" w:type="dxa"/>
              <w:bottom w:w="80" w:type="dxa"/>
              <w:left w:w="120" w:type="dxa"/>
              <w:right w:w="120" w:type="dxa"/>
            </w:tcMar>
          </w:tcPr>
          <w:p>
            <w:pPr>
              <w:spacing w:after="40"/>
            </w:pPr>
            <w:r>
              <w:rPr>
                <w:sz w:val="19"/>
              </w:rPr>
              <w:t>3. Qualified</w:t>
            </w:r>
          </w:p>
        </w:tc>
        <w:tc>
          <w:tcPr>
            <w:tcW w:type="dxa" w:w="3120"/>
            <w:shd w:fill="F9FAFC"/>
            <w:tcMar>
              <w:top w:w="80" w:type="dxa"/>
              <w:bottom w:w="80" w:type="dxa"/>
              <w:left w:w="120" w:type="dxa"/>
              <w:right w:w="120" w:type="dxa"/>
            </w:tcMar>
          </w:tcPr>
          <w:p>
            <w:pPr>
              <w:spacing w:after="40"/>
            </w:pPr>
            <w:r>
              <w:rPr>
                <w:sz w:val="19"/>
              </w:rPr>
              <w:t>Call duration ≥ 180 seconds (QUALIFIED_SEC)</w:t>
            </w:r>
          </w:p>
        </w:tc>
        <w:tc>
          <w:tcPr>
            <w:tcW w:type="dxa" w:w="3120"/>
            <w:shd w:fill="F9FAFC"/>
            <w:tcMar>
              <w:top w:w="80" w:type="dxa"/>
              <w:bottom w:w="80" w:type="dxa"/>
              <w:left w:w="120" w:type="dxa"/>
              <w:right w:w="120" w:type="dxa"/>
            </w:tcMar>
          </w:tcPr>
          <w:p>
            <w:pPr>
              <w:spacing w:after="40"/>
            </w:pPr>
            <w:r>
              <w:rPr>
                <w:sz w:val="19"/>
              </w:rPr>
              <w:t>Sales-Qualified Lead (in-depth discussion)</w:t>
            </w:r>
          </w:p>
        </w:tc>
      </w:tr>
      <w:tr>
        <w:tc>
          <w:tcPr>
            <w:tcW w:type="dxa" w:w="3120"/>
            <w:tcMar>
              <w:top w:w="80" w:type="dxa"/>
              <w:bottom w:w="80" w:type="dxa"/>
              <w:left w:w="120" w:type="dxa"/>
              <w:right w:w="120" w:type="dxa"/>
            </w:tcMar>
          </w:tcPr>
          <w:p>
            <w:pPr>
              <w:spacing w:after="40"/>
            </w:pPr>
            <w:r>
              <w:rPr>
                <w:sz w:val="19"/>
              </w:rPr>
              <w:t>4. Subscribed</w:t>
            </w:r>
          </w:p>
        </w:tc>
        <w:tc>
          <w:tcPr>
            <w:tcW w:type="dxa" w:w="3120"/>
            <w:tcMar>
              <w:top w:w="80" w:type="dxa"/>
              <w:bottom w:w="80" w:type="dxa"/>
              <w:left w:w="120" w:type="dxa"/>
              <w:right w:w="120" w:type="dxa"/>
            </w:tcMar>
          </w:tcPr>
          <w:p>
            <w:pPr>
              <w:spacing w:after="40"/>
            </w:pPr>
            <w:r>
              <w:rPr>
                <w:sz w:val="19"/>
              </w:rPr>
              <w:t>y == 'yes' (Term deposit acquired)</w:t>
            </w:r>
          </w:p>
        </w:tc>
        <w:tc>
          <w:tcPr>
            <w:tcW w:type="dxa" w:w="3120"/>
            <w:tcMar>
              <w:top w:w="80" w:type="dxa"/>
              <w:bottom w:w="80" w:type="dxa"/>
              <w:left w:w="120" w:type="dxa"/>
              <w:right w:w="120" w:type="dxa"/>
            </w:tcMar>
          </w:tcPr>
          <w:p>
            <w:pPr>
              <w:spacing w:after="40"/>
            </w:pPr>
            <w:r>
              <w:rPr>
                <w:sz w:val="19"/>
              </w:rPr>
              <w:t>Customer / Closed-Won</w:t>
            </w:r>
          </w:p>
        </w:tc>
      </w:tr>
    </w:tbl>
    <w:p>
      <w:pPr>
        <w:spacing w:after="240"/>
      </w:pPr>
    </w:p>
    <w:p>
      <w:pPr>
        <w:keepNext/>
        <w:spacing w:before="360" w:after="120"/>
      </w:pPr>
      <w:r>
        <w:rPr>
          <w:rFonts w:ascii="Arial" w:hAnsi="Arial"/>
          <w:b/>
          <w:color w:val="1B365D"/>
          <w:sz w:val="32"/>
        </w:rPr>
        <w:t>3. Overall Funnel Performance &amp; Drop-off</w:t>
      </w:r>
    </w:p>
    <w:p>
      <w:pPr>
        <w:spacing w:after="160" w:line="276" w:lineRule="auto"/>
      </w:pPr>
      <w:r>
        <w:t>Analysis of step-by-step progression across all 45,211 records demonstrates severe drop-offs between stages: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1560"/>
        <w:gridCol w:w="1560"/>
        <w:gridCol w:w="1560"/>
        <w:gridCol w:w="1560"/>
        <w:gridCol w:w="1560"/>
        <w:gridCol w:w="1560"/>
      </w:tblGrid>
      <w:tr>
        <w:tc>
          <w:tcPr>
            <w:tcW w:type="dxa" w:w="1560"/>
            <w:shd w:fill="1B365D"/>
            <w:tcMar>
              <w:top w:w="100" w:type="dxa"/>
              <w:bottom w:w="100" w:type="dxa"/>
              <w:left w:w="100" w:type="dxa"/>
              <w:right w:w="100" w:type="dxa"/>
            </w:tcMar>
          </w:tcPr>
          <w:p>
            <w:r>
              <w:rPr>
                <w:b/>
                <w:color w:val="FFFFFF"/>
                <w:sz w:val="19"/>
              </w:rPr>
              <w:t>Stage</w:t>
            </w:r>
          </w:p>
        </w:tc>
        <w:tc>
          <w:tcPr>
            <w:tcW w:type="dxa" w:w="1560"/>
            <w:shd w:fill="1B365D"/>
            <w:tcMar>
              <w:top w:w="100" w:type="dxa"/>
              <w:bottom w:w="100" w:type="dxa"/>
              <w:left w:w="100" w:type="dxa"/>
              <w:right w:w="100" w:type="dxa"/>
            </w:tcMar>
          </w:tcPr>
          <w:p>
            <w:r>
              <w:rPr>
                <w:b/>
                <w:color w:val="FFFFFF"/>
                <w:sz w:val="19"/>
              </w:rPr>
              <w:t>Clients</w:t>
            </w:r>
          </w:p>
        </w:tc>
        <w:tc>
          <w:tcPr>
            <w:tcW w:type="dxa" w:w="1560"/>
            <w:shd w:fill="1B365D"/>
            <w:tcMar>
              <w:top w:w="100" w:type="dxa"/>
              <w:bottom w:w="100" w:type="dxa"/>
              <w:left w:w="100" w:type="dxa"/>
              <w:right w:w="100" w:type="dxa"/>
            </w:tcMar>
          </w:tcPr>
          <w:p>
            <w:r>
              <w:rPr>
                <w:b/>
                <w:color w:val="FFFFFF"/>
                <w:sz w:val="19"/>
              </w:rPr>
              <w:t>% of Contacted</w:t>
            </w:r>
          </w:p>
        </w:tc>
        <w:tc>
          <w:tcPr>
            <w:tcW w:type="dxa" w:w="1560"/>
            <w:shd w:fill="1B365D"/>
            <w:tcMar>
              <w:top w:w="100" w:type="dxa"/>
              <w:bottom w:w="100" w:type="dxa"/>
              <w:left w:w="100" w:type="dxa"/>
              <w:right w:w="100" w:type="dxa"/>
            </w:tcMar>
          </w:tcPr>
          <w:p>
            <w:r>
              <w:rPr>
                <w:b/>
                <w:color w:val="FFFFFF"/>
                <w:sz w:val="19"/>
              </w:rPr>
              <w:t>Step Conversion</w:t>
            </w:r>
          </w:p>
        </w:tc>
        <w:tc>
          <w:tcPr>
            <w:tcW w:type="dxa" w:w="1560"/>
            <w:shd w:fill="1B365D"/>
            <w:tcMar>
              <w:top w:w="100" w:type="dxa"/>
              <w:bottom w:w="100" w:type="dxa"/>
              <w:left w:w="100" w:type="dxa"/>
              <w:right w:w="100" w:type="dxa"/>
            </w:tcMar>
          </w:tcPr>
          <w:p>
            <w:r>
              <w:rPr>
                <w:b/>
                <w:color w:val="FFFFFF"/>
                <w:sz w:val="19"/>
              </w:rPr>
              <w:t>Drop-off (Count)</w:t>
            </w:r>
          </w:p>
        </w:tc>
        <w:tc>
          <w:tcPr>
            <w:tcW w:type="dxa" w:w="1560"/>
            <w:shd w:fill="1B365D"/>
            <w:tcMar>
              <w:top w:w="100" w:type="dxa"/>
              <w:bottom w:w="100" w:type="dxa"/>
              <w:left w:w="100" w:type="dxa"/>
              <w:right w:w="100" w:type="dxa"/>
            </w:tcMar>
          </w:tcPr>
          <w:p>
            <w:r>
              <w:rPr>
                <w:b/>
                <w:color w:val="FFFFFF"/>
                <w:sz w:val="19"/>
              </w:rPr>
              <w:t>Drop-off (%)</w:t>
            </w:r>
          </w:p>
        </w:tc>
      </w:tr>
      <w:tr>
        <w:tc>
          <w:tcPr>
            <w:tcW w:type="dxa" w:w="1560"/>
            <w:shd w:fill="F9FAFC"/>
            <w:tcMar>
              <w:top w:w="80" w:type="dxa"/>
              <w:bottom w:w="80" w:type="dxa"/>
              <w:left w:w="100" w:type="dxa"/>
              <w:right w:w="100" w:type="dxa"/>
            </w:tcMar>
          </w:tcPr>
          <w:p>
            <w:pPr>
              <w:spacing w:after="40"/>
            </w:pPr>
            <w:r>
              <w:rPr>
                <w:sz w:val="19"/>
              </w:rPr>
              <w:t>1. Contacted</w:t>
            </w:r>
          </w:p>
        </w:tc>
        <w:tc>
          <w:tcPr>
            <w:tcW w:type="dxa" w:w="1560"/>
            <w:shd w:fill="F9FAFC"/>
            <w:tcMar>
              <w:top w:w="80" w:type="dxa"/>
              <w:bottom w:w="80" w:type="dxa"/>
              <w:left w:w="100" w:type="dxa"/>
              <w:right w:w="100" w:type="dxa"/>
            </w:tcMar>
          </w:tcPr>
          <w:p>
            <w:pPr>
              <w:spacing w:after="40"/>
              <w:jc w:val="right"/>
            </w:pPr>
            <w:r>
              <w:rPr>
                <w:sz w:val="19"/>
              </w:rPr>
              <w:t>45,211</w:t>
            </w:r>
          </w:p>
        </w:tc>
        <w:tc>
          <w:tcPr>
            <w:tcW w:type="dxa" w:w="1560"/>
            <w:shd w:fill="F9FAFC"/>
            <w:tcMar>
              <w:top w:w="80" w:type="dxa"/>
              <w:bottom w:w="80" w:type="dxa"/>
              <w:left w:w="100" w:type="dxa"/>
              <w:right w:w="100" w:type="dxa"/>
            </w:tcMar>
          </w:tcPr>
          <w:p>
            <w:pPr>
              <w:spacing w:after="40"/>
              <w:jc w:val="right"/>
            </w:pPr>
            <w:r>
              <w:rPr>
                <w:sz w:val="19"/>
              </w:rPr>
              <w:t>100.0%</w:t>
            </w:r>
          </w:p>
        </w:tc>
        <w:tc>
          <w:tcPr>
            <w:tcW w:type="dxa" w:w="1560"/>
            <w:shd w:fill="F9FAFC"/>
            <w:tcMar>
              <w:top w:w="80" w:type="dxa"/>
              <w:bottom w:w="80" w:type="dxa"/>
              <w:left w:w="100" w:type="dxa"/>
              <w:right w:w="100" w:type="dxa"/>
            </w:tcMar>
          </w:tcPr>
          <w:p>
            <w:pPr>
              <w:spacing w:after="40"/>
              <w:jc w:val="right"/>
            </w:pPr>
            <w:r>
              <w:rPr>
                <w:sz w:val="19"/>
              </w:rPr>
              <w:t>-</w:t>
            </w:r>
          </w:p>
        </w:tc>
        <w:tc>
          <w:tcPr>
            <w:tcW w:type="dxa" w:w="1560"/>
            <w:shd w:fill="F9FAFC"/>
            <w:tcMar>
              <w:top w:w="80" w:type="dxa"/>
              <w:bottom w:w="80" w:type="dxa"/>
              <w:left w:w="100" w:type="dxa"/>
              <w:right w:w="100" w:type="dxa"/>
            </w:tcMar>
          </w:tcPr>
          <w:p>
            <w:pPr>
              <w:spacing w:after="40"/>
              <w:jc w:val="right"/>
            </w:pPr>
            <w:r>
              <w:rPr>
                <w:sz w:val="19"/>
              </w:rPr>
              <w:t>-</w:t>
            </w:r>
          </w:p>
        </w:tc>
        <w:tc>
          <w:tcPr>
            <w:tcW w:type="dxa" w:w="1560"/>
            <w:shd w:fill="F9FAFC"/>
            <w:tcMar>
              <w:top w:w="80" w:type="dxa"/>
              <w:bottom w:w="80" w:type="dxa"/>
              <w:left w:w="100" w:type="dxa"/>
              <w:right w:w="100" w:type="dxa"/>
            </w:tcMar>
          </w:tcPr>
          <w:p>
            <w:pPr>
              <w:spacing w:after="40"/>
              <w:jc w:val="right"/>
            </w:pPr>
            <w:r>
              <w:rPr>
                <w:sz w:val="19"/>
              </w:rPr>
              <w:t>-</w:t>
            </w:r>
          </w:p>
        </w:tc>
      </w:tr>
      <w:tr>
        <w:tc>
          <w:tcPr>
            <w:tcW w:type="dxa" w:w="1560"/>
            <w:tcMar>
              <w:top w:w="80" w:type="dxa"/>
              <w:bottom w:w="80" w:type="dxa"/>
              <w:left w:w="100" w:type="dxa"/>
              <w:right w:w="100" w:type="dxa"/>
            </w:tcMar>
          </w:tcPr>
          <w:p>
            <w:pPr>
              <w:spacing w:after="40"/>
            </w:pPr>
            <w:r>
              <w:rPr>
                <w:sz w:val="19"/>
              </w:rPr>
              <w:t>2. Engaged</w:t>
            </w:r>
          </w:p>
        </w:tc>
        <w:tc>
          <w:tcPr>
            <w:tcW w:type="dxa" w:w="1560"/>
            <w:tcMar>
              <w:top w:w="80" w:type="dxa"/>
              <w:bottom w:w="80" w:type="dxa"/>
              <w:left w:w="100" w:type="dxa"/>
              <w:right w:w="100" w:type="dxa"/>
            </w:tcMar>
          </w:tcPr>
          <w:p>
            <w:pPr>
              <w:spacing w:after="40"/>
              <w:jc w:val="right"/>
            </w:pPr>
            <w:r>
              <w:rPr>
                <w:sz w:val="19"/>
              </w:rPr>
              <w:t>40,552</w:t>
            </w:r>
          </w:p>
        </w:tc>
        <w:tc>
          <w:tcPr>
            <w:tcW w:type="dxa" w:w="1560"/>
            <w:tcMar>
              <w:top w:w="80" w:type="dxa"/>
              <w:bottom w:w="80" w:type="dxa"/>
              <w:left w:w="100" w:type="dxa"/>
              <w:right w:w="100" w:type="dxa"/>
            </w:tcMar>
          </w:tcPr>
          <w:p>
            <w:pPr>
              <w:spacing w:after="40"/>
              <w:jc w:val="right"/>
            </w:pPr>
            <w:r>
              <w:rPr>
                <w:sz w:val="19"/>
              </w:rPr>
              <w:t>89.7%</w:t>
            </w:r>
          </w:p>
        </w:tc>
        <w:tc>
          <w:tcPr>
            <w:tcW w:type="dxa" w:w="1560"/>
            <w:tcMar>
              <w:top w:w="80" w:type="dxa"/>
              <w:bottom w:w="80" w:type="dxa"/>
              <w:left w:w="100" w:type="dxa"/>
              <w:right w:w="100" w:type="dxa"/>
            </w:tcMar>
          </w:tcPr>
          <w:p>
            <w:pPr>
              <w:spacing w:after="40"/>
              <w:jc w:val="right"/>
            </w:pPr>
            <w:r>
              <w:rPr>
                <w:sz w:val="19"/>
              </w:rPr>
              <w:t>89.7%</w:t>
            </w:r>
          </w:p>
        </w:tc>
        <w:tc>
          <w:tcPr>
            <w:tcW w:type="dxa" w:w="1560"/>
            <w:tcMar>
              <w:top w:w="80" w:type="dxa"/>
              <w:bottom w:w="80" w:type="dxa"/>
              <w:left w:w="100" w:type="dxa"/>
              <w:right w:w="100" w:type="dxa"/>
            </w:tcMar>
          </w:tcPr>
          <w:p>
            <w:pPr>
              <w:spacing w:after="40"/>
              <w:jc w:val="right"/>
            </w:pPr>
            <w:r>
              <w:rPr>
                <w:sz w:val="19"/>
              </w:rPr>
              <w:t>4,659</w:t>
            </w:r>
          </w:p>
        </w:tc>
        <w:tc>
          <w:tcPr>
            <w:tcW w:type="dxa" w:w="1560"/>
            <w:tcMar>
              <w:top w:w="80" w:type="dxa"/>
              <w:bottom w:w="80" w:type="dxa"/>
              <w:left w:w="100" w:type="dxa"/>
              <w:right w:w="100" w:type="dxa"/>
            </w:tcMar>
          </w:tcPr>
          <w:p>
            <w:pPr>
              <w:spacing w:after="40"/>
              <w:jc w:val="right"/>
            </w:pPr>
            <w:r>
              <w:rPr>
                <w:sz w:val="19"/>
              </w:rPr>
              <w:t>10.3%</w:t>
            </w:r>
          </w:p>
        </w:tc>
      </w:tr>
      <w:tr>
        <w:tc>
          <w:tcPr>
            <w:tcW w:type="dxa" w:w="1560"/>
            <w:shd w:fill="F9FAFC"/>
            <w:tcMar>
              <w:top w:w="80" w:type="dxa"/>
              <w:bottom w:w="80" w:type="dxa"/>
              <w:left w:w="100" w:type="dxa"/>
              <w:right w:w="100" w:type="dxa"/>
            </w:tcMar>
          </w:tcPr>
          <w:p>
            <w:pPr>
              <w:spacing w:after="40"/>
            </w:pPr>
            <w:r>
              <w:rPr>
                <w:sz w:val="19"/>
              </w:rPr>
              <w:t>3. Qualified</w:t>
            </w:r>
          </w:p>
        </w:tc>
        <w:tc>
          <w:tcPr>
            <w:tcW w:type="dxa" w:w="1560"/>
            <w:shd w:fill="F9FAFC"/>
            <w:tcMar>
              <w:top w:w="80" w:type="dxa"/>
              <w:bottom w:w="80" w:type="dxa"/>
              <w:left w:w="100" w:type="dxa"/>
              <w:right w:w="100" w:type="dxa"/>
            </w:tcMar>
          </w:tcPr>
          <w:p>
            <w:pPr>
              <w:spacing w:after="40"/>
              <w:jc w:val="right"/>
            </w:pPr>
            <w:r>
              <w:rPr>
                <w:sz w:val="19"/>
              </w:rPr>
              <w:t>22,674</w:t>
            </w:r>
          </w:p>
        </w:tc>
        <w:tc>
          <w:tcPr>
            <w:tcW w:type="dxa" w:w="1560"/>
            <w:shd w:fill="F9FAFC"/>
            <w:tcMar>
              <w:top w:w="80" w:type="dxa"/>
              <w:bottom w:w="80" w:type="dxa"/>
              <w:left w:w="100" w:type="dxa"/>
              <w:right w:w="100" w:type="dxa"/>
            </w:tcMar>
          </w:tcPr>
          <w:p>
            <w:pPr>
              <w:spacing w:after="40"/>
              <w:jc w:val="right"/>
            </w:pPr>
            <w:r>
              <w:rPr>
                <w:sz w:val="19"/>
              </w:rPr>
              <w:t>50.2%</w:t>
            </w:r>
          </w:p>
        </w:tc>
        <w:tc>
          <w:tcPr>
            <w:tcW w:type="dxa" w:w="1560"/>
            <w:shd w:fill="F9FAFC"/>
            <w:tcMar>
              <w:top w:w="80" w:type="dxa"/>
              <w:bottom w:w="80" w:type="dxa"/>
              <w:left w:w="100" w:type="dxa"/>
              <w:right w:w="100" w:type="dxa"/>
            </w:tcMar>
          </w:tcPr>
          <w:p>
            <w:pPr>
              <w:spacing w:after="40"/>
              <w:jc w:val="right"/>
            </w:pPr>
            <w:r>
              <w:rPr>
                <w:sz w:val="19"/>
              </w:rPr>
              <w:t>55.9%</w:t>
            </w:r>
          </w:p>
        </w:tc>
        <w:tc>
          <w:tcPr>
            <w:tcW w:type="dxa" w:w="1560"/>
            <w:shd w:fill="F9FAFC"/>
            <w:tcMar>
              <w:top w:w="80" w:type="dxa"/>
              <w:bottom w:w="80" w:type="dxa"/>
              <w:left w:w="100" w:type="dxa"/>
              <w:right w:w="100" w:type="dxa"/>
            </w:tcMar>
          </w:tcPr>
          <w:p>
            <w:pPr>
              <w:spacing w:after="40"/>
              <w:jc w:val="right"/>
            </w:pPr>
            <w:r>
              <w:rPr>
                <w:sz w:val="19"/>
              </w:rPr>
              <w:t>17,878</w:t>
            </w:r>
          </w:p>
        </w:tc>
        <w:tc>
          <w:tcPr>
            <w:tcW w:type="dxa" w:w="1560"/>
            <w:shd w:fill="F9FAFC"/>
            <w:tcMar>
              <w:top w:w="80" w:type="dxa"/>
              <w:bottom w:w="80" w:type="dxa"/>
              <w:left w:w="100" w:type="dxa"/>
              <w:right w:w="100" w:type="dxa"/>
            </w:tcMar>
          </w:tcPr>
          <w:p>
            <w:pPr>
              <w:spacing w:after="40"/>
              <w:jc w:val="right"/>
            </w:pPr>
            <w:r>
              <w:rPr>
                <w:sz w:val="19"/>
              </w:rPr>
              <w:t>44.1%</w:t>
            </w:r>
          </w:p>
        </w:tc>
      </w:tr>
      <w:tr>
        <w:tc>
          <w:tcPr>
            <w:tcW w:type="dxa" w:w="1560"/>
            <w:tcMar>
              <w:top w:w="80" w:type="dxa"/>
              <w:bottom w:w="80" w:type="dxa"/>
              <w:left w:w="100" w:type="dxa"/>
              <w:right w:w="100" w:type="dxa"/>
            </w:tcMar>
          </w:tcPr>
          <w:p>
            <w:pPr>
              <w:spacing w:after="40"/>
            </w:pPr>
            <w:r>
              <w:rPr>
                <w:sz w:val="19"/>
              </w:rPr>
              <w:t>4. Subscribed</w:t>
            </w:r>
          </w:p>
        </w:tc>
        <w:tc>
          <w:tcPr>
            <w:tcW w:type="dxa" w:w="1560"/>
            <w:tcMar>
              <w:top w:w="80" w:type="dxa"/>
              <w:bottom w:w="80" w:type="dxa"/>
              <w:left w:w="100" w:type="dxa"/>
              <w:right w:w="100" w:type="dxa"/>
            </w:tcMar>
          </w:tcPr>
          <w:p>
            <w:pPr>
              <w:spacing w:after="40"/>
              <w:jc w:val="right"/>
            </w:pPr>
            <w:r>
              <w:rPr>
                <w:sz w:val="19"/>
              </w:rPr>
              <w:t>5,289</w:t>
            </w:r>
          </w:p>
        </w:tc>
        <w:tc>
          <w:tcPr>
            <w:tcW w:type="dxa" w:w="1560"/>
            <w:tcMar>
              <w:top w:w="80" w:type="dxa"/>
              <w:bottom w:w="80" w:type="dxa"/>
              <w:left w:w="100" w:type="dxa"/>
              <w:right w:w="100" w:type="dxa"/>
            </w:tcMar>
          </w:tcPr>
          <w:p>
            <w:pPr>
              <w:spacing w:after="40"/>
              <w:jc w:val="right"/>
            </w:pPr>
            <w:r>
              <w:rPr>
                <w:sz w:val="19"/>
              </w:rPr>
              <w:t>11.7%</w:t>
            </w:r>
          </w:p>
        </w:tc>
        <w:tc>
          <w:tcPr>
            <w:tcW w:type="dxa" w:w="1560"/>
            <w:tcMar>
              <w:top w:w="80" w:type="dxa"/>
              <w:bottom w:w="80" w:type="dxa"/>
              <w:left w:w="100" w:type="dxa"/>
              <w:right w:w="100" w:type="dxa"/>
            </w:tcMar>
          </w:tcPr>
          <w:p>
            <w:pPr>
              <w:spacing w:after="40"/>
              <w:jc w:val="right"/>
            </w:pPr>
            <w:r>
              <w:rPr>
                <w:sz w:val="19"/>
              </w:rPr>
              <w:t>23.3%</w:t>
            </w:r>
          </w:p>
        </w:tc>
        <w:tc>
          <w:tcPr>
            <w:tcW w:type="dxa" w:w="1560"/>
            <w:tcMar>
              <w:top w:w="80" w:type="dxa"/>
              <w:bottom w:w="80" w:type="dxa"/>
              <w:left w:w="100" w:type="dxa"/>
              <w:right w:w="100" w:type="dxa"/>
            </w:tcMar>
          </w:tcPr>
          <w:p>
            <w:pPr>
              <w:spacing w:after="40"/>
              <w:jc w:val="right"/>
            </w:pPr>
            <w:r>
              <w:rPr>
                <w:sz w:val="19"/>
              </w:rPr>
              <w:t>17,385</w:t>
            </w:r>
          </w:p>
        </w:tc>
        <w:tc>
          <w:tcPr>
            <w:tcW w:type="dxa" w:w="1560"/>
            <w:tcMar>
              <w:top w:w="80" w:type="dxa"/>
              <w:bottom w:w="80" w:type="dxa"/>
              <w:left w:w="100" w:type="dxa"/>
              <w:right w:w="100" w:type="dxa"/>
            </w:tcMar>
          </w:tcPr>
          <w:p>
            <w:pPr>
              <w:spacing w:after="40"/>
              <w:jc w:val="right"/>
            </w:pPr>
            <w:r>
              <w:rPr>
                <w:sz w:val="19"/>
              </w:rPr>
              <w:t>76.7%</w:t>
            </w:r>
          </w:p>
        </w:tc>
      </w:tr>
    </w:tbl>
    <w:p>
      <w:pPr>
        <w:spacing w:after="240"/>
      </w:pPr>
    </w:p>
    <w:p>
      <w:pPr>
        <w:keepNext/>
        <w:spacing w:before="280" w:after="80"/>
      </w:pPr>
      <w:r>
        <w:rPr>
          <w:rFonts w:ascii="Arial" w:hAnsi="Arial"/>
          <w:b/>
          <w:color w:val="4A777A"/>
          <w:sz w:val="26"/>
        </w:rPr>
        <w:t>Key Conversion Ratios</w:t>
      </w:r>
    </w:p>
    <w:p>
      <w:pPr>
        <w:spacing w:after="120" w:line="276" w:lineRule="auto"/>
      </w:pPr>
      <w:r>
        <w:rPr>
          <w:b/>
        </w:rPr>
        <w:t xml:space="preserve">• </w:t>
      </w:r>
      <w:r>
        <w:rPr>
          <w:b/>
        </w:rPr>
        <w:t xml:space="preserve">Traffic-to-Lead Ratio (Contacted → Engaged): </w:t>
      </w:r>
      <w:r>
        <w:t>89.7% — 89.7% of contacted clients remain on the line past 60 seconds.</w:t>
        <w:br/>
      </w:r>
      <w:r>
        <w:rPr>
          <w:b/>
        </w:rPr>
        <w:t xml:space="preserve">• </w:t>
      </w:r>
      <w:r>
        <w:rPr>
          <w:b/>
        </w:rPr>
        <w:t xml:space="preserve">Lead-to-Customer Ratio (Engaged → Subscribed): </w:t>
      </w:r>
      <w:r>
        <w:t>13.0% — Of those who stay engaged, 13.0% convert to a term deposit.</w:t>
        <w:br/>
      </w:r>
      <w:r>
        <w:rPr>
          <w:b/>
        </w:rPr>
        <w:t xml:space="preserve">• </w:t>
      </w:r>
      <w:r>
        <w:rPr>
          <w:b/>
        </w:rPr>
        <w:t xml:space="preserve">End-to-End Conversion (Contacted → Subscribed): </w:t>
      </w:r>
      <w:r>
        <w:t>11.7% (95% Confidence Interval: 11.41% – 12.00%).</w:t>
      </w:r>
    </w:p>
    <w:p>
      <w:pPr>
        <w:keepNext/>
        <w:spacing w:before="360" w:after="120"/>
      </w:pPr>
      <w:r>
        <w:rPr>
          <w:rFonts w:ascii="Arial" w:hAnsi="Arial"/>
          <w:b/>
          <w:color w:val="1B365D"/>
          <w:sz w:val="32"/>
        </w:rPr>
        <w:t>4. Technical Implementation &amp; Data Pipeline</w:t>
      </w:r>
    </w:p>
    <w:p>
      <w:pPr>
        <w:spacing w:after="120"/>
      </w:pPr>
      <w:r>
        <w:t>The analysis pipeline incorporates data validation, time-series derivation (reconstructing years 2008–2010), binning, and Wilson score confidence interval calculation:</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left w:val="single" w:sz="12" w:space="0" w:color="D0D0D0"/>
              <w:top w:val="single" w:sz="4" w:space="0" w:color="E5E5E5"/>
              <w:right w:val="single" w:sz="4" w:space="0" w:color="E5E5E5"/>
              <w:bottom w:val="single" w:sz="4" w:space="0" w:color="E5E5E5"/>
            </w:tcBorders>
          </w:tcPr>
          <w:p>
            <w:pPr>
              <w:spacing w:before="40" w:after="40" w:line="276" w:lineRule="auto"/>
            </w:pPr>
            <w:r>
              <w:rPr>
                <w:rFonts w:ascii="Consolas" w:hAnsi="Consolas"/>
                <w:color w:val="282828"/>
                <w:sz w:val="18"/>
              </w:rPr>
              <w:t>import numpy as np, pandas as pd</w:t>
              <w:br/>
              <w:t>from scipy import stats</w:t>
              <w:br/>
              <w:br/>
              <w:t># Wilson Score Confidence Interval for Binomial Proportion</w:t>
              <w:br/>
              <w:t>def wilson_score(k, n, z=1.96):</w:t>
              <w:br/>
              <w:t xml:space="preserve">    k, n = np.asarray(k, float), np.asarray(n, float)</w:t>
              <w:br/>
              <w:t xml:space="preserve">    p = k / n</w:t>
              <w:br/>
              <w:t xml:space="preserve">    d = 1 + z**2 / n</w:t>
              <w:br/>
              <w:t xml:space="preserve">    centre = (p + z**2 / (2*n)) / d</w:t>
              <w:br/>
              <w:t xml:space="preserve">    half = z * np.sqrt(p*(1-p)/n + z**2/(4*n**2)) / d</w:t>
              <w:br/>
              <w:t xml:space="preserve">    return centre - half, centre + half</w:t>
              <w:br/>
              <w:br/>
              <w:t># Funnel Classification Logic</w:t>
              <w:br/>
              <w:t>ENGAGED_SEC = 60</w:t>
              <w:br/>
              <w:t>QUALIFIED_SEC = 180</w:t>
              <w:br/>
              <w:br/>
              <w:t>df['s1_contacted']  = 1</w:t>
              <w:br/>
              <w:t>df['s2_engaged']    = (df['duration'] &gt;= ENGAGED_SEC).astype(int)</w:t>
              <w:br/>
              <w:t>df['s3_qualified']  = (df['duration'] &gt;= QUALIFIED_SEC).astype(int)</w:t>
              <w:br/>
              <w:t>df['s4_subscribed'] = (df['y'] == 'yes').astype(int)</w:t>
            </w:r>
          </w:p>
        </w:tc>
      </w:tr>
    </w:tbl>
    <w:p>
      <w:pPr>
        <w:spacing w:before="0" w:after="120"/>
      </w:pPr>
    </w:p>
    <w:p>
      <w:pPr>
        <w:keepNext/>
        <w:spacing w:before="360" w:after="120"/>
      </w:pPr>
      <w:r>
        <w:rPr>
          <w:rFonts w:ascii="Arial" w:hAnsi="Arial"/>
          <w:b/>
          <w:color w:val="1B365D"/>
          <w:sz w:val="32"/>
        </w:rPr>
        <w:t>5. Recommendations &amp; Next Steps</w:t>
      </w:r>
    </w:p>
    <w:p>
      <w:pPr>
        <w:spacing w:after="120" w:line="276" w:lineRule="auto"/>
      </w:pPr>
      <w:r>
        <w:rPr>
          <w:b/>
        </w:rPr>
        <w:t xml:space="preserve">1. </w:t>
      </w:r>
      <w:r>
        <w:t>Target High-Yield Customer Segments: Focus outreach on customers with higher balances (&gt;5,000) and specific professional groups with higher baseline conversion rates.</w:t>
        <w:br/>
      </w:r>
      <w:r>
        <w:rPr>
          <w:b/>
        </w:rPr>
        <w:t xml:space="preserve">2. </w:t>
      </w:r>
      <w:r>
        <w:t>Optimize Call Scripting for 60s–180s Window: The largest drop-off occurs between Engaged and Qualified stages (44.1% drop). Refining call scripts in the first 2 minutes can significantly improve qualified leads.</w:t>
        <w:br/>
      </w:r>
      <w:r>
        <w:rPr>
          <w:b/>
        </w:rPr>
        <w:t xml:space="preserve">3. </w:t>
      </w:r>
      <w:r>
        <w:t>Prioritize Previous Successes: Previous campaign success (`poutcome == 'success'`) is the strongest predictor of re-subscription.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