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Permian Basin RRC Production Comparison</w:t>
      </w:r>
    </w:p>
    <w:p>
      <w:pPr>
        <w:jc w:val="center"/>
      </w:pPr>
      <w:r>
        <w:rPr>
          <w:b/>
          <w:color w:val="4472C4"/>
          <w:sz w:val="24"/>
        </w:rPr>
        <w:t>Midland, Martin, Howard, Reeves, and Loving Counties</w:t>
      </w:r>
    </w:p>
    <w:p>
      <w:pPr>
        <w:jc w:val="center"/>
      </w:pPr>
      <w:r>
        <w:rPr>
          <w:color w:val="5A5A5A"/>
          <w:sz w:val="18"/>
        </w:rPr>
        <w:t>Prepared by Joseph Luongo | August 2026</w:t>
      </w:r>
    </w:p>
    <w:tbl>
      <w:tblPr>
        <w:tblW w:type="auto" w:w="0"/>
        <w:jc w:val="center"/>
        <w:tblLayout w:type="fixed"/>
        <w:tblLook w:firstColumn="1" w:firstRow="1" w:lastColumn="0" w:lastRow="0" w:noHBand="0" w:noVBand="1" w:val="04A0"/>
      </w:tblPr>
      <w:tblGrid>
        <w:gridCol w:w="2088"/>
        <w:gridCol w:w="8496"/>
      </w:tblGrid>
      <w:tr>
        <w:tc>
          <w:tcPr>
            <w:tcW w:type="dxa" w:w="5184"/>
            <w:shd w:fill="17365D"/>
            <w:vAlign w:val="center"/>
            <w:tcMar>
              <w:top w:w="110" w:type="dxa"/>
              <w:start w:w="120" w:type="dxa"/>
              <w:bottom w:w="110" w:type="dxa"/>
              <w:end w:w="120" w:type="dxa"/>
            </w:tcMar>
          </w:tcPr>
          <w:p>
            <w:r>
              <w:rPr>
                <w:b/>
                <w:color w:val="FFFFFF"/>
                <w:sz w:val="22"/>
              </w:rPr>
              <w:t>Executive</w:t>
              <w:br/>
              <w:t>Summary</w:t>
            </w:r>
          </w:p>
        </w:tc>
        <w:tc>
          <w:tcPr>
            <w:tcW w:type="dxa" w:w="5184"/>
            <w:shd w:fill="EAF2F8"/>
            <w:vAlign w:val="center"/>
            <w:tcMar>
              <w:top w:w="110" w:type="dxa"/>
              <w:start w:w="120" w:type="dxa"/>
              <w:bottom w:w="110" w:type="dxa"/>
              <w:end w:w="120" w:type="dxa"/>
            </w:tcMar>
          </w:tcPr>
          <w:p>
            <w:r>
              <w:t>Martin delivered the strongest 2020-2025 growth profile, while Reeves remained the largest gas producer. A key cross-basin adjustment is condensate: it represented 54% of Reeves liquids and 36% of Loving liquids in 2025, so oil-only comparisons understate Delaware Basin liquids scale. Howard showed the largest increase in gas intensity, and reported operator concentration varied materially across the counties.</w:t>
            </w:r>
          </w:p>
        </w:tc>
      </w:tr>
    </w:tbl>
    <w:p>
      <w:pPr>
        <w:pStyle w:val="Heading1"/>
      </w:pPr>
      <w:r>
        <w:t>Key County Metrics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4472C4"/>
            <w:tcMar>
              <w:top w:w="70" w:type="dxa"/>
              <w:start w:w="80" w:type="dxa"/>
              <w:bottom w:w="70" w:type="dxa"/>
              <w:end w:w="80" w:type="dxa"/>
            </w:tcMar>
          </w:tcPr>
          <w:p>
            <w:r>
              <w:rPr>
                <w:b/>
                <w:color w:val="FFFFFF"/>
                <w:sz w:val="16"/>
              </w:rPr>
              <w:t>County</w:t>
            </w:r>
          </w:p>
        </w:tc>
        <w:tc>
          <w:tcPr>
            <w:tcW w:type="dxa" w:w="1481"/>
            <w:shd w:fill="4472C4"/>
            <w:tcMar>
              <w:top w:w="70" w:type="dxa"/>
              <w:start w:w="80" w:type="dxa"/>
              <w:bottom w:w="70" w:type="dxa"/>
              <w:end w:w="80" w:type="dxa"/>
            </w:tcMar>
          </w:tcPr>
          <w:p>
            <w:r>
              <w:rPr>
                <w:b/>
                <w:color w:val="FFFFFF"/>
                <w:sz w:val="16"/>
              </w:rPr>
              <w:t>2025 Oil</w:t>
              <w:br/>
              <w:t>MMbbl</w:t>
            </w:r>
          </w:p>
        </w:tc>
        <w:tc>
          <w:tcPr>
            <w:tcW w:type="dxa" w:w="1481"/>
            <w:shd w:fill="4472C4"/>
            <w:tcMar>
              <w:top w:w="70" w:type="dxa"/>
              <w:start w:w="80" w:type="dxa"/>
              <w:bottom w:w="70" w:type="dxa"/>
              <w:end w:w="80" w:type="dxa"/>
            </w:tcMar>
          </w:tcPr>
          <w:p>
            <w:r>
              <w:rPr>
                <w:b/>
                <w:color w:val="FFFFFF"/>
                <w:sz w:val="16"/>
              </w:rPr>
              <w:t>Oil Growth</w:t>
              <w:br/>
              <w:t>20-25</w:t>
            </w:r>
          </w:p>
        </w:tc>
        <w:tc>
          <w:tcPr>
            <w:tcW w:type="dxa" w:w="1481"/>
            <w:shd w:fill="4472C4"/>
            <w:tcMar>
              <w:top w:w="70" w:type="dxa"/>
              <w:start w:w="80" w:type="dxa"/>
              <w:bottom w:w="70" w:type="dxa"/>
              <w:end w:w="80" w:type="dxa"/>
            </w:tcMar>
          </w:tcPr>
          <w:p>
            <w:r>
              <w:rPr>
                <w:b/>
                <w:color w:val="FFFFFF"/>
                <w:sz w:val="16"/>
              </w:rPr>
              <w:t>2025 Gas</w:t>
              <w:br/>
              <w:t>Bcf</w:t>
            </w:r>
          </w:p>
        </w:tc>
        <w:tc>
          <w:tcPr>
            <w:tcW w:type="dxa" w:w="1481"/>
            <w:shd w:fill="4472C4"/>
            <w:tcMar>
              <w:top w:w="70" w:type="dxa"/>
              <w:start w:w="80" w:type="dxa"/>
              <w:bottom w:w="70" w:type="dxa"/>
              <w:end w:w="80" w:type="dxa"/>
            </w:tcMar>
          </w:tcPr>
          <w:p>
            <w:r>
              <w:rPr>
                <w:b/>
                <w:color w:val="FFFFFF"/>
                <w:sz w:val="16"/>
              </w:rPr>
              <w:t>2025 Liquids</w:t>
              <w:br/>
              <w:t>MMbbl</w:t>
            </w:r>
          </w:p>
        </w:tc>
        <w:tc>
          <w:tcPr>
            <w:tcW w:type="dxa" w:w="1481"/>
            <w:shd w:fill="4472C4"/>
            <w:tcMar>
              <w:top w:w="70" w:type="dxa"/>
              <w:start w:w="80" w:type="dxa"/>
              <w:bottom w:w="70" w:type="dxa"/>
              <w:end w:w="80" w:type="dxa"/>
            </w:tcMar>
          </w:tcPr>
          <w:p>
            <w:r>
              <w:rPr>
                <w:b/>
                <w:color w:val="FFFFFF"/>
                <w:sz w:val="16"/>
              </w:rPr>
              <w:t>2025 GLR</w:t>
            </w:r>
          </w:p>
        </w:tc>
        <w:tc>
          <w:tcPr>
            <w:tcW w:type="dxa" w:w="1481"/>
            <w:shd w:fill="4472C4"/>
            <w:tcMar>
              <w:top w:w="70" w:type="dxa"/>
              <w:start w:w="80" w:type="dxa"/>
              <w:bottom w:w="70" w:type="dxa"/>
              <w:end w:w="80" w:type="dxa"/>
            </w:tcMar>
          </w:tcPr>
          <w:p>
            <w:r>
              <w:rPr>
                <w:b/>
                <w:color w:val="FFFFFF"/>
                <w:sz w:val="16"/>
              </w:rPr>
              <w:t>Condensate</w:t>
              <w:br/>
              <w:t>Share</w:t>
            </w:r>
          </w:p>
        </w:tc>
      </w:tr>
      <w:tr>
        <w:tc>
          <w:tcPr>
            <w:tcW w:type="dxa" w:w="1481"/>
            <w:vAlign w:val="center"/>
            <w:tcMar>
              <w:top w:w="70" w:type="dxa"/>
              <w:start w:w="80" w:type="dxa"/>
              <w:bottom w:w="70" w:type="dxa"/>
              <w:end w:w="80" w:type="dxa"/>
            </w:tcMar>
          </w:tcPr>
          <w:p>
            <w:pPr>
              <w:jc w:val="left"/>
            </w:pPr>
            <w:r>
              <w:rPr>
                <w:rFonts w:ascii="Arial" w:hAnsi="Arial"/>
                <w:sz w:val="16"/>
              </w:rPr>
              <w:t>Midland</w:t>
            </w:r>
          </w:p>
        </w:tc>
        <w:tc>
          <w:tcPr>
            <w:tcW w:type="dxa" w:w="1481"/>
            <w:vAlign w:val="center"/>
            <w:tcMar>
              <w:top w:w="70" w:type="dxa"/>
              <w:start w:w="80" w:type="dxa"/>
              <w:bottom w:w="70" w:type="dxa"/>
              <w:end w:w="80" w:type="dxa"/>
            </w:tcMar>
          </w:tcPr>
          <w:p>
            <w:pPr>
              <w:jc w:val="center"/>
            </w:pPr>
            <w:r>
              <w:rPr>
                <w:rFonts w:ascii="Arial" w:hAnsi="Arial"/>
                <w:sz w:val="16"/>
              </w:rPr>
              <w:t>241.7</w:t>
            </w:r>
          </w:p>
        </w:tc>
        <w:tc>
          <w:tcPr>
            <w:tcW w:type="dxa" w:w="1481"/>
            <w:vAlign w:val="center"/>
            <w:tcMar>
              <w:top w:w="70" w:type="dxa"/>
              <w:start w:w="80" w:type="dxa"/>
              <w:bottom w:w="70" w:type="dxa"/>
              <w:end w:w="80" w:type="dxa"/>
            </w:tcMar>
          </w:tcPr>
          <w:p>
            <w:pPr>
              <w:jc w:val="center"/>
            </w:pPr>
            <w:r>
              <w:rPr>
                <w:rFonts w:ascii="Arial" w:hAnsi="Arial"/>
                <w:sz w:val="16"/>
              </w:rPr>
              <w:t>26.1%</w:t>
            </w:r>
          </w:p>
        </w:tc>
        <w:tc>
          <w:tcPr>
            <w:tcW w:type="dxa" w:w="1481"/>
            <w:vAlign w:val="center"/>
            <w:tcMar>
              <w:top w:w="70" w:type="dxa"/>
              <w:start w:w="80" w:type="dxa"/>
              <w:bottom w:w="70" w:type="dxa"/>
              <w:end w:w="80" w:type="dxa"/>
            </w:tcMar>
          </w:tcPr>
          <w:p>
            <w:pPr>
              <w:jc w:val="center"/>
            </w:pPr>
            <w:r>
              <w:rPr>
                <w:rFonts w:ascii="Arial" w:hAnsi="Arial"/>
                <w:sz w:val="16"/>
              </w:rPr>
              <w:t>982.6</w:t>
            </w:r>
          </w:p>
        </w:tc>
        <w:tc>
          <w:tcPr>
            <w:tcW w:type="dxa" w:w="1481"/>
            <w:vAlign w:val="center"/>
            <w:tcMar>
              <w:top w:w="70" w:type="dxa"/>
              <w:start w:w="80" w:type="dxa"/>
              <w:bottom w:w="70" w:type="dxa"/>
              <w:end w:w="80" w:type="dxa"/>
            </w:tcMar>
          </w:tcPr>
          <w:p>
            <w:pPr>
              <w:jc w:val="center"/>
            </w:pPr>
            <w:r>
              <w:rPr>
                <w:rFonts w:ascii="Arial" w:hAnsi="Arial"/>
                <w:sz w:val="16"/>
              </w:rPr>
              <w:t>242.5</w:t>
            </w:r>
          </w:p>
        </w:tc>
        <w:tc>
          <w:tcPr>
            <w:tcW w:type="dxa" w:w="1481"/>
            <w:vAlign w:val="center"/>
            <w:tcMar>
              <w:top w:w="70" w:type="dxa"/>
              <w:start w:w="80" w:type="dxa"/>
              <w:bottom w:w="70" w:type="dxa"/>
              <w:end w:w="80" w:type="dxa"/>
            </w:tcMar>
          </w:tcPr>
          <w:p>
            <w:pPr>
              <w:jc w:val="center"/>
            </w:pPr>
            <w:r>
              <w:rPr>
                <w:rFonts w:ascii="Arial" w:hAnsi="Arial"/>
                <w:sz w:val="16"/>
              </w:rPr>
              <w:t>4.05</w:t>
            </w:r>
          </w:p>
        </w:tc>
        <w:tc>
          <w:tcPr>
            <w:tcW w:type="dxa" w:w="1481"/>
            <w:vAlign w:val="center"/>
            <w:tcMar>
              <w:top w:w="70" w:type="dxa"/>
              <w:start w:w="80" w:type="dxa"/>
              <w:bottom w:w="70" w:type="dxa"/>
              <w:end w:w="80" w:type="dxa"/>
            </w:tcMar>
          </w:tcPr>
          <w:p>
            <w:pPr>
              <w:jc w:val="center"/>
            </w:pPr>
            <w:r>
              <w:rPr>
                <w:rFonts w:ascii="Arial" w:hAnsi="Arial"/>
                <w:sz w:val="16"/>
              </w:rPr>
              <w:t>0.3%</w:t>
            </w:r>
          </w:p>
        </w:tc>
      </w:tr>
      <w:tr>
        <w:tc>
          <w:tcPr>
            <w:tcW w:type="dxa" w:w="1481"/>
            <w:vAlign w:val="center"/>
            <w:tcMar>
              <w:top w:w="70" w:type="dxa"/>
              <w:start w:w="80" w:type="dxa"/>
              <w:bottom w:w="70" w:type="dxa"/>
              <w:end w:w="80" w:type="dxa"/>
            </w:tcMar>
          </w:tcPr>
          <w:p>
            <w:pPr>
              <w:jc w:val="left"/>
            </w:pPr>
            <w:r>
              <w:rPr>
                <w:rFonts w:ascii="Arial" w:hAnsi="Arial"/>
                <w:sz w:val="16"/>
              </w:rPr>
              <w:t>Martin</w:t>
            </w:r>
          </w:p>
        </w:tc>
        <w:tc>
          <w:tcPr>
            <w:tcW w:type="dxa" w:w="1481"/>
            <w:vAlign w:val="center"/>
            <w:tcMar>
              <w:top w:w="70" w:type="dxa"/>
              <w:start w:w="80" w:type="dxa"/>
              <w:bottom w:w="70" w:type="dxa"/>
              <w:end w:w="80" w:type="dxa"/>
            </w:tcMar>
          </w:tcPr>
          <w:p>
            <w:pPr>
              <w:jc w:val="center"/>
            </w:pPr>
            <w:r>
              <w:rPr>
                <w:rFonts w:ascii="Arial" w:hAnsi="Arial"/>
                <w:sz w:val="16"/>
              </w:rPr>
              <w:t>258.3</w:t>
            </w:r>
          </w:p>
        </w:tc>
        <w:tc>
          <w:tcPr>
            <w:tcW w:type="dxa" w:w="1481"/>
            <w:vAlign w:val="center"/>
            <w:tcMar>
              <w:top w:w="70" w:type="dxa"/>
              <w:start w:w="80" w:type="dxa"/>
              <w:bottom w:w="70" w:type="dxa"/>
              <w:end w:w="80" w:type="dxa"/>
            </w:tcMar>
          </w:tcPr>
          <w:p>
            <w:pPr>
              <w:jc w:val="center"/>
            </w:pPr>
            <w:r>
              <w:rPr>
                <w:rFonts w:ascii="Arial" w:hAnsi="Arial"/>
                <w:sz w:val="16"/>
              </w:rPr>
              <w:t>76.8%</w:t>
            </w:r>
          </w:p>
        </w:tc>
        <w:tc>
          <w:tcPr>
            <w:tcW w:type="dxa" w:w="1481"/>
            <w:vAlign w:val="center"/>
            <w:tcMar>
              <w:top w:w="70" w:type="dxa"/>
              <w:start w:w="80" w:type="dxa"/>
              <w:bottom w:w="70" w:type="dxa"/>
              <w:end w:w="80" w:type="dxa"/>
            </w:tcMar>
          </w:tcPr>
          <w:p>
            <w:pPr>
              <w:jc w:val="center"/>
            </w:pPr>
            <w:r>
              <w:rPr>
                <w:rFonts w:ascii="Arial" w:hAnsi="Arial"/>
                <w:sz w:val="16"/>
              </w:rPr>
              <w:t>749.7</w:t>
            </w:r>
          </w:p>
        </w:tc>
        <w:tc>
          <w:tcPr>
            <w:tcW w:type="dxa" w:w="1481"/>
            <w:vAlign w:val="center"/>
            <w:tcMar>
              <w:top w:w="70" w:type="dxa"/>
              <w:start w:w="80" w:type="dxa"/>
              <w:bottom w:w="70" w:type="dxa"/>
              <w:end w:w="80" w:type="dxa"/>
            </w:tcMar>
          </w:tcPr>
          <w:p>
            <w:pPr>
              <w:jc w:val="center"/>
            </w:pPr>
            <w:r>
              <w:rPr>
                <w:rFonts w:ascii="Arial" w:hAnsi="Arial"/>
                <w:sz w:val="16"/>
              </w:rPr>
              <w:t>258.7</w:t>
            </w:r>
          </w:p>
        </w:tc>
        <w:tc>
          <w:tcPr>
            <w:tcW w:type="dxa" w:w="1481"/>
            <w:vAlign w:val="center"/>
            <w:tcMar>
              <w:top w:w="70" w:type="dxa"/>
              <w:start w:w="80" w:type="dxa"/>
              <w:bottom w:w="70" w:type="dxa"/>
              <w:end w:w="80" w:type="dxa"/>
            </w:tcMar>
          </w:tcPr>
          <w:p>
            <w:pPr>
              <w:jc w:val="center"/>
            </w:pPr>
            <w:r>
              <w:rPr>
                <w:rFonts w:ascii="Arial" w:hAnsi="Arial"/>
                <w:sz w:val="16"/>
              </w:rPr>
              <w:t>2.90</w:t>
            </w:r>
          </w:p>
        </w:tc>
        <w:tc>
          <w:tcPr>
            <w:tcW w:type="dxa" w:w="1481"/>
            <w:vAlign w:val="center"/>
            <w:tcMar>
              <w:top w:w="70" w:type="dxa"/>
              <w:start w:w="80" w:type="dxa"/>
              <w:bottom w:w="70" w:type="dxa"/>
              <w:end w:w="80" w:type="dxa"/>
            </w:tcMar>
          </w:tcPr>
          <w:p>
            <w:pPr>
              <w:jc w:val="center"/>
            </w:pPr>
            <w:r>
              <w:rPr>
                <w:rFonts w:ascii="Arial" w:hAnsi="Arial"/>
                <w:sz w:val="16"/>
              </w:rPr>
              <w:t>0.2%</w:t>
            </w:r>
          </w:p>
        </w:tc>
      </w:tr>
      <w:tr>
        <w:tc>
          <w:tcPr>
            <w:tcW w:type="dxa" w:w="1481"/>
            <w:vAlign w:val="center"/>
            <w:tcMar>
              <w:top w:w="70" w:type="dxa"/>
              <w:start w:w="80" w:type="dxa"/>
              <w:bottom w:w="70" w:type="dxa"/>
              <w:end w:w="80" w:type="dxa"/>
            </w:tcMar>
          </w:tcPr>
          <w:p>
            <w:pPr>
              <w:jc w:val="left"/>
            </w:pPr>
            <w:r>
              <w:rPr>
                <w:rFonts w:ascii="Arial" w:hAnsi="Arial"/>
                <w:sz w:val="16"/>
              </w:rPr>
              <w:t>Howard</w:t>
            </w:r>
          </w:p>
        </w:tc>
        <w:tc>
          <w:tcPr>
            <w:tcW w:type="dxa" w:w="1481"/>
            <w:vAlign w:val="center"/>
            <w:tcMar>
              <w:top w:w="70" w:type="dxa"/>
              <w:start w:w="80" w:type="dxa"/>
              <w:bottom w:w="70" w:type="dxa"/>
              <w:end w:w="80" w:type="dxa"/>
            </w:tcMar>
          </w:tcPr>
          <w:p>
            <w:pPr>
              <w:jc w:val="center"/>
            </w:pPr>
            <w:r>
              <w:rPr>
                <w:rFonts w:ascii="Arial" w:hAnsi="Arial"/>
                <w:sz w:val="16"/>
              </w:rPr>
              <w:t>98.6</w:t>
            </w:r>
          </w:p>
        </w:tc>
        <w:tc>
          <w:tcPr>
            <w:tcW w:type="dxa" w:w="1481"/>
            <w:vAlign w:val="center"/>
            <w:tcMar>
              <w:top w:w="70" w:type="dxa"/>
              <w:start w:w="80" w:type="dxa"/>
              <w:bottom w:w="70" w:type="dxa"/>
              <w:end w:w="80" w:type="dxa"/>
            </w:tcMar>
          </w:tcPr>
          <w:p>
            <w:pPr>
              <w:jc w:val="center"/>
            </w:pPr>
            <w:r>
              <w:rPr>
                <w:rFonts w:ascii="Arial" w:hAnsi="Arial"/>
                <w:sz w:val="16"/>
              </w:rPr>
              <w:t>1.7%</w:t>
            </w:r>
          </w:p>
        </w:tc>
        <w:tc>
          <w:tcPr>
            <w:tcW w:type="dxa" w:w="1481"/>
            <w:vAlign w:val="center"/>
            <w:tcMar>
              <w:top w:w="70" w:type="dxa"/>
              <w:start w:w="80" w:type="dxa"/>
              <w:bottom w:w="70" w:type="dxa"/>
              <w:end w:w="80" w:type="dxa"/>
            </w:tcMar>
          </w:tcPr>
          <w:p>
            <w:pPr>
              <w:jc w:val="center"/>
            </w:pPr>
            <w:r>
              <w:rPr>
                <w:rFonts w:ascii="Arial" w:hAnsi="Arial"/>
                <w:sz w:val="16"/>
              </w:rPr>
              <w:t>426.0</w:t>
            </w:r>
          </w:p>
        </w:tc>
        <w:tc>
          <w:tcPr>
            <w:tcW w:type="dxa" w:w="1481"/>
            <w:vAlign w:val="center"/>
            <w:tcMar>
              <w:top w:w="70" w:type="dxa"/>
              <w:start w:w="80" w:type="dxa"/>
              <w:bottom w:w="70" w:type="dxa"/>
              <w:end w:w="80" w:type="dxa"/>
            </w:tcMar>
          </w:tcPr>
          <w:p>
            <w:pPr>
              <w:jc w:val="center"/>
            </w:pPr>
            <w:r>
              <w:rPr>
                <w:rFonts w:ascii="Arial" w:hAnsi="Arial"/>
                <w:sz w:val="16"/>
              </w:rPr>
              <w:t>98.6</w:t>
            </w:r>
          </w:p>
        </w:tc>
        <w:tc>
          <w:tcPr>
            <w:tcW w:type="dxa" w:w="1481"/>
            <w:vAlign w:val="center"/>
            <w:tcMar>
              <w:top w:w="70" w:type="dxa"/>
              <w:start w:w="80" w:type="dxa"/>
              <w:bottom w:w="70" w:type="dxa"/>
              <w:end w:w="80" w:type="dxa"/>
            </w:tcMar>
          </w:tcPr>
          <w:p>
            <w:pPr>
              <w:jc w:val="center"/>
            </w:pPr>
            <w:r>
              <w:rPr>
                <w:rFonts w:ascii="Arial" w:hAnsi="Arial"/>
                <w:sz w:val="16"/>
              </w:rPr>
              <w:t>4.32</w:t>
            </w:r>
          </w:p>
        </w:tc>
        <w:tc>
          <w:tcPr>
            <w:tcW w:type="dxa" w:w="1481"/>
            <w:vAlign w:val="center"/>
            <w:tcMar>
              <w:top w:w="70" w:type="dxa"/>
              <w:start w:w="80" w:type="dxa"/>
              <w:bottom w:w="70" w:type="dxa"/>
              <w:end w:w="80" w:type="dxa"/>
            </w:tcMar>
          </w:tcPr>
          <w:p>
            <w:pPr>
              <w:jc w:val="center"/>
            </w:pPr>
            <w:r>
              <w:rPr>
                <w:rFonts w:ascii="Arial" w:hAnsi="Arial"/>
                <w:sz w:val="16"/>
              </w:rPr>
              <w:t>0.0%</w:t>
            </w:r>
          </w:p>
        </w:tc>
      </w:tr>
      <w:tr>
        <w:tc>
          <w:tcPr>
            <w:tcW w:type="dxa" w:w="1481"/>
            <w:vAlign w:val="center"/>
            <w:tcMar>
              <w:top w:w="70" w:type="dxa"/>
              <w:start w:w="80" w:type="dxa"/>
              <w:bottom w:w="70" w:type="dxa"/>
              <w:end w:w="80" w:type="dxa"/>
            </w:tcMar>
          </w:tcPr>
          <w:p>
            <w:pPr>
              <w:jc w:val="left"/>
            </w:pPr>
            <w:r>
              <w:rPr>
                <w:rFonts w:ascii="Arial" w:hAnsi="Arial"/>
                <w:sz w:val="16"/>
              </w:rPr>
              <w:t>Reeves</w:t>
            </w:r>
          </w:p>
        </w:tc>
        <w:tc>
          <w:tcPr>
            <w:tcW w:type="dxa" w:w="1481"/>
            <w:vAlign w:val="center"/>
            <w:tcMar>
              <w:top w:w="70" w:type="dxa"/>
              <w:start w:w="80" w:type="dxa"/>
              <w:bottom w:w="70" w:type="dxa"/>
              <w:end w:w="80" w:type="dxa"/>
            </w:tcMar>
          </w:tcPr>
          <w:p>
            <w:pPr>
              <w:jc w:val="center"/>
            </w:pPr>
            <w:r>
              <w:rPr>
                <w:rFonts w:ascii="Arial" w:hAnsi="Arial"/>
                <w:sz w:val="16"/>
              </w:rPr>
              <w:t>82.0</w:t>
            </w:r>
          </w:p>
        </w:tc>
        <w:tc>
          <w:tcPr>
            <w:tcW w:type="dxa" w:w="1481"/>
            <w:vAlign w:val="center"/>
            <w:tcMar>
              <w:top w:w="70" w:type="dxa"/>
              <w:start w:w="80" w:type="dxa"/>
              <w:bottom w:w="70" w:type="dxa"/>
              <w:end w:w="80" w:type="dxa"/>
            </w:tcMar>
          </w:tcPr>
          <w:p>
            <w:pPr>
              <w:jc w:val="center"/>
            </w:pPr>
            <w:r>
              <w:rPr>
                <w:rFonts w:ascii="Arial" w:hAnsi="Arial"/>
                <w:sz w:val="16"/>
              </w:rPr>
              <w:t>-10.6%</w:t>
            </w:r>
          </w:p>
        </w:tc>
        <w:tc>
          <w:tcPr>
            <w:tcW w:type="dxa" w:w="1481"/>
            <w:vAlign w:val="center"/>
            <w:tcMar>
              <w:top w:w="70" w:type="dxa"/>
              <w:start w:w="80" w:type="dxa"/>
              <w:bottom w:w="70" w:type="dxa"/>
              <w:end w:w="80" w:type="dxa"/>
            </w:tcMar>
          </w:tcPr>
          <w:p>
            <w:pPr>
              <w:jc w:val="center"/>
            </w:pPr>
            <w:r>
              <w:rPr>
                <w:rFonts w:ascii="Arial" w:hAnsi="Arial"/>
                <w:sz w:val="16"/>
              </w:rPr>
              <w:t>1,218.9</w:t>
            </w:r>
          </w:p>
        </w:tc>
        <w:tc>
          <w:tcPr>
            <w:tcW w:type="dxa" w:w="1481"/>
            <w:vAlign w:val="center"/>
            <w:tcMar>
              <w:top w:w="70" w:type="dxa"/>
              <w:start w:w="80" w:type="dxa"/>
              <w:bottom w:w="70" w:type="dxa"/>
              <w:end w:w="80" w:type="dxa"/>
            </w:tcMar>
          </w:tcPr>
          <w:p>
            <w:pPr>
              <w:jc w:val="center"/>
            </w:pPr>
            <w:r>
              <w:rPr>
                <w:rFonts w:ascii="Arial" w:hAnsi="Arial"/>
                <w:sz w:val="16"/>
              </w:rPr>
              <w:t>179.9</w:t>
            </w:r>
          </w:p>
        </w:tc>
        <w:tc>
          <w:tcPr>
            <w:tcW w:type="dxa" w:w="1481"/>
            <w:vAlign w:val="center"/>
            <w:tcMar>
              <w:top w:w="70" w:type="dxa"/>
              <w:start w:w="80" w:type="dxa"/>
              <w:bottom w:w="70" w:type="dxa"/>
              <w:end w:w="80" w:type="dxa"/>
            </w:tcMar>
          </w:tcPr>
          <w:p>
            <w:pPr>
              <w:jc w:val="center"/>
            </w:pPr>
            <w:r>
              <w:rPr>
                <w:rFonts w:ascii="Arial" w:hAnsi="Arial"/>
                <w:sz w:val="16"/>
              </w:rPr>
              <w:t>6.78</w:t>
            </w:r>
          </w:p>
        </w:tc>
        <w:tc>
          <w:tcPr>
            <w:tcW w:type="dxa" w:w="1481"/>
            <w:vAlign w:val="center"/>
            <w:tcMar>
              <w:top w:w="70" w:type="dxa"/>
              <w:start w:w="80" w:type="dxa"/>
              <w:bottom w:w="70" w:type="dxa"/>
              <w:end w:w="80" w:type="dxa"/>
            </w:tcMar>
          </w:tcPr>
          <w:p>
            <w:pPr>
              <w:jc w:val="center"/>
            </w:pPr>
            <w:r>
              <w:rPr>
                <w:rFonts w:ascii="Arial" w:hAnsi="Arial"/>
                <w:sz w:val="16"/>
              </w:rPr>
              <w:t>54.4%</w:t>
            </w:r>
          </w:p>
        </w:tc>
      </w:tr>
      <w:tr>
        <w:tc>
          <w:tcPr>
            <w:tcW w:type="dxa" w:w="1481"/>
            <w:vAlign w:val="center"/>
            <w:tcMar>
              <w:top w:w="70" w:type="dxa"/>
              <w:start w:w="80" w:type="dxa"/>
              <w:bottom w:w="70" w:type="dxa"/>
              <w:end w:w="80" w:type="dxa"/>
            </w:tcMar>
          </w:tcPr>
          <w:p>
            <w:pPr>
              <w:jc w:val="left"/>
            </w:pPr>
            <w:r>
              <w:rPr>
                <w:rFonts w:ascii="Arial" w:hAnsi="Arial"/>
                <w:sz w:val="16"/>
              </w:rPr>
              <w:t>Loving</w:t>
            </w:r>
          </w:p>
        </w:tc>
        <w:tc>
          <w:tcPr>
            <w:tcW w:type="dxa" w:w="1481"/>
            <w:vAlign w:val="center"/>
            <w:tcMar>
              <w:top w:w="70" w:type="dxa"/>
              <w:start w:w="80" w:type="dxa"/>
              <w:bottom w:w="70" w:type="dxa"/>
              <w:end w:w="80" w:type="dxa"/>
            </w:tcMar>
          </w:tcPr>
          <w:p>
            <w:pPr>
              <w:jc w:val="center"/>
            </w:pPr>
            <w:r>
              <w:rPr>
                <w:rFonts w:ascii="Arial" w:hAnsi="Arial"/>
                <w:sz w:val="16"/>
              </w:rPr>
              <w:t>113.8</w:t>
            </w:r>
          </w:p>
        </w:tc>
        <w:tc>
          <w:tcPr>
            <w:tcW w:type="dxa" w:w="1481"/>
            <w:vAlign w:val="center"/>
            <w:tcMar>
              <w:top w:w="70" w:type="dxa"/>
              <w:start w:w="80" w:type="dxa"/>
              <w:bottom w:w="70" w:type="dxa"/>
              <w:end w:w="80" w:type="dxa"/>
            </w:tcMar>
          </w:tcPr>
          <w:p>
            <w:pPr>
              <w:jc w:val="center"/>
            </w:pPr>
            <w:r>
              <w:rPr>
                <w:rFonts w:ascii="Arial" w:hAnsi="Arial"/>
                <w:sz w:val="16"/>
              </w:rPr>
              <w:t>36.9%</w:t>
            </w:r>
          </w:p>
        </w:tc>
        <w:tc>
          <w:tcPr>
            <w:tcW w:type="dxa" w:w="1481"/>
            <w:vAlign w:val="center"/>
            <w:tcMar>
              <w:top w:w="70" w:type="dxa"/>
              <w:start w:w="80" w:type="dxa"/>
              <w:bottom w:w="70" w:type="dxa"/>
              <w:end w:w="80" w:type="dxa"/>
            </w:tcMar>
          </w:tcPr>
          <w:p>
            <w:pPr>
              <w:jc w:val="center"/>
            </w:pPr>
            <w:r>
              <w:rPr>
                <w:rFonts w:ascii="Arial" w:hAnsi="Arial"/>
                <w:sz w:val="16"/>
              </w:rPr>
              <w:t>702.0</w:t>
            </w:r>
          </w:p>
        </w:tc>
        <w:tc>
          <w:tcPr>
            <w:tcW w:type="dxa" w:w="1481"/>
            <w:vAlign w:val="center"/>
            <w:tcMar>
              <w:top w:w="70" w:type="dxa"/>
              <w:start w:w="80" w:type="dxa"/>
              <w:bottom w:w="70" w:type="dxa"/>
              <w:end w:w="80" w:type="dxa"/>
            </w:tcMar>
          </w:tcPr>
          <w:p>
            <w:pPr>
              <w:jc w:val="center"/>
            </w:pPr>
            <w:r>
              <w:rPr>
                <w:rFonts w:ascii="Arial" w:hAnsi="Arial"/>
                <w:sz w:val="16"/>
              </w:rPr>
              <w:t>177.5</w:t>
            </w:r>
          </w:p>
        </w:tc>
        <w:tc>
          <w:tcPr>
            <w:tcW w:type="dxa" w:w="1481"/>
            <w:vAlign w:val="center"/>
            <w:tcMar>
              <w:top w:w="70" w:type="dxa"/>
              <w:start w:w="80" w:type="dxa"/>
              <w:bottom w:w="70" w:type="dxa"/>
              <w:end w:w="80" w:type="dxa"/>
            </w:tcMar>
          </w:tcPr>
          <w:p>
            <w:pPr>
              <w:jc w:val="center"/>
            </w:pPr>
            <w:r>
              <w:rPr>
                <w:rFonts w:ascii="Arial" w:hAnsi="Arial"/>
                <w:sz w:val="16"/>
              </w:rPr>
              <w:t>3.95</w:t>
            </w:r>
          </w:p>
        </w:tc>
        <w:tc>
          <w:tcPr>
            <w:tcW w:type="dxa" w:w="1481"/>
            <w:vAlign w:val="center"/>
            <w:tcMar>
              <w:top w:w="70" w:type="dxa"/>
              <w:start w:w="80" w:type="dxa"/>
              <w:bottom w:w="70" w:type="dxa"/>
              <w:end w:w="80" w:type="dxa"/>
            </w:tcMar>
          </w:tcPr>
          <w:p>
            <w:pPr>
              <w:jc w:val="center"/>
            </w:pPr>
            <w:r>
              <w:rPr>
                <w:rFonts w:ascii="Arial" w:hAnsi="Arial"/>
                <w:sz w:val="16"/>
              </w:rPr>
              <w:t>35.9%</w:t>
            </w:r>
          </w:p>
        </w:tc>
      </w:tr>
    </w:tbl>
    <w:p>
      <w:pPr>
        <w:pStyle w:val="Heading1"/>
      </w:pPr>
      <w:r>
        <w:t>1. Scope and Methodology</w:t>
      </w:r>
    </w:p>
    <w:p>
      <w:r>
        <w:rPr>
          <w:b/>
        </w:rPr>
        <w:t xml:space="preserve">Data source. </w:t>
      </w:r>
      <w:r>
        <w:t>Texas Railroad Commission Production Data Query exports for Midland, Martin, Howard, Reeves, and Loving Counties. Each query uses Well Type = Both and the period January 2020 through March 2026.</w:t>
      </w:r>
    </w:p>
    <w:p>
      <w:r>
        <w:rPr>
          <w:b/>
        </w:rPr>
        <w:t xml:space="preserve">Core definitions. </w:t>
      </w:r>
      <w:r>
        <w:t>Gas = casinghead gas + GW gas. Total liquids = oil + condensate. Gas-to-liquids ratio (GLR) = gas MCF / total-liquids BBL. Full-year growth comparisons use 2020 versus 2025; partial 2026 data are used only as a directional run-rate check.</w:t>
      </w:r>
    </w:p>
    <w:p>
      <w:r>
        <w:rPr>
          <w:b/>
        </w:rPr>
        <w:t xml:space="preserve">Why GLR instead of only GOR. </w:t>
      </w:r>
      <w:r>
        <w:t>GOR remains useful for continuity with Part 1, but condensate is material in Reeves and Loving. GLR provides a more comparable product-mix measure across the five counties.</w:t>
      </w:r>
    </w:p>
    <w:p>
      <w:pPr>
        <w:pStyle w:val="Heading1"/>
      </w:pPr>
      <w:r>
        <w:t>2. Production Scale and Growth</w:t>
      </w:r>
    </w:p>
    <w:p>
      <w:r>
        <w:rPr>
          <w:b/>
        </w:rPr>
        <w:t xml:space="preserve">Martin is the standout growth county. </w:t>
      </w:r>
      <w:r>
        <w:t>Oil production increased 76.8% from 2020 to 2025 and gas increased 155.1%. Martin also reached 258.3 MMbbl of oil in 2025, exceeding Midland in the five-county set.</w:t>
      </w:r>
    </w:p>
    <w:p>
      <w:r>
        <w:rPr>
          <w:b/>
        </w:rPr>
        <w:t xml:space="preserve">Reeves follows a different profile. </w:t>
      </w:r>
      <w:r>
        <w:t>Oil declined 10.6% between 2020 and 2025, but 2025 gas production reached 1,218.9 Bcf, the highest of the comparison group. Howard was nearly flat in oil (+1.7%) while gas increased 127.3%.</w:t>
      </w:r>
    </w:p>
    <w:p>
      <w:r>
        <w:drawing>
          <wp:inline xmlns:a="http://schemas.openxmlformats.org/drawingml/2006/main" xmlns:pic="http://schemas.openxmlformats.org/drawingml/2006/picture">
            <wp:extent cx="6217920" cy="3592576"/>
            <wp:docPr id="1" name="Picture 1"/>
            <wp:cNvGraphicFramePr>
              <a:graphicFrameLocks noChangeAspect="1"/>
            </wp:cNvGraphicFramePr>
            <a:graphic>
              <a:graphicData uri="http://schemas.openxmlformats.org/drawingml/2006/picture">
                <pic:pic>
                  <pic:nvPicPr>
                    <pic:cNvPr id="0" name="04_Production_Growth_2020_2025.png"/>
                    <pic:cNvPicPr/>
                  </pic:nvPicPr>
                  <pic:blipFill>
                    <a:blip r:embed="rId11"/>
                    <a:stretch>
                      <a:fillRect/>
                    </a:stretch>
                  </pic:blipFill>
                  <pic:spPr>
                    <a:xfrm>
                      <a:off x="0" y="0"/>
                      <a:ext cx="6217920" cy="3592576"/>
                    </a:xfrm>
                    <a:prstGeom prst="rect"/>
                  </pic:spPr>
                </pic:pic>
              </a:graphicData>
            </a:graphic>
          </wp:inline>
        </w:drawing>
      </w:r>
    </w:p>
    <w:p>
      <w:pPr>
        <w:jc w:val="center"/>
      </w:pPr>
      <w:r>
        <w:rPr>
          <w:i/>
          <w:sz w:val="16"/>
        </w:rPr>
        <w:t>Figure 1. Oil and gas production growth from 2020 to 2025.</w:t>
      </w:r>
    </w:p>
    <w:p>
      <w:r>
        <w:drawing>
          <wp:inline xmlns:a="http://schemas.openxmlformats.org/drawingml/2006/main" xmlns:pic="http://schemas.openxmlformats.org/drawingml/2006/picture">
            <wp:extent cx="6217920" cy="3592576"/>
            <wp:docPr id="2" name="Picture 2"/>
            <wp:cNvGraphicFramePr>
              <a:graphicFrameLocks noChangeAspect="1"/>
            </wp:cNvGraphicFramePr>
            <a:graphic>
              <a:graphicData uri="http://schemas.openxmlformats.org/drawingml/2006/picture">
                <pic:pic>
                  <pic:nvPicPr>
                    <pic:cNvPr id="0" name="01_Annual_Oil_Production.png"/>
                    <pic:cNvPicPr/>
                  </pic:nvPicPr>
                  <pic:blipFill>
                    <a:blip r:embed="rId12"/>
                    <a:stretch>
                      <a:fillRect/>
                    </a:stretch>
                  </pic:blipFill>
                  <pic:spPr>
                    <a:xfrm>
                      <a:off x="0" y="0"/>
                      <a:ext cx="6217920" cy="3592576"/>
                    </a:xfrm>
                    <a:prstGeom prst="rect"/>
                  </pic:spPr>
                </pic:pic>
              </a:graphicData>
            </a:graphic>
          </wp:inline>
        </w:drawing>
      </w:r>
    </w:p>
    <w:p>
      <w:pPr>
        <w:jc w:val="center"/>
      </w:pPr>
      <w:r>
        <w:rPr>
          <w:i/>
          <w:sz w:val="16"/>
        </w:rPr>
        <w:t>Figure 2. Annual oil production by county, 2020-2025.</w:t>
      </w:r>
    </w:p>
    <w:p>
      <w:pPr>
        <w:pStyle w:val="Heading1"/>
      </w:pPr>
      <w:r>
        <w:t>3. Product Mix and Gas Intensity</w:t>
      </w:r>
    </w:p>
    <w:p>
      <w:r>
        <w:rPr>
          <w:b/>
        </w:rPr>
        <w:t xml:space="preserve">Condensate changes the Delaware Basin comparison. </w:t>
      </w:r>
      <w:r>
        <w:t>In 2025, condensate represented 54.4% of Reeves liquids and 35.9% of Loving liquids. Reeves produced only 82.0 MMbbl of oil, but 179.9 MMbbl of total liquids after condensate is included. Loving increased from 113.8 MMbbl of oil to 177.5 MMbbl of total liquids.</w:t>
      </w:r>
    </w:p>
    <w:p>
      <w:r>
        <w:rPr>
          <w:b/>
        </w:rPr>
        <w:t xml:space="preserve">Howard shows the largest shift toward gas. </w:t>
      </w:r>
      <w:r>
        <w:t>Its GLR rose from 1.93 MCF/BBL in 2020 to 4.32 in 2025, a 123% increase. Reeves remained the most gas-intensive county at 6.78 MCF/BBL of total liquids in 2025.</w:t>
      </w:r>
    </w:p>
    <w:p>
      <w:r>
        <w:drawing>
          <wp:inline xmlns:a="http://schemas.openxmlformats.org/drawingml/2006/main" xmlns:pic="http://schemas.openxmlformats.org/drawingml/2006/picture">
            <wp:extent cx="6217920" cy="3592576"/>
            <wp:docPr id="3" name="Picture 3"/>
            <wp:cNvGraphicFramePr>
              <a:graphicFrameLocks noChangeAspect="1"/>
            </wp:cNvGraphicFramePr>
            <a:graphic>
              <a:graphicData uri="http://schemas.openxmlformats.org/drawingml/2006/picture">
                <pic:pic>
                  <pic:nvPicPr>
                    <pic:cNvPr id="0" name="05_2025_Liquids_Composition.png"/>
                    <pic:cNvPicPr/>
                  </pic:nvPicPr>
                  <pic:blipFill>
                    <a:blip r:embed="rId13"/>
                    <a:stretch>
                      <a:fillRect/>
                    </a:stretch>
                  </pic:blipFill>
                  <pic:spPr>
                    <a:xfrm>
                      <a:off x="0" y="0"/>
                      <a:ext cx="6217920" cy="3592576"/>
                    </a:xfrm>
                    <a:prstGeom prst="rect"/>
                  </pic:spPr>
                </pic:pic>
              </a:graphicData>
            </a:graphic>
          </wp:inline>
        </w:drawing>
      </w:r>
    </w:p>
    <w:p>
      <w:pPr>
        <w:jc w:val="center"/>
      </w:pPr>
      <w:r>
        <w:rPr>
          <w:i/>
          <w:sz w:val="16"/>
        </w:rPr>
        <w:t>Figure 3. 2025 oil and condensate composition by county.</w:t>
      </w:r>
    </w:p>
    <w:p>
      <w:r>
        <w:drawing>
          <wp:inline xmlns:a="http://schemas.openxmlformats.org/drawingml/2006/main" xmlns:pic="http://schemas.openxmlformats.org/drawingml/2006/picture">
            <wp:extent cx="6217920" cy="3592576"/>
            <wp:docPr id="4" name="Picture 4"/>
            <wp:cNvGraphicFramePr>
              <a:graphicFrameLocks noChangeAspect="1"/>
            </wp:cNvGraphicFramePr>
            <a:graphic>
              <a:graphicData uri="http://schemas.openxmlformats.org/drawingml/2006/picture">
                <pic:pic>
                  <pic:nvPicPr>
                    <pic:cNvPr id="0" name="03_Gas_to_Liquids_Ratio.png"/>
                    <pic:cNvPicPr/>
                  </pic:nvPicPr>
                  <pic:blipFill>
                    <a:blip r:embed="rId14"/>
                    <a:stretch>
                      <a:fillRect/>
                    </a:stretch>
                  </pic:blipFill>
                  <pic:spPr>
                    <a:xfrm>
                      <a:off x="0" y="0"/>
                      <a:ext cx="6217920" cy="3592576"/>
                    </a:xfrm>
                    <a:prstGeom prst="rect"/>
                  </pic:spPr>
                </pic:pic>
              </a:graphicData>
            </a:graphic>
          </wp:inline>
        </w:drawing>
      </w:r>
    </w:p>
    <w:p>
      <w:pPr>
        <w:jc w:val="center"/>
      </w:pPr>
      <w:r>
        <w:rPr>
          <w:i/>
          <w:sz w:val="16"/>
        </w:rPr>
        <w:t>Figure 4. Annual gas-to-liquids ratio, 2020-2025.</w:t>
      </w:r>
    </w:p>
    <w:p>
      <w:pPr>
        <w:pStyle w:val="Heading1"/>
      </w:pPr>
      <w:r>
        <w:t>4. Competitive and Field Concentration</w:t>
      </w:r>
    </w:p>
    <w:p>
      <w:r>
        <w:rPr>
          <w:b/>
        </w:rPr>
        <w:t xml:space="preserve">Reported operator concentration varies meaningfully. </w:t>
      </w:r>
      <w:r>
        <w:t>The top five reported operators account for 77.9% of cumulative oil in Loving and roughly 71% in Midland and Martin, compared with 51.8% in Howard and 47.6% in Reeves. This points to a more fragmented historical production base in Reeves and Howard.</w:t>
      </w:r>
    </w:p>
    <w:p>
      <w:r>
        <w:rPr>
          <w:b/>
        </w:rPr>
        <w:t xml:space="preserve">Field concentration tells a different story. </w:t>
      </w:r>
      <w:r>
        <w:t>Spraberry (Trend Area) accounts for about 97% of cumulative oil in both Martin and Howard, while Reeves is more diversified: Wolfbone (Trend Area) is the largest field at about 40%. Loving is heavily concentrated in Phantom (Wolfcamp), at about 84%.</w:t>
      </w:r>
    </w:p>
    <w:p>
      <w:r>
        <w:drawing>
          <wp:inline xmlns:a="http://schemas.openxmlformats.org/drawingml/2006/main" xmlns:pic="http://schemas.openxmlformats.org/drawingml/2006/picture">
            <wp:extent cx="6217920" cy="3592576"/>
            <wp:docPr id="5" name="Picture 5"/>
            <wp:cNvGraphicFramePr>
              <a:graphicFrameLocks noChangeAspect="1"/>
            </wp:cNvGraphicFramePr>
            <a:graphic>
              <a:graphicData uri="http://schemas.openxmlformats.org/drawingml/2006/picture">
                <pic:pic>
                  <pic:nvPicPr>
                    <pic:cNvPr id="0" name="06_Top5_Operator_Concentration.png"/>
                    <pic:cNvPicPr/>
                  </pic:nvPicPr>
                  <pic:blipFill>
                    <a:blip r:embed="rId15"/>
                    <a:stretch>
                      <a:fillRect/>
                    </a:stretch>
                  </pic:blipFill>
                  <pic:spPr>
                    <a:xfrm>
                      <a:off x="0" y="0"/>
                      <a:ext cx="6217920" cy="3592576"/>
                    </a:xfrm>
                    <a:prstGeom prst="rect"/>
                  </pic:spPr>
                </pic:pic>
              </a:graphicData>
            </a:graphic>
          </wp:inline>
        </w:drawing>
      </w:r>
    </w:p>
    <w:p>
      <w:pPr>
        <w:jc w:val="center"/>
      </w:pPr>
      <w:r>
        <w:rPr>
          <w:i/>
          <w:sz w:val="16"/>
        </w:rPr>
        <w:t>Figure 5. Share of cumulative oil attributed to the top five reported operators.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472C4"/>
          </w:tcPr>
          <w:p>
            <w:r>
              <w:rPr>
                <w:b/>
                <w:color w:val="FFFFFF"/>
                <w:sz w:val="16"/>
              </w:rPr>
              <w:t>County</w:t>
            </w:r>
          </w:p>
        </w:tc>
        <w:tc>
          <w:tcPr>
            <w:tcW w:type="dxa" w:w="2074"/>
            <w:shd w:fill="4472C4"/>
          </w:tcPr>
          <w:p>
            <w:r>
              <w:rPr>
                <w:b/>
                <w:color w:val="FFFFFF"/>
                <w:sz w:val="16"/>
              </w:rPr>
              <w:t>Top Reported Oil Operator</w:t>
            </w:r>
          </w:p>
        </w:tc>
        <w:tc>
          <w:tcPr>
            <w:tcW w:type="dxa" w:w="2074"/>
            <w:shd w:fill="4472C4"/>
          </w:tcPr>
          <w:p>
            <w:r>
              <w:rPr>
                <w:b/>
                <w:color w:val="FFFFFF"/>
                <w:sz w:val="16"/>
              </w:rPr>
              <w:t>Top-5 Operator Share</w:t>
            </w:r>
          </w:p>
        </w:tc>
        <w:tc>
          <w:tcPr>
            <w:tcW w:type="dxa" w:w="2074"/>
            <w:shd w:fill="4472C4"/>
          </w:tcPr>
          <w:p>
            <w:r>
              <w:rPr>
                <w:b/>
                <w:color w:val="FFFFFF"/>
                <w:sz w:val="16"/>
              </w:rPr>
              <w:t>Top Oil Field</w:t>
            </w:r>
          </w:p>
        </w:tc>
        <w:tc>
          <w:tcPr>
            <w:tcW w:type="dxa" w:w="2074"/>
            <w:shd w:fill="4472C4"/>
          </w:tcPr>
          <w:p>
            <w:r>
              <w:rPr>
                <w:b/>
                <w:color w:val="FFFFFF"/>
                <w:sz w:val="16"/>
              </w:rPr>
              <w:t>Top Field Share</w:t>
            </w:r>
          </w:p>
        </w:tc>
      </w:tr>
      <w:tr>
        <w:tc>
          <w:tcPr>
            <w:tcW w:type="dxa" w:w="2074"/>
            <w:tcMar>
              <w:top w:w="50" w:type="dxa"/>
              <w:start w:w="60" w:type="dxa"/>
              <w:bottom w:w="50" w:type="dxa"/>
              <w:end w:w="60" w:type="dxa"/>
            </w:tcMar>
          </w:tcPr>
          <w:p>
            <w:r>
              <w:rPr>
                <w:rFonts w:ascii="Arial" w:hAnsi="Arial"/>
                <w:sz w:val="15"/>
              </w:rPr>
              <w:t>Midland</w:t>
            </w:r>
          </w:p>
        </w:tc>
        <w:tc>
          <w:tcPr>
            <w:tcW w:type="dxa" w:w="2074"/>
            <w:tcMar>
              <w:top w:w="50" w:type="dxa"/>
              <w:start w:w="60" w:type="dxa"/>
              <w:bottom w:w="50" w:type="dxa"/>
              <w:end w:w="60" w:type="dxa"/>
            </w:tcMar>
          </w:tcPr>
          <w:p>
            <w:r>
              <w:rPr>
                <w:rFonts w:ascii="Arial" w:hAnsi="Arial"/>
                <w:sz w:val="15"/>
              </w:rPr>
              <w:t>PIONEER NATURAL RES. USA, INC.</w:t>
            </w:r>
          </w:p>
        </w:tc>
        <w:tc>
          <w:tcPr>
            <w:tcW w:type="dxa" w:w="2074"/>
            <w:tcMar>
              <w:top w:w="50" w:type="dxa"/>
              <w:start w:w="60" w:type="dxa"/>
              <w:bottom w:w="50" w:type="dxa"/>
              <w:end w:w="60" w:type="dxa"/>
            </w:tcMar>
          </w:tcPr>
          <w:p>
            <w:r>
              <w:rPr>
                <w:rFonts w:ascii="Arial" w:hAnsi="Arial"/>
                <w:sz w:val="15"/>
              </w:rPr>
              <w:t>71.3%</w:t>
            </w:r>
          </w:p>
        </w:tc>
        <w:tc>
          <w:tcPr>
            <w:tcW w:type="dxa" w:w="2074"/>
            <w:tcMar>
              <w:top w:w="50" w:type="dxa"/>
              <w:start w:w="60" w:type="dxa"/>
              <w:bottom w:w="50" w:type="dxa"/>
              <w:end w:w="60" w:type="dxa"/>
            </w:tcMar>
          </w:tcPr>
          <w:p>
            <w:r>
              <w:rPr>
                <w:rFonts w:ascii="Arial" w:hAnsi="Arial"/>
                <w:sz w:val="15"/>
              </w:rPr>
              <w:t>SPRABERRY (TREND AREA)</w:t>
            </w:r>
          </w:p>
        </w:tc>
        <w:tc>
          <w:tcPr>
            <w:tcW w:type="dxa" w:w="2074"/>
            <w:tcMar>
              <w:top w:w="50" w:type="dxa"/>
              <w:start w:w="60" w:type="dxa"/>
              <w:bottom w:w="50" w:type="dxa"/>
              <w:end w:w="60" w:type="dxa"/>
            </w:tcMar>
          </w:tcPr>
          <w:p>
            <w:r>
              <w:rPr>
                <w:rFonts w:ascii="Arial" w:hAnsi="Arial"/>
                <w:sz w:val="15"/>
              </w:rPr>
              <w:t>81.1%</w:t>
            </w:r>
          </w:p>
        </w:tc>
      </w:tr>
      <w:tr>
        <w:tc>
          <w:tcPr>
            <w:tcW w:type="dxa" w:w="2074"/>
            <w:tcMar>
              <w:top w:w="50" w:type="dxa"/>
              <w:start w:w="60" w:type="dxa"/>
              <w:bottom w:w="50" w:type="dxa"/>
              <w:end w:w="60" w:type="dxa"/>
            </w:tcMar>
          </w:tcPr>
          <w:p>
            <w:r>
              <w:rPr>
                <w:rFonts w:ascii="Arial" w:hAnsi="Arial"/>
                <w:sz w:val="15"/>
              </w:rPr>
              <w:t>Martin</w:t>
            </w:r>
          </w:p>
        </w:tc>
        <w:tc>
          <w:tcPr>
            <w:tcW w:type="dxa" w:w="2074"/>
            <w:tcMar>
              <w:top w:w="50" w:type="dxa"/>
              <w:start w:w="60" w:type="dxa"/>
              <w:bottom w:w="50" w:type="dxa"/>
              <w:end w:w="60" w:type="dxa"/>
            </w:tcMar>
          </w:tcPr>
          <w:p>
            <w:r>
              <w:rPr>
                <w:rFonts w:ascii="Arial" w:hAnsi="Arial"/>
                <w:sz w:val="15"/>
              </w:rPr>
              <w:t>DIAMONDBACK E&amp;P LLC</w:t>
            </w:r>
          </w:p>
        </w:tc>
        <w:tc>
          <w:tcPr>
            <w:tcW w:type="dxa" w:w="2074"/>
            <w:tcMar>
              <w:top w:w="50" w:type="dxa"/>
              <w:start w:w="60" w:type="dxa"/>
              <w:bottom w:w="50" w:type="dxa"/>
              <w:end w:w="60" w:type="dxa"/>
            </w:tcMar>
          </w:tcPr>
          <w:p>
            <w:r>
              <w:rPr>
                <w:rFonts w:ascii="Arial" w:hAnsi="Arial"/>
                <w:sz w:val="15"/>
              </w:rPr>
              <w:t>71.7%</w:t>
            </w:r>
          </w:p>
        </w:tc>
        <w:tc>
          <w:tcPr>
            <w:tcW w:type="dxa" w:w="2074"/>
            <w:tcMar>
              <w:top w:w="50" w:type="dxa"/>
              <w:start w:w="60" w:type="dxa"/>
              <w:bottom w:w="50" w:type="dxa"/>
              <w:end w:w="60" w:type="dxa"/>
            </w:tcMar>
          </w:tcPr>
          <w:p>
            <w:r>
              <w:rPr>
                <w:rFonts w:ascii="Arial" w:hAnsi="Arial"/>
                <w:sz w:val="15"/>
              </w:rPr>
              <w:t>SPRABERRY (TREND AREA)</w:t>
            </w:r>
          </w:p>
        </w:tc>
        <w:tc>
          <w:tcPr>
            <w:tcW w:type="dxa" w:w="2074"/>
            <w:tcMar>
              <w:top w:w="50" w:type="dxa"/>
              <w:start w:w="60" w:type="dxa"/>
              <w:bottom w:w="50" w:type="dxa"/>
              <w:end w:w="60" w:type="dxa"/>
            </w:tcMar>
          </w:tcPr>
          <w:p>
            <w:r>
              <w:rPr>
                <w:rFonts w:ascii="Arial" w:hAnsi="Arial"/>
                <w:sz w:val="15"/>
              </w:rPr>
              <w:t>96.7%</w:t>
            </w:r>
          </w:p>
        </w:tc>
      </w:tr>
      <w:tr>
        <w:tc>
          <w:tcPr>
            <w:tcW w:type="dxa" w:w="2074"/>
            <w:tcMar>
              <w:top w:w="50" w:type="dxa"/>
              <w:start w:w="60" w:type="dxa"/>
              <w:bottom w:w="50" w:type="dxa"/>
              <w:end w:w="60" w:type="dxa"/>
            </w:tcMar>
          </w:tcPr>
          <w:p>
            <w:r>
              <w:rPr>
                <w:rFonts w:ascii="Arial" w:hAnsi="Arial"/>
                <w:sz w:val="15"/>
              </w:rPr>
              <w:t>Howard</w:t>
            </w:r>
          </w:p>
        </w:tc>
        <w:tc>
          <w:tcPr>
            <w:tcW w:type="dxa" w:w="2074"/>
            <w:tcMar>
              <w:top w:w="50" w:type="dxa"/>
              <w:start w:w="60" w:type="dxa"/>
              <w:bottom w:w="50" w:type="dxa"/>
              <w:end w:w="60" w:type="dxa"/>
            </w:tcMar>
          </w:tcPr>
          <w:p>
            <w:r>
              <w:rPr>
                <w:rFonts w:ascii="Arial" w:hAnsi="Arial"/>
                <w:sz w:val="15"/>
              </w:rPr>
              <w:t>SM ENERGY COMPANY</w:t>
            </w:r>
          </w:p>
        </w:tc>
        <w:tc>
          <w:tcPr>
            <w:tcW w:type="dxa" w:w="2074"/>
            <w:tcMar>
              <w:top w:w="50" w:type="dxa"/>
              <w:start w:w="60" w:type="dxa"/>
              <w:bottom w:w="50" w:type="dxa"/>
              <w:end w:w="60" w:type="dxa"/>
            </w:tcMar>
          </w:tcPr>
          <w:p>
            <w:r>
              <w:rPr>
                <w:rFonts w:ascii="Arial" w:hAnsi="Arial"/>
                <w:sz w:val="15"/>
              </w:rPr>
              <w:t>51.8%</w:t>
            </w:r>
          </w:p>
        </w:tc>
        <w:tc>
          <w:tcPr>
            <w:tcW w:type="dxa" w:w="2074"/>
            <w:tcMar>
              <w:top w:w="50" w:type="dxa"/>
              <w:start w:w="60" w:type="dxa"/>
              <w:bottom w:w="50" w:type="dxa"/>
              <w:end w:w="60" w:type="dxa"/>
            </w:tcMar>
          </w:tcPr>
          <w:p>
            <w:r>
              <w:rPr>
                <w:rFonts w:ascii="Arial" w:hAnsi="Arial"/>
                <w:sz w:val="15"/>
              </w:rPr>
              <w:t>SPRABERRY (TREND AREA)</w:t>
            </w:r>
          </w:p>
        </w:tc>
        <w:tc>
          <w:tcPr>
            <w:tcW w:type="dxa" w:w="2074"/>
            <w:tcMar>
              <w:top w:w="50" w:type="dxa"/>
              <w:start w:w="60" w:type="dxa"/>
              <w:bottom w:w="50" w:type="dxa"/>
              <w:end w:w="60" w:type="dxa"/>
            </w:tcMar>
          </w:tcPr>
          <w:p>
            <w:r>
              <w:rPr>
                <w:rFonts w:ascii="Arial" w:hAnsi="Arial"/>
                <w:sz w:val="15"/>
              </w:rPr>
              <w:t>97.2%</w:t>
            </w:r>
          </w:p>
        </w:tc>
      </w:tr>
      <w:tr>
        <w:tc>
          <w:tcPr>
            <w:tcW w:type="dxa" w:w="2074"/>
            <w:tcMar>
              <w:top w:w="50" w:type="dxa"/>
              <w:start w:w="60" w:type="dxa"/>
              <w:bottom w:w="50" w:type="dxa"/>
              <w:end w:w="60" w:type="dxa"/>
            </w:tcMar>
          </w:tcPr>
          <w:p>
            <w:r>
              <w:rPr>
                <w:rFonts w:ascii="Arial" w:hAnsi="Arial"/>
                <w:sz w:val="15"/>
              </w:rPr>
              <w:t>Reeves</w:t>
            </w:r>
          </w:p>
        </w:tc>
        <w:tc>
          <w:tcPr>
            <w:tcW w:type="dxa" w:w="2074"/>
            <w:tcMar>
              <w:top w:w="50" w:type="dxa"/>
              <w:start w:w="60" w:type="dxa"/>
              <w:bottom w:w="50" w:type="dxa"/>
              <w:end w:w="60" w:type="dxa"/>
            </w:tcMar>
          </w:tcPr>
          <w:p>
            <w:r>
              <w:rPr>
                <w:rFonts w:ascii="Arial" w:hAnsi="Arial"/>
                <w:sz w:val="15"/>
              </w:rPr>
              <w:t>NOBLE ENERGY INC</w:t>
            </w:r>
          </w:p>
        </w:tc>
        <w:tc>
          <w:tcPr>
            <w:tcW w:type="dxa" w:w="2074"/>
            <w:tcMar>
              <w:top w:w="50" w:type="dxa"/>
              <w:start w:w="60" w:type="dxa"/>
              <w:bottom w:w="50" w:type="dxa"/>
              <w:end w:w="60" w:type="dxa"/>
            </w:tcMar>
          </w:tcPr>
          <w:p>
            <w:r>
              <w:rPr>
                <w:rFonts w:ascii="Arial" w:hAnsi="Arial"/>
                <w:sz w:val="15"/>
              </w:rPr>
              <w:t>47.6%</w:t>
            </w:r>
          </w:p>
        </w:tc>
        <w:tc>
          <w:tcPr>
            <w:tcW w:type="dxa" w:w="2074"/>
            <w:tcMar>
              <w:top w:w="50" w:type="dxa"/>
              <w:start w:w="60" w:type="dxa"/>
              <w:bottom w:w="50" w:type="dxa"/>
              <w:end w:w="60" w:type="dxa"/>
            </w:tcMar>
          </w:tcPr>
          <w:p>
            <w:r>
              <w:rPr>
                <w:rFonts w:ascii="Arial" w:hAnsi="Arial"/>
                <w:sz w:val="15"/>
              </w:rPr>
              <w:t>WOLFBONE (TREND AREA)</w:t>
            </w:r>
          </w:p>
        </w:tc>
        <w:tc>
          <w:tcPr>
            <w:tcW w:type="dxa" w:w="2074"/>
            <w:tcMar>
              <w:top w:w="50" w:type="dxa"/>
              <w:start w:w="60" w:type="dxa"/>
              <w:bottom w:w="50" w:type="dxa"/>
              <w:end w:w="60" w:type="dxa"/>
            </w:tcMar>
          </w:tcPr>
          <w:p>
            <w:r>
              <w:rPr>
                <w:rFonts w:ascii="Arial" w:hAnsi="Arial"/>
                <w:sz w:val="15"/>
              </w:rPr>
              <w:t>39.8%</w:t>
            </w:r>
          </w:p>
        </w:tc>
      </w:tr>
      <w:tr>
        <w:tc>
          <w:tcPr>
            <w:tcW w:type="dxa" w:w="2074"/>
            <w:tcMar>
              <w:top w:w="50" w:type="dxa"/>
              <w:start w:w="60" w:type="dxa"/>
              <w:bottom w:w="50" w:type="dxa"/>
              <w:end w:w="60" w:type="dxa"/>
            </w:tcMar>
          </w:tcPr>
          <w:p>
            <w:r>
              <w:rPr>
                <w:rFonts w:ascii="Arial" w:hAnsi="Arial"/>
                <w:sz w:val="15"/>
              </w:rPr>
              <w:t>Loving</w:t>
            </w:r>
          </w:p>
        </w:tc>
        <w:tc>
          <w:tcPr>
            <w:tcW w:type="dxa" w:w="2074"/>
            <w:tcMar>
              <w:top w:w="50" w:type="dxa"/>
              <w:start w:w="60" w:type="dxa"/>
              <w:bottom w:w="50" w:type="dxa"/>
              <w:end w:w="60" w:type="dxa"/>
            </w:tcMar>
          </w:tcPr>
          <w:p>
            <w:r>
              <w:rPr>
                <w:rFonts w:ascii="Arial" w:hAnsi="Arial"/>
                <w:sz w:val="15"/>
              </w:rPr>
              <w:t>ANADARKO E&amp;P ONSHORE LLC</w:t>
            </w:r>
          </w:p>
        </w:tc>
        <w:tc>
          <w:tcPr>
            <w:tcW w:type="dxa" w:w="2074"/>
            <w:tcMar>
              <w:top w:w="50" w:type="dxa"/>
              <w:start w:w="60" w:type="dxa"/>
              <w:bottom w:w="50" w:type="dxa"/>
              <w:end w:w="60" w:type="dxa"/>
            </w:tcMar>
          </w:tcPr>
          <w:p>
            <w:r>
              <w:rPr>
                <w:rFonts w:ascii="Arial" w:hAnsi="Arial"/>
                <w:sz w:val="15"/>
              </w:rPr>
              <w:t>77.9%</w:t>
            </w:r>
          </w:p>
        </w:tc>
        <w:tc>
          <w:tcPr>
            <w:tcW w:type="dxa" w:w="2074"/>
            <w:tcMar>
              <w:top w:w="50" w:type="dxa"/>
              <w:start w:w="60" w:type="dxa"/>
              <w:bottom w:w="50" w:type="dxa"/>
              <w:end w:w="60" w:type="dxa"/>
            </w:tcMar>
          </w:tcPr>
          <w:p>
            <w:r>
              <w:rPr>
                <w:rFonts w:ascii="Arial" w:hAnsi="Arial"/>
                <w:sz w:val="15"/>
              </w:rPr>
              <w:t>PHANTOM (WOLFCAMP)</w:t>
            </w:r>
          </w:p>
        </w:tc>
        <w:tc>
          <w:tcPr>
            <w:tcW w:type="dxa" w:w="2074"/>
            <w:tcMar>
              <w:top w:w="50" w:type="dxa"/>
              <w:start w:w="60" w:type="dxa"/>
              <w:bottom w:w="50" w:type="dxa"/>
              <w:end w:w="60" w:type="dxa"/>
            </w:tcMar>
          </w:tcPr>
          <w:p>
            <w:r>
              <w:rPr>
                <w:rFonts w:ascii="Arial" w:hAnsi="Arial"/>
                <w:sz w:val="15"/>
              </w:rPr>
              <w:t>83.7%</w:t>
            </w:r>
          </w:p>
        </w:tc>
      </w:tr>
    </w:tbl>
    <w:p>
      <w:pPr>
        <w:pStyle w:val="Heading1"/>
        <w:pageBreakBefore/>
      </w:pPr>
      <w:r>
        <w:t>5. Q1 2026 Run-Rate Check</w:t>
      </w:r>
    </w:p>
    <w:p>
      <w:r>
        <w:t>Q1 2026 is partial-year data, so it is compared with the average monthly rate in 2025 rather than treated as a full-year growth result. Oil run rates are below the 2025 average in every county. Martin (-0.9%) and Loving (-1.8%) are the most stable, while Howard (-21.0%) shows the largest decline. Martin is the only county with a positive gas run-rate change (+3.2%).</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4472C4"/>
          </w:tcPr>
          <w:p>
            <w:r>
              <w:rPr>
                <w:b/>
                <w:color w:val="FFFFFF"/>
                <w:sz w:val="16"/>
              </w:rPr>
              <w:t>County</w:t>
            </w:r>
          </w:p>
        </w:tc>
        <w:tc>
          <w:tcPr>
            <w:tcW w:type="dxa" w:w="3456"/>
            <w:shd w:fill="4472C4"/>
          </w:tcPr>
          <w:p>
            <w:r>
              <w:rPr>
                <w:b/>
                <w:color w:val="FFFFFF"/>
                <w:sz w:val="16"/>
              </w:rPr>
              <w:t>Q1 2026 Oil vs 2025 Avg</w:t>
            </w:r>
          </w:p>
        </w:tc>
        <w:tc>
          <w:tcPr>
            <w:tcW w:type="dxa" w:w="3456"/>
            <w:shd w:fill="4472C4"/>
          </w:tcPr>
          <w:p>
            <w:r>
              <w:rPr>
                <w:b/>
                <w:color w:val="FFFFFF"/>
                <w:sz w:val="16"/>
              </w:rPr>
              <w:t>Q1 2026 Gas vs 2025 Avg</w:t>
            </w:r>
          </w:p>
        </w:tc>
      </w:tr>
      <w:tr>
        <w:tc>
          <w:tcPr>
            <w:tcW w:type="dxa" w:w="3456"/>
          </w:tcPr>
          <w:p>
            <w:pPr>
              <w:jc w:val="left"/>
            </w:pPr>
            <w:r>
              <w:rPr>
                <w:rFonts w:ascii="Arial" w:hAnsi="Arial"/>
                <w:sz w:val="17"/>
              </w:rPr>
              <w:t>Midland</w:t>
            </w:r>
          </w:p>
        </w:tc>
        <w:tc>
          <w:tcPr>
            <w:tcW w:type="dxa" w:w="3456"/>
          </w:tcPr>
          <w:p>
            <w:pPr>
              <w:jc w:val="center"/>
            </w:pPr>
            <w:r>
              <w:rPr>
                <w:rFonts w:ascii="Arial" w:hAnsi="Arial"/>
                <w:sz w:val="17"/>
              </w:rPr>
              <w:t>-7.3%</w:t>
            </w:r>
          </w:p>
        </w:tc>
        <w:tc>
          <w:tcPr>
            <w:tcW w:type="dxa" w:w="3456"/>
          </w:tcPr>
          <w:p>
            <w:pPr>
              <w:jc w:val="center"/>
            </w:pPr>
            <w:r>
              <w:rPr>
                <w:rFonts w:ascii="Arial" w:hAnsi="Arial"/>
                <w:sz w:val="17"/>
              </w:rPr>
              <w:t>-5.3%</w:t>
            </w:r>
          </w:p>
        </w:tc>
      </w:tr>
      <w:tr>
        <w:tc>
          <w:tcPr>
            <w:tcW w:type="dxa" w:w="3456"/>
          </w:tcPr>
          <w:p>
            <w:pPr>
              <w:jc w:val="left"/>
            </w:pPr>
            <w:r>
              <w:rPr>
                <w:rFonts w:ascii="Arial" w:hAnsi="Arial"/>
                <w:sz w:val="17"/>
              </w:rPr>
              <w:t>Martin</w:t>
            </w:r>
          </w:p>
        </w:tc>
        <w:tc>
          <w:tcPr>
            <w:tcW w:type="dxa" w:w="3456"/>
          </w:tcPr>
          <w:p>
            <w:pPr>
              <w:jc w:val="center"/>
            </w:pPr>
            <w:r>
              <w:rPr>
                <w:rFonts w:ascii="Arial" w:hAnsi="Arial"/>
                <w:sz w:val="17"/>
              </w:rPr>
              <w:t>-0.9%</w:t>
            </w:r>
          </w:p>
        </w:tc>
        <w:tc>
          <w:tcPr>
            <w:tcW w:type="dxa" w:w="3456"/>
          </w:tcPr>
          <w:p>
            <w:pPr>
              <w:jc w:val="center"/>
            </w:pPr>
            <w:r>
              <w:rPr>
                <w:rFonts w:ascii="Arial" w:hAnsi="Arial"/>
                <w:sz w:val="17"/>
              </w:rPr>
              <w:t>3.2%</w:t>
            </w:r>
          </w:p>
        </w:tc>
      </w:tr>
      <w:tr>
        <w:tc>
          <w:tcPr>
            <w:tcW w:type="dxa" w:w="3456"/>
          </w:tcPr>
          <w:p>
            <w:pPr>
              <w:jc w:val="left"/>
            </w:pPr>
            <w:r>
              <w:rPr>
                <w:rFonts w:ascii="Arial" w:hAnsi="Arial"/>
                <w:sz w:val="17"/>
              </w:rPr>
              <w:t>Howard</w:t>
            </w:r>
          </w:p>
        </w:tc>
        <w:tc>
          <w:tcPr>
            <w:tcW w:type="dxa" w:w="3456"/>
          </w:tcPr>
          <w:p>
            <w:pPr>
              <w:jc w:val="center"/>
            </w:pPr>
            <w:r>
              <w:rPr>
                <w:rFonts w:ascii="Arial" w:hAnsi="Arial"/>
                <w:sz w:val="17"/>
              </w:rPr>
              <w:t>-21.0%</w:t>
            </w:r>
          </w:p>
        </w:tc>
        <w:tc>
          <w:tcPr>
            <w:tcW w:type="dxa" w:w="3456"/>
          </w:tcPr>
          <w:p>
            <w:pPr>
              <w:jc w:val="center"/>
            </w:pPr>
            <w:r>
              <w:rPr>
                <w:rFonts w:ascii="Arial" w:hAnsi="Arial"/>
                <w:sz w:val="17"/>
              </w:rPr>
              <w:t>-3.5%</w:t>
            </w:r>
          </w:p>
        </w:tc>
      </w:tr>
      <w:tr>
        <w:tc>
          <w:tcPr>
            <w:tcW w:type="dxa" w:w="3456"/>
          </w:tcPr>
          <w:p>
            <w:pPr>
              <w:jc w:val="left"/>
            </w:pPr>
            <w:r>
              <w:rPr>
                <w:rFonts w:ascii="Arial" w:hAnsi="Arial"/>
                <w:sz w:val="17"/>
              </w:rPr>
              <w:t>Reeves</w:t>
            </w:r>
          </w:p>
        </w:tc>
        <w:tc>
          <w:tcPr>
            <w:tcW w:type="dxa" w:w="3456"/>
          </w:tcPr>
          <w:p>
            <w:pPr>
              <w:jc w:val="center"/>
            </w:pPr>
            <w:r>
              <w:rPr>
                <w:rFonts w:ascii="Arial" w:hAnsi="Arial"/>
                <w:sz w:val="17"/>
              </w:rPr>
              <w:t>-9.8%</w:t>
            </w:r>
          </w:p>
        </w:tc>
        <w:tc>
          <w:tcPr>
            <w:tcW w:type="dxa" w:w="3456"/>
          </w:tcPr>
          <w:p>
            <w:pPr>
              <w:jc w:val="center"/>
            </w:pPr>
            <w:r>
              <w:rPr>
                <w:rFonts w:ascii="Arial" w:hAnsi="Arial"/>
                <w:sz w:val="17"/>
              </w:rPr>
              <w:t>-6.2%</w:t>
            </w:r>
          </w:p>
        </w:tc>
      </w:tr>
      <w:tr>
        <w:tc>
          <w:tcPr>
            <w:tcW w:type="dxa" w:w="3456"/>
          </w:tcPr>
          <w:p>
            <w:pPr>
              <w:jc w:val="left"/>
            </w:pPr>
            <w:r>
              <w:rPr>
                <w:rFonts w:ascii="Arial" w:hAnsi="Arial"/>
                <w:sz w:val="17"/>
              </w:rPr>
              <w:t>Loving</w:t>
            </w:r>
          </w:p>
        </w:tc>
        <w:tc>
          <w:tcPr>
            <w:tcW w:type="dxa" w:w="3456"/>
          </w:tcPr>
          <w:p>
            <w:pPr>
              <w:jc w:val="center"/>
            </w:pPr>
            <w:r>
              <w:rPr>
                <w:rFonts w:ascii="Arial" w:hAnsi="Arial"/>
                <w:sz w:val="17"/>
              </w:rPr>
              <w:t>-1.8%</w:t>
            </w:r>
          </w:p>
        </w:tc>
        <w:tc>
          <w:tcPr>
            <w:tcW w:type="dxa" w:w="3456"/>
          </w:tcPr>
          <w:p>
            <w:pPr>
              <w:jc w:val="center"/>
            </w:pPr>
            <w:r>
              <w:rPr>
                <w:rFonts w:ascii="Arial" w:hAnsi="Arial"/>
                <w:sz w:val="17"/>
              </w:rPr>
              <w:t>-1.7%</w:t>
            </w:r>
          </w:p>
        </w:tc>
      </w:tr>
    </w:tbl>
    <w:p>
      <w:pPr>
        <w:pStyle w:val="Heading1"/>
      </w:pPr>
      <w:r>
        <w:t>6. Business Implications</w:t>
      </w:r>
    </w:p>
    <w:p>
      <w:pPr>
        <w:ind w:left="259" w:hanging="173"/>
      </w:pPr>
      <w:r>
        <w:rPr>
          <w:b/>
        </w:rPr>
        <w:t xml:space="preserve">• </w:t>
      </w:r>
      <w:r>
        <w:t>Growth screening: Martin stands out as the clearest high-growth county in the five-county set and is the strongest candidate for deeper well-level development and decline-curve analysis.</w:t>
      </w:r>
    </w:p>
    <w:p>
      <w:pPr>
        <w:ind w:left="259" w:hanging="173"/>
      </w:pPr>
      <w:r>
        <w:rPr>
          <w:b/>
        </w:rPr>
        <w:t xml:space="preserve">• </w:t>
      </w:r>
      <w:r>
        <w:t>Product-mix screening: Reeves and Loving require condensate-aware comparisons; oil-only rankings can misstate the scale and economics of their liquids production.</w:t>
      </w:r>
    </w:p>
    <w:p>
      <w:pPr>
        <w:ind w:left="259" w:hanging="173"/>
      </w:pPr>
      <w:r>
        <w:rPr>
          <w:b/>
        </w:rPr>
        <w:t xml:space="preserve">• </w:t>
      </w:r>
      <w:r>
        <w:t>Gas exposure: Howard has become materially more gas-intensive, while Reeves remains structurally gas-heavy. Gas takeaway, processing, and pricing therefore matter more to interpreting these counties than a simple oil-volume ranking suggests.</w:t>
      </w:r>
    </w:p>
    <w:p>
      <w:pPr>
        <w:ind w:left="259" w:hanging="173"/>
      </w:pPr>
      <w:r>
        <w:rPr>
          <w:b/>
        </w:rPr>
        <w:t xml:space="preserve">• </w:t>
      </w:r>
      <w:r>
        <w:t>Competitive structure: Reeves and Howard show lower reported operator concentration than Loving/Martin/Midland, which can matter for asset-screening, peer selection, and transaction context.</w:t>
      </w:r>
    </w:p>
    <w:p>
      <w:pPr>
        <w:pStyle w:val="Heading2"/>
      </w:pPr>
      <w:r>
        <w:t>Limitations</w:t>
      </w:r>
    </w:p>
    <w:p>
      <w:r>
        <w:rPr>
          <w:b/>
        </w:rPr>
        <w:t xml:space="preserve">This project is a public-data screening analysis, not a reserve report or economic evaluation. </w:t>
      </w:r>
      <w:r>
        <w:t>It does not include well-level decline curves, acreage quality, drilling/completion costs, operating costs, realized pricing, NGL yields, midstream constraints, or current ownership mapping. RRC operator reports aggregate the full query period; historical operator names can remain after acquisitions or asset transfers.</w:t>
      </w:r>
    </w:p>
    <w:p>
      <w:pPr>
        <w:pStyle w:val="Heading2"/>
      </w:pPr>
      <w:r>
        <w:t>Data and Reproducibility</w:t>
      </w:r>
    </w:p>
    <w:p>
      <w:r>
        <w:t>The GitHub-ready project package includes the raw RRC exports, cleaned CSV outputs, formula-driven Excel workbook, Python script, executed Jupyter notebook, figures, report, and presentation.</w:t>
      </w:r>
    </w:p>
    <w:p>
      <w:r>
        <w:rPr>
          <w:b/>
        </w:rPr>
        <w:t xml:space="preserve">RRC Production Data Query: </w:t>
      </w:r>
      <w:r>
        <w:t>https://webapps2.rrc.texas.gov/EWA/ewaPdqMain.do</w:t>
      </w:r>
    </w:p>
    <w:p>
      <w:r>
        <w:rPr>
          <w:b/>
        </w:rPr>
        <w:t xml:space="preserve">Part 1 repository: </w:t>
      </w:r>
      <w:r>
        <w:t>https://github.com/Joseph-Luongo/Midland-County-RRC-Production-Analysis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Texas Railroad Commission public production data | Jan 2020 - Mar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Permian Basin RRC Production Comparison |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