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eb034f8532dfacf462c34a7242c0678de0a4707"/>
    <w:p>
      <w:pPr>
        <w:pStyle w:val="Heading1"/>
      </w:pPr>
      <w:r>
        <w:t xml:space="preserve">The Impact of Climate Change on Food Security in Nigeria: A Review of Empirical and Theoretical Evidence — Plan</w:t>
      </w:r>
    </w:p>
    <w:p>
      <w:pPr>
        <w:pStyle w:val="FirstParagraph"/>
      </w:pPr>
      <w:r>
        <w:t xml:space="preserve">A journal-article review that synthesizes empirical findings (quantitative + qualitative) and key theoretical lenses on how climate change affects food security in Nigeria, structured with a PRISMA-style search and a narrative/thematic synthesis. The paper anchors</w:t>
      </w:r>
      <w:r>
        <w:t xml:space="preserve"> </w:t>
      </w:r>
      <w:r>
        <w:t xml:space="preserve">“</w:t>
      </w:r>
      <w:r>
        <w:t xml:space="preserve">food security</w:t>
      </w:r>
      <w:r>
        <w:t xml:space="preserve">”</w:t>
      </w:r>
      <w:r>
        <w:t xml:space="preserve"> </w:t>
      </w:r>
      <w:r>
        <w:t xml:space="preserve">on the FAO four pillars (availability, access, utilization, stability) and interprets evidence through climate-risk/vulnerability and food-systems frameworks to produce clear policy and research implications.</w:t>
      </w:r>
    </w:p>
    <w:bookmarkStart w:id="23" w:name="scope-and-research-questions"/>
    <w:p>
      <w:pPr>
        <w:pStyle w:val="Heading2"/>
      </w:pPr>
      <w:r>
        <w:t xml:space="preserve">1) Scope and research questions</w:t>
      </w:r>
    </w:p>
    <w:bookmarkStart w:id="20" w:name="primary-research-question"/>
    <w:p>
      <w:pPr>
        <w:pStyle w:val="Heading3"/>
      </w:pPr>
      <w:r>
        <w:t xml:space="preserve">Primary research question</w:t>
      </w:r>
    </w:p>
    <w:p>
      <w:pPr>
        <w:pStyle w:val="FirstParagraph"/>
      </w:pPr>
      <w:r>
        <w:t xml:space="preserve">How does climate change (temperature trends, rainfall variability, extremes) affect food security outcomes in Nigeria?</w:t>
      </w:r>
    </w:p>
    <w:bookmarkEnd w:id="20"/>
    <w:bookmarkStart w:id="21" w:name="sub-questions-map-to-fao-pillars"/>
    <w:p>
      <w:pPr>
        <w:pStyle w:val="Heading3"/>
      </w:pPr>
      <w:r>
        <w:t xml:space="preserve">Sub-questions (map to FAO pillars)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Availability</w:t>
      </w:r>
      <w:r>
        <w:t xml:space="preserve">: effects on crop/livestock/fisheries productivity, post-harvest losses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</w:t>
      </w:r>
      <w:r>
        <w:t xml:space="preserve">: impacts on prices, incomes, livelihoods, market functioning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Utilization</w:t>
      </w:r>
      <w:r>
        <w:t xml:space="preserve">: nutrition, dietary diversity, water/health burdens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Stability</w:t>
      </w:r>
      <w:r>
        <w:t xml:space="preserve">: interannual volatility, shocks (flood/drought), conflict/displacement</w:t>
      </w:r>
    </w:p>
    <w:bookmarkEnd w:id="21"/>
    <w:bookmarkStart w:id="22" w:name="scope-decisions"/>
    <w:p>
      <w:pPr>
        <w:pStyle w:val="Heading3"/>
      </w:pPr>
      <w:r>
        <w:t xml:space="preserve">Scope decisions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Geography</w:t>
      </w:r>
      <w:r>
        <w:t xml:space="preserve">: Nigeria; allow comparative studies only if Nigeria results are explicit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 window (default)</w:t>
      </w:r>
      <w:r>
        <w:t xml:space="preserve">: 2000–May 2026, with emphasis on the most recent ~10 years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Outputs</w:t>
      </w:r>
      <w:r>
        <w:t xml:space="preserve">: narrative synthesis, evidence tables, conceptual framework figure, PRISMA diagram</w:t>
      </w:r>
    </w:p>
    <w:bookmarkEnd w:id="22"/>
    <w:bookmarkEnd w:id="23"/>
    <w:bookmarkStart w:id="24" w:name="conceptual-and-theoretical-framework"/>
    <w:p>
      <w:pPr>
        <w:pStyle w:val="Heading2"/>
      </w:pPr>
      <w:r>
        <w:t xml:space="preserve">2) Conceptual and theoretical framework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Food security framing</w:t>
      </w:r>
      <w:r>
        <w:t xml:space="preserve">: FAO 4 pillars + food systems perspective (production–processing–distribution–consumption)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Climate risk framing</w:t>
      </w:r>
      <w:r>
        <w:t xml:space="preserve">: hazard–exposure–vulnerability (IPCC risk concept) to interpret pathways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Livelihoods/vulnerability lens</w:t>
      </w:r>
      <w:r>
        <w:t xml:space="preserve">: Sustainable Livelihoods Framework (assets, shocks, coping/adaptation) for household-level studies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Adaptation lens</w:t>
      </w:r>
      <w:r>
        <w:t xml:space="preserve">: autonomous vs planned adaptation; risk management (irrigation, improved varieties, diversification, storage, insurance)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Optional complementary lens (use if common in the literature)</w:t>
      </w:r>
      <w:r>
        <w:t xml:space="preserve">: political ecology / institutional capacity (governance, inequality)</w:t>
      </w:r>
    </w:p>
    <w:bookmarkEnd w:id="24"/>
    <w:bookmarkStart w:id="32" w:name="Xa06853f98267d0e01ea6a0189be87d5c6807460"/>
    <w:p>
      <w:pPr>
        <w:pStyle w:val="Heading2"/>
      </w:pPr>
      <w:r>
        <w:t xml:space="preserve">3) Review methods (PRISMA-style systematic narrative review)</w:t>
      </w:r>
    </w:p>
    <w:bookmarkStart w:id="25" w:name="X86e2dc22dbcf4fc966f1729635b6370181bdd35"/>
    <w:p>
      <w:pPr>
        <w:pStyle w:val="Heading3"/>
      </w:pPr>
      <w:r>
        <w:t xml:space="preserve">Databases and sources (aim for at least 4–6)</w:t>
      </w:r>
    </w:p>
    <w:p>
      <w:pPr>
        <w:numPr>
          <w:ilvl w:val="0"/>
          <w:numId w:val="1004"/>
        </w:numPr>
        <w:pStyle w:val="Compact"/>
      </w:pPr>
      <w:r>
        <w:t xml:space="preserve">Scopus, Web of Science, Google Scholar</w:t>
      </w:r>
    </w:p>
    <w:p>
      <w:pPr>
        <w:numPr>
          <w:ilvl w:val="0"/>
          <w:numId w:val="1004"/>
        </w:numPr>
        <w:pStyle w:val="Compact"/>
      </w:pPr>
      <w:r>
        <w:t xml:space="preserve">AGRIS, CAB Abstracts (agriculture), PubMed (nutrition/health)</w:t>
      </w:r>
    </w:p>
    <w:p>
      <w:pPr>
        <w:numPr>
          <w:ilvl w:val="0"/>
          <w:numId w:val="1004"/>
        </w:numPr>
        <w:pStyle w:val="Compact"/>
      </w:pPr>
      <w:r>
        <w:t xml:space="preserve">AJOL (African Journals Online)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Grey literature (selective, clearly labeled)</w:t>
      </w:r>
      <w:r>
        <w:t xml:space="preserve">: FAO, WFP, IFPRI, World Bank, IPCC; Nigeria’s NIMET/NBS/NAERLS where relevant</w:t>
      </w:r>
    </w:p>
    <w:bookmarkEnd w:id="25"/>
    <w:bookmarkStart w:id="26" w:name="Xf8d0e0dd8bbbe76dba6b4a33ebb60c76dbdcd86"/>
    <w:p>
      <w:pPr>
        <w:pStyle w:val="Heading3"/>
      </w:pPr>
      <w:r>
        <w:t xml:space="preserve">Search string design (iterate; keep a search log)</w:t>
      </w:r>
    </w:p>
    <w:p>
      <w:pPr>
        <w:pStyle w:val="FirstParagraph"/>
      </w:pPr>
      <w:r>
        <w:t xml:space="preserve">Core string:</w:t>
      </w:r>
    </w:p>
    <w:p>
      <w:pPr>
        <w:pStyle w:val="BodyText"/>
      </w:pPr>
      <w:r>
        <w:t xml:space="preserve">(Nigeria) AND (</w:t>
      </w:r>
      <w:r>
        <w:t xml:space="preserve">“</w:t>
      </w:r>
      <w:r>
        <w:t xml:space="preserve">climate change</w:t>
      </w:r>
      <w:r>
        <w:t xml:space="preserve">”</w:t>
      </w:r>
      <w:r>
        <w:t xml:space="preserve"> </w:t>
      </w:r>
      <w:r>
        <w:t xml:space="preserve">OR warming OR temperature OR rainfall OR precipitation OR drought OR flood OR</w:t>
      </w:r>
      <w:r>
        <w:t xml:space="preserve"> </w:t>
      </w:r>
      <w:r>
        <w:t xml:space="preserve">“</w:t>
      </w:r>
      <w:r>
        <w:t xml:space="preserve">extreme events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rainfall variability</w:t>
      </w:r>
      <w:r>
        <w:t xml:space="preserve">”</w:t>
      </w:r>
      <w:r>
        <w:t xml:space="preserve">) AND (</w:t>
      </w:r>
      <w:r>
        <w:t xml:space="preserve">“</w:t>
      </w:r>
      <w:r>
        <w:t xml:space="preserve">food security</w:t>
      </w:r>
      <w:r>
        <w:t xml:space="preserve">”</w:t>
      </w:r>
      <w:r>
        <w:t xml:space="preserve"> </w:t>
      </w:r>
      <w:r>
        <w:t xml:space="preserve">OR hunger OR nutrition OR</w:t>
      </w:r>
      <w:r>
        <w:t xml:space="preserve"> </w:t>
      </w:r>
      <w:r>
        <w:t xml:space="preserve">“</w:t>
      </w:r>
      <w:r>
        <w:t xml:space="preserve">dietary diversity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food access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food availability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food prices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crop yield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agricultural productivity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Add pathway terms as needed: livelihoods, markets, conflict, displacement, irrigation, adaptation.</w:t>
      </w:r>
    </w:p>
    <w:bookmarkEnd w:id="26"/>
    <w:bookmarkStart w:id="27" w:name="inclusion-criteria"/>
    <w:p>
      <w:pPr>
        <w:pStyle w:val="Heading3"/>
      </w:pPr>
      <w:r>
        <w:t xml:space="preserve">Inclusion criteria</w:t>
      </w:r>
    </w:p>
    <w:p>
      <w:pPr>
        <w:numPr>
          <w:ilvl w:val="0"/>
          <w:numId w:val="1005"/>
        </w:numPr>
        <w:pStyle w:val="Compact"/>
      </w:pPr>
      <w:r>
        <w:t xml:space="preserve">Climate variables/exposures explicitly analyzed</w:t>
      </w:r>
    </w:p>
    <w:p>
      <w:pPr>
        <w:numPr>
          <w:ilvl w:val="0"/>
          <w:numId w:val="1005"/>
        </w:numPr>
        <w:pStyle w:val="Compact"/>
      </w:pPr>
      <w:r>
        <w:t xml:space="preserve">At least one food-security outcome (pillar-aligned) or close proxy (yield, consumption, HFIAS/FIES, DDS, stunting/wasting where linked)</w:t>
      </w:r>
    </w:p>
    <w:p>
      <w:pPr>
        <w:numPr>
          <w:ilvl w:val="0"/>
          <w:numId w:val="1005"/>
        </w:numPr>
        <w:pStyle w:val="Compact"/>
      </w:pPr>
      <w:r>
        <w:t xml:space="preserve">Nigeria (national or subnational)</w:t>
      </w:r>
    </w:p>
    <w:p>
      <w:pPr>
        <w:numPr>
          <w:ilvl w:val="0"/>
          <w:numId w:val="1005"/>
        </w:numPr>
        <w:pStyle w:val="Compact"/>
      </w:pPr>
      <w:r>
        <w:t xml:space="preserve">Empirical quantitative, qualitative, mixed methods; plus well-cited theoretical/conceptual papers used in Nigeria context</w:t>
      </w:r>
    </w:p>
    <w:p>
      <w:pPr>
        <w:numPr>
          <w:ilvl w:val="0"/>
          <w:numId w:val="1005"/>
        </w:numPr>
        <w:pStyle w:val="Compact"/>
      </w:pPr>
      <w:r>
        <w:t xml:space="preserve">English language</w:t>
      </w:r>
    </w:p>
    <w:p>
      <w:pPr>
        <w:numPr>
          <w:ilvl w:val="0"/>
          <w:numId w:val="1005"/>
        </w:numPr>
        <w:pStyle w:val="Compact"/>
      </w:pPr>
      <w:r>
        <w:t xml:space="preserve">Peer-reviewed prioritized; include key reports only if they provide unique Nigeria data/synthesis</w:t>
      </w:r>
    </w:p>
    <w:bookmarkEnd w:id="27"/>
    <w:bookmarkStart w:id="28" w:name="exclusion-criteria"/>
    <w:p>
      <w:pPr>
        <w:pStyle w:val="Heading3"/>
      </w:pPr>
      <w:r>
        <w:t xml:space="preserve">Exclusion criteria</w:t>
      </w:r>
    </w:p>
    <w:p>
      <w:pPr>
        <w:numPr>
          <w:ilvl w:val="0"/>
          <w:numId w:val="1006"/>
        </w:numPr>
        <w:pStyle w:val="Compact"/>
      </w:pPr>
      <w:r>
        <w:t xml:space="preserve">Not Nigeria-specific results</w:t>
      </w:r>
    </w:p>
    <w:p>
      <w:pPr>
        <w:numPr>
          <w:ilvl w:val="0"/>
          <w:numId w:val="1006"/>
        </w:numPr>
        <w:pStyle w:val="Compact"/>
      </w:pPr>
      <w:r>
        <w:t xml:space="preserve">No climate component (only anecdotal</w:t>
      </w:r>
      <w:r>
        <w:t xml:space="preserve"> </w:t>
      </w:r>
      <w:r>
        <w:t xml:space="preserve">“</w:t>
      </w:r>
      <w:r>
        <w:t xml:space="preserve">weather</w:t>
      </w:r>
      <w:r>
        <w:t xml:space="preserve">”</w:t>
      </w:r>
      <w:r>
        <w:t xml:space="preserve"> </w:t>
      </w:r>
      <w:r>
        <w:t xml:space="preserve">without data)</w:t>
      </w:r>
    </w:p>
    <w:p>
      <w:pPr>
        <w:numPr>
          <w:ilvl w:val="0"/>
          <w:numId w:val="1006"/>
        </w:numPr>
        <w:pStyle w:val="Compact"/>
      </w:pPr>
      <w:r>
        <w:t xml:space="preserve">Purely technical agronomy without food-security linkage (unless it clearly maps to availability/stability)</w:t>
      </w:r>
    </w:p>
    <w:bookmarkEnd w:id="28"/>
    <w:bookmarkStart w:id="29" w:name="screening-workflow-prisma"/>
    <w:p>
      <w:pPr>
        <w:pStyle w:val="Heading3"/>
      </w:pPr>
      <w:r>
        <w:t xml:space="preserve">Screening workflow (PRISMA)</w:t>
      </w:r>
    </w:p>
    <w:p>
      <w:pPr>
        <w:numPr>
          <w:ilvl w:val="0"/>
          <w:numId w:val="1007"/>
        </w:numPr>
        <w:pStyle w:val="Compact"/>
      </w:pPr>
      <w:r>
        <w:t xml:space="preserve">De-duplicate → title/abstract screening → full-text screening</w:t>
      </w:r>
    </w:p>
    <w:p>
      <w:pPr>
        <w:numPr>
          <w:ilvl w:val="0"/>
          <w:numId w:val="1007"/>
        </w:numPr>
        <w:pStyle w:val="Compact"/>
      </w:pPr>
      <w:r>
        <w:t xml:space="preserve">If solo: two-pass approach (initial pass + verification pass a week later)</w:t>
      </w:r>
    </w:p>
    <w:p>
      <w:pPr>
        <w:numPr>
          <w:ilvl w:val="0"/>
          <w:numId w:val="1007"/>
        </w:numPr>
        <w:pStyle w:val="Compact"/>
      </w:pPr>
      <w:r>
        <w:t xml:space="preserve">Record reasons for exclusion at full-text stage</w:t>
      </w:r>
    </w:p>
    <w:bookmarkEnd w:id="29"/>
    <w:bookmarkStart w:id="30" w:name="X07cae53437219f4f760b54c3f8746738acbf91c"/>
    <w:p>
      <w:pPr>
        <w:pStyle w:val="Heading3"/>
      </w:pPr>
      <w:r>
        <w:t xml:space="preserve">Data extraction template (spreadsheet fields)</w:t>
      </w:r>
    </w:p>
    <w:p>
      <w:pPr>
        <w:numPr>
          <w:ilvl w:val="0"/>
          <w:numId w:val="1008"/>
        </w:numPr>
        <w:pStyle w:val="Compact"/>
      </w:pPr>
      <w:r>
        <w:t xml:space="preserve">Bibliographic: author/year/journal</w:t>
      </w:r>
    </w:p>
    <w:p>
      <w:pPr>
        <w:numPr>
          <w:ilvl w:val="0"/>
          <w:numId w:val="1008"/>
        </w:numPr>
        <w:pStyle w:val="Compact"/>
      </w:pPr>
      <w:r>
        <w:t xml:space="preserve">Study design: cross-sectional/panel/time series/RCM downscaling/qualitative case study</w:t>
      </w:r>
    </w:p>
    <w:p>
      <w:pPr>
        <w:numPr>
          <w:ilvl w:val="0"/>
          <w:numId w:val="1008"/>
        </w:numPr>
        <w:pStyle w:val="Compact"/>
      </w:pPr>
      <w:r>
        <w:t xml:space="preserve">Location: state/LGA, agro-ecological zone</w:t>
      </w:r>
    </w:p>
    <w:p>
      <w:pPr>
        <w:numPr>
          <w:ilvl w:val="0"/>
          <w:numId w:val="1008"/>
        </w:numPr>
        <w:pStyle w:val="Compact"/>
      </w:pPr>
      <w:r>
        <w:t xml:space="preserve">Climate exposure(s): temperature, rainfall variability, drought index, floods, etc.</w:t>
      </w:r>
    </w:p>
    <w:p>
      <w:pPr>
        <w:numPr>
          <w:ilvl w:val="0"/>
          <w:numId w:val="1008"/>
        </w:numPr>
        <w:pStyle w:val="Compact"/>
      </w:pPr>
      <w:r>
        <w:t xml:space="preserve">Outcomes: yield, prices, HFIAS/FIES, DDS, anthropometrics, etc.</w:t>
      </w:r>
    </w:p>
    <w:p>
      <w:pPr>
        <w:numPr>
          <w:ilvl w:val="0"/>
          <w:numId w:val="1008"/>
        </w:numPr>
        <w:pStyle w:val="Compact"/>
      </w:pPr>
      <w:r>
        <w:t xml:space="preserve">Methods: econometrics, remote sensing, surveys, interviews, etc.</w:t>
      </w:r>
    </w:p>
    <w:p>
      <w:pPr>
        <w:numPr>
          <w:ilvl w:val="0"/>
          <w:numId w:val="1008"/>
        </w:numPr>
        <w:pStyle w:val="Compact"/>
      </w:pPr>
      <w:r>
        <w:t xml:space="preserve">Key findings: direction/magnitude; heterogeneity (gender, livelihood, region)</w:t>
      </w:r>
    </w:p>
    <w:p>
      <w:pPr>
        <w:numPr>
          <w:ilvl w:val="0"/>
          <w:numId w:val="1008"/>
        </w:numPr>
        <w:pStyle w:val="Compact"/>
      </w:pPr>
      <w:r>
        <w:t xml:space="preserve">Adaptation/coping: strategies and evidence of effectiveness</w:t>
      </w:r>
    </w:p>
    <w:p>
      <w:pPr>
        <w:numPr>
          <w:ilvl w:val="0"/>
          <w:numId w:val="1008"/>
        </w:numPr>
        <w:pStyle w:val="Compact"/>
      </w:pPr>
      <w:r>
        <w:t xml:space="preserve">Limitations</w:t>
      </w:r>
    </w:p>
    <w:bookmarkEnd w:id="30"/>
    <w:bookmarkStart w:id="31" w:name="X52abe0d626931dcf2abcdc239641c39077468d0"/>
    <w:p>
      <w:pPr>
        <w:pStyle w:val="Heading3"/>
      </w:pPr>
      <w:r>
        <w:t xml:space="preserve">Quality appraisal (choose one and apply consistently)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MMAT</w:t>
      </w:r>
      <w:r>
        <w:t xml:space="preserve"> </w:t>
      </w:r>
      <w:r>
        <w:t xml:space="preserve">(Mixed Methods Appraisal Tool), 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JBI/CASP</w:t>
      </w:r>
      <w:r>
        <w:t xml:space="preserve"> </w:t>
      </w:r>
      <w:r>
        <w:t xml:space="preserve">checklists (separate tools for qualitative/quantitative)</w:t>
      </w:r>
    </w:p>
    <w:p>
      <w:pPr>
        <w:pStyle w:val="FirstParagraph"/>
      </w:pPr>
      <w:r>
        <w:t xml:space="preserve">Use appraisal to weight confidence (do not automatically exclude unless very low quality).</w:t>
      </w:r>
    </w:p>
    <w:bookmarkEnd w:id="31"/>
    <w:bookmarkEnd w:id="32"/>
    <w:bookmarkStart w:id="38" w:name="evidence-synthesis-approach"/>
    <w:p>
      <w:pPr>
        <w:pStyle w:val="Heading2"/>
      </w:pPr>
      <w:r>
        <w:t xml:space="preserve">4) Evidence synthesis approach</w:t>
      </w:r>
    </w:p>
    <w:bookmarkStart w:id="33" w:name="descriptive-mapping-of-the-literature"/>
    <w:p>
      <w:pPr>
        <w:pStyle w:val="Heading3"/>
      </w:pPr>
      <w:r>
        <w:t xml:space="preserve">Descriptive mapping of the literature</w:t>
      </w:r>
    </w:p>
    <w:p>
      <w:pPr>
        <w:numPr>
          <w:ilvl w:val="0"/>
          <w:numId w:val="1010"/>
        </w:numPr>
        <w:pStyle w:val="Compact"/>
      </w:pPr>
      <w:r>
        <w:t xml:space="preserve">Count studies by year, region, agro-ecological zone, methods, and outcome type</w:t>
      </w:r>
    </w:p>
    <w:p>
      <w:pPr>
        <w:numPr>
          <w:ilvl w:val="0"/>
          <w:numId w:val="1010"/>
        </w:numPr>
        <w:pStyle w:val="Compact"/>
      </w:pPr>
      <w:r>
        <w:t xml:space="preserve">Identify heavily studied vs under-studied zones (e.g., Sahel/Sudan savanna vs coastal/Niger Delta)</w:t>
      </w:r>
    </w:p>
    <w:bookmarkEnd w:id="33"/>
    <w:bookmarkStart w:id="34" w:name="X1b3482b6e47fae5bed4d48fb1097f99a3a47ee1"/>
    <w:p>
      <w:pPr>
        <w:pStyle w:val="Heading3"/>
      </w:pPr>
      <w:r>
        <w:t xml:space="preserve">Pathway-based thematic synthesis (mechanisms)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Production channel</w:t>
      </w:r>
      <w:r>
        <w:t xml:space="preserve">: yield/livestock/fisheries impacts via heat, rainfall timing, pests/diseases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Market/income channel</w:t>
      </w:r>
      <w:r>
        <w:t xml:space="preserve">: prices, wage/income shocks, market access disruptions (roads/floods)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Health/water channel</w:t>
      </w:r>
      <w:r>
        <w:t xml:space="preserve">: disease burden, WASH constraints affecting utilization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Shock/conflict channel</w:t>
      </w:r>
      <w:r>
        <w:t xml:space="preserve">: displacement, farmer–herder conflict interactions (report carefully; avoid over-claiming causality)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Adaptation channel</w:t>
      </w:r>
      <w:r>
        <w:t xml:space="preserve">: irrigation, diversification, improved seed, extension, storage, social protection</w:t>
      </w:r>
    </w:p>
    <w:bookmarkEnd w:id="34"/>
    <w:bookmarkStart w:id="35" w:name="heterogeneity-and-vulnerability"/>
    <w:p>
      <w:pPr>
        <w:pStyle w:val="Heading3"/>
      </w:pPr>
      <w:r>
        <w:t xml:space="preserve">Heterogeneity and vulnerability</w:t>
      </w:r>
    </w:p>
    <w:p>
      <w:pPr>
        <w:numPr>
          <w:ilvl w:val="0"/>
          <w:numId w:val="1012"/>
        </w:numPr>
        <w:pStyle w:val="Compact"/>
      </w:pPr>
      <w:r>
        <w:t xml:space="preserve">Gender; smallholders vs commercial; pastoralists vs crop farmers</w:t>
      </w:r>
    </w:p>
    <w:p>
      <w:pPr>
        <w:numPr>
          <w:ilvl w:val="0"/>
          <w:numId w:val="1012"/>
        </w:numPr>
        <w:pStyle w:val="Compact"/>
      </w:pPr>
      <w:r>
        <w:t xml:space="preserve">Region (North East/North West vs Middle Belt vs South)</w:t>
      </w:r>
    </w:p>
    <w:p>
      <w:pPr>
        <w:numPr>
          <w:ilvl w:val="0"/>
          <w:numId w:val="1012"/>
        </w:numPr>
        <w:pStyle w:val="Compact"/>
      </w:pPr>
      <w:r>
        <w:t xml:space="preserve">Household wealth and institutional access (credit, extension, insurance)</w:t>
      </w:r>
    </w:p>
    <w:bookmarkEnd w:id="35"/>
    <w:bookmarkStart w:id="36" w:name="strength-of-evidence-summary"/>
    <w:p>
      <w:pPr>
        <w:pStyle w:val="Heading3"/>
      </w:pPr>
      <w:r>
        <w:t xml:space="preserve">Strength-of-evidence summary</w:t>
      </w:r>
    </w:p>
    <w:p>
      <w:pPr>
        <w:numPr>
          <w:ilvl w:val="0"/>
          <w:numId w:val="1013"/>
        </w:numPr>
        <w:pStyle w:val="Compact"/>
      </w:pPr>
      <w:r>
        <w:t xml:space="preserve">Add a compact confidence note per theme (high/medium/low) based on quality + consistency.</w:t>
      </w:r>
    </w:p>
    <w:bookmarkEnd w:id="36"/>
    <w:bookmarkStart w:id="37" w:name="optional-quantitative-synthesis"/>
    <w:p>
      <w:pPr>
        <w:pStyle w:val="Heading3"/>
      </w:pPr>
      <w:r>
        <w:t xml:space="preserve">Optional quantitative synthesis</w:t>
      </w:r>
    </w:p>
    <w:p>
      <w:pPr>
        <w:numPr>
          <w:ilvl w:val="0"/>
          <w:numId w:val="1014"/>
        </w:numPr>
        <w:pStyle w:val="Compact"/>
      </w:pPr>
      <w:r>
        <w:t xml:space="preserve">Only if a subset reports comparable elasticities/standardized outcomes; otherwise use effect-direction tables + narrative synthesis.</w:t>
      </w:r>
    </w:p>
    <w:bookmarkEnd w:id="37"/>
    <w:bookmarkEnd w:id="38"/>
    <w:bookmarkStart w:id="39" w:name="manuscript-structure-journal-article"/>
    <w:p>
      <w:pPr>
        <w:pStyle w:val="Heading2"/>
      </w:pPr>
      <w:r>
        <w:t xml:space="preserve">5) Manuscript structure (journal article)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Title</w:t>
      </w:r>
    </w:p>
    <w:p>
      <w:pPr>
        <w:numPr>
          <w:ilvl w:val="1"/>
          <w:numId w:val="1016"/>
        </w:numPr>
        <w:pStyle w:val="Compact"/>
      </w:pPr>
      <w:r>
        <w:t xml:space="preserve">The Impact of Climate Change on Food Security in Nigeria: A Review of Empirical and Theoretical Evidence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Abstract</w:t>
      </w:r>
      <w:r>
        <w:t xml:space="preserve"> </w:t>
      </w:r>
      <w:r>
        <w:t xml:space="preserve">(structured if the journal requires)</w:t>
      </w:r>
    </w:p>
    <w:p>
      <w:pPr>
        <w:numPr>
          <w:ilvl w:val="1"/>
          <w:numId w:val="1017"/>
        </w:numPr>
        <w:pStyle w:val="Compact"/>
      </w:pPr>
      <w:r>
        <w:t xml:space="preserve">Background; Methods; Results; Implications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Introduction</w:t>
      </w:r>
    </w:p>
    <w:p>
      <w:pPr>
        <w:numPr>
          <w:ilvl w:val="1"/>
          <w:numId w:val="1018"/>
        </w:numPr>
        <w:pStyle w:val="Compact"/>
      </w:pPr>
      <w:r>
        <w:t xml:space="preserve">Nigeria context + climate trends + why a review is needed</w:t>
      </w:r>
    </w:p>
    <w:p>
      <w:pPr>
        <w:numPr>
          <w:ilvl w:val="1"/>
          <w:numId w:val="1018"/>
        </w:numPr>
        <w:pStyle w:val="Compact"/>
      </w:pPr>
      <w:r>
        <w:t xml:space="preserve">Objectives and contributions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Conceptual framework</w:t>
      </w:r>
    </w:p>
    <w:p>
      <w:pPr>
        <w:numPr>
          <w:ilvl w:val="1"/>
          <w:numId w:val="1019"/>
        </w:numPr>
        <w:pStyle w:val="Compact"/>
      </w:pPr>
      <w:r>
        <w:t xml:space="preserve">Diagram: hazards → pathways → food-security pillars, moderated by vulnerability/adaptation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Methods</w:t>
      </w:r>
    </w:p>
    <w:p>
      <w:pPr>
        <w:numPr>
          <w:ilvl w:val="1"/>
          <w:numId w:val="1020"/>
        </w:numPr>
        <w:pStyle w:val="Compact"/>
      </w:pPr>
      <w:r>
        <w:t xml:space="preserve">Search strategy; databases; dates; inclusion/exclusion</w:t>
      </w:r>
    </w:p>
    <w:p>
      <w:pPr>
        <w:numPr>
          <w:ilvl w:val="1"/>
          <w:numId w:val="1020"/>
        </w:numPr>
        <w:pStyle w:val="Compact"/>
      </w:pPr>
      <w:r>
        <w:t xml:space="preserve">PRISMA screening</w:t>
      </w:r>
    </w:p>
    <w:p>
      <w:pPr>
        <w:numPr>
          <w:ilvl w:val="1"/>
          <w:numId w:val="1020"/>
        </w:numPr>
        <w:pStyle w:val="Compact"/>
      </w:pPr>
      <w:r>
        <w:t xml:space="preserve">Extraction + appraisal</w:t>
      </w:r>
    </w:p>
    <w:p>
      <w:pPr>
        <w:numPr>
          <w:ilvl w:val="1"/>
          <w:numId w:val="1020"/>
        </w:numPr>
        <w:pStyle w:val="Compact"/>
      </w:pPr>
      <w:r>
        <w:t xml:space="preserve">Synthesis approach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Results</w:t>
      </w:r>
    </w:p>
    <w:p>
      <w:pPr>
        <w:numPr>
          <w:ilvl w:val="1"/>
          <w:numId w:val="1021"/>
        </w:numPr>
        <w:pStyle w:val="Compact"/>
      </w:pPr>
      <w:r>
        <w:t xml:space="preserve">PRISMA flow summary</w:t>
      </w:r>
    </w:p>
    <w:p>
      <w:pPr>
        <w:numPr>
          <w:ilvl w:val="1"/>
          <w:numId w:val="1021"/>
        </w:numPr>
        <w:pStyle w:val="Compact"/>
      </w:pPr>
      <w:r>
        <w:t xml:space="preserve">Descriptive literature map</w:t>
      </w:r>
    </w:p>
    <w:p>
      <w:pPr>
        <w:numPr>
          <w:ilvl w:val="1"/>
          <w:numId w:val="1021"/>
        </w:numPr>
        <w:pStyle w:val="Compact"/>
      </w:pPr>
      <w:r>
        <w:t xml:space="preserve">Thematic findings by pathways/pillars</w:t>
      </w:r>
    </w:p>
    <w:p>
      <w:pPr>
        <w:numPr>
          <w:ilvl w:val="1"/>
          <w:numId w:val="1021"/>
        </w:numPr>
        <w:pStyle w:val="Compact"/>
      </w:pPr>
      <w:r>
        <w:t xml:space="preserve">Evidence on adaptation effectiveness and constraints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Discussion</w:t>
      </w:r>
    </w:p>
    <w:p>
      <w:pPr>
        <w:numPr>
          <w:ilvl w:val="1"/>
          <w:numId w:val="1022"/>
        </w:numPr>
        <w:pStyle w:val="Compact"/>
      </w:pPr>
      <w:r>
        <w:t xml:space="preserve">Interpret patterns; reconcile conflicting findings</w:t>
      </w:r>
    </w:p>
    <w:p>
      <w:pPr>
        <w:numPr>
          <w:ilvl w:val="1"/>
          <w:numId w:val="1022"/>
        </w:numPr>
        <w:pStyle w:val="Compact"/>
      </w:pPr>
      <w:r>
        <w:t xml:space="preserve">Policy implications (climate-smart agriculture, risk financing, early warning, infrastructure, social protection)</w:t>
      </w:r>
    </w:p>
    <w:p>
      <w:pPr>
        <w:numPr>
          <w:ilvl w:val="1"/>
          <w:numId w:val="1022"/>
        </w:numPr>
        <w:pStyle w:val="Compact"/>
      </w:pPr>
      <w:r>
        <w:t xml:space="preserve">Research gaps (data/methods; under-studied regions/outcomes)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Conclusion</w:t>
      </w:r>
    </w:p>
    <w:p>
      <w:pPr>
        <w:numPr>
          <w:ilvl w:val="1"/>
          <w:numId w:val="1023"/>
        </w:numPr>
        <w:pStyle w:val="Compact"/>
      </w:pPr>
      <w:r>
        <w:t xml:space="preserve">Key takeaways + actionable recommendations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References</w:t>
      </w:r>
      <w:r>
        <w:t xml:space="preserve"> </w:t>
      </w:r>
      <w:r>
        <w:t xml:space="preserve">(+ optional Supplementary material)</w:t>
      </w:r>
    </w:p>
    <w:p>
      <w:pPr>
        <w:numPr>
          <w:ilvl w:val="1"/>
          <w:numId w:val="1024"/>
        </w:numPr>
        <w:pStyle w:val="Compact"/>
      </w:pPr>
      <w:r>
        <w:t xml:space="preserve">Search strings, extraction sheet template, appraisal rubric</w:t>
      </w:r>
    </w:p>
    <w:bookmarkEnd w:id="39"/>
    <w:bookmarkStart w:id="40" w:name="planned-figures-and-tables"/>
    <w:p>
      <w:pPr>
        <w:pStyle w:val="Heading2"/>
      </w:pPr>
      <w:r>
        <w:t xml:space="preserve">6) Planned figures and tables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Figure 1</w:t>
      </w:r>
      <w:r>
        <w:t xml:space="preserve">: Conceptual framework (hazard → pathways → pillars; moderators)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Figure 2</w:t>
      </w:r>
      <w:r>
        <w:t xml:space="preserve">: PRISMA flow diagram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Table 1</w:t>
      </w:r>
      <w:r>
        <w:t xml:space="preserve">: Definitions and indicators mapped to FAO pillars (HFIAS/FIES/DDS/yield/price)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Table 2</w:t>
      </w:r>
      <w:r>
        <w:t xml:space="preserve">: Study characteristics (region, design, exposure, outcome, key results)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Table 3</w:t>
      </w:r>
      <w:r>
        <w:t xml:space="preserve">: Thematic synthesis summary (mechanism, evidence direction, confidence, policy note)</w:t>
      </w:r>
    </w:p>
    <w:bookmarkEnd w:id="40"/>
    <w:bookmarkStart w:id="41" w:name="writing-timeline-46-weeks"/>
    <w:p>
      <w:pPr>
        <w:pStyle w:val="Heading2"/>
      </w:pPr>
      <w:r>
        <w:t xml:space="preserve">7) Writing timeline (4–6 weeks)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Week 1</w:t>
      </w:r>
      <w:r>
        <w:t xml:space="preserve">: finalize scope + protocol; run searches; de-duplicate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Week 2</w:t>
      </w:r>
      <w:r>
        <w:t xml:space="preserve">: title/abstract screening; full-text retrieval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Week 3</w:t>
      </w:r>
      <w:r>
        <w:t xml:space="preserve">: full-text screening; data extraction; quality appraisal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Week 4</w:t>
      </w:r>
      <w:r>
        <w:t xml:space="preserve">: draft Results (tables + themes) + Methods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Week 5</w:t>
      </w:r>
      <w:r>
        <w:t xml:space="preserve">: draft Intro/Framework/Discussion; refine implications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Week 6</w:t>
      </w:r>
      <w:r>
        <w:t xml:space="preserve">: revise; format references; journal formatting; consistency check</w:t>
      </w:r>
    </w:p>
    <w:bookmarkEnd w:id="41"/>
    <w:bookmarkStart w:id="42" w:name="verification-checklist"/>
    <w:p>
      <w:pPr>
        <w:pStyle w:val="Heading2"/>
      </w:pPr>
      <w:r>
        <w:t xml:space="preserve">8) Verification checklist</w:t>
      </w:r>
    </w:p>
    <w:p>
      <w:pPr>
        <w:numPr>
          <w:ilvl w:val="0"/>
          <w:numId w:val="1027"/>
        </w:numPr>
        <w:pStyle w:val="Compact"/>
      </w:pPr>
      <w:r>
        <w:t xml:space="preserve">Coverage: each FAO pillar addressed by at least one evidence theme and at least one Nigeria-focused empirical source</w:t>
      </w:r>
    </w:p>
    <w:p>
      <w:pPr>
        <w:numPr>
          <w:ilvl w:val="0"/>
          <w:numId w:val="1027"/>
        </w:numPr>
        <w:pStyle w:val="Compact"/>
      </w:pPr>
      <w:r>
        <w:t xml:space="preserve">Methods: PRISMA flow numbers reconcile; exclusion reasons recorded</w:t>
      </w:r>
    </w:p>
    <w:p>
      <w:pPr>
        <w:numPr>
          <w:ilvl w:val="0"/>
          <w:numId w:val="1027"/>
        </w:numPr>
        <w:pStyle w:val="Compact"/>
      </w:pPr>
      <w:r>
        <w:t xml:space="preserve">Consistency: each major claim in Results maps to an extracted study entry; avoid causal language beyond evidence</w:t>
      </w:r>
    </w:p>
    <w:p>
      <w:pPr>
        <w:numPr>
          <w:ilvl w:val="0"/>
          <w:numId w:val="1027"/>
        </w:numPr>
        <w:pStyle w:val="Compact"/>
      </w:pPr>
      <w:r>
        <w:t xml:space="preserve">Journal readiness: abstract matches results; discussion distinguishes evidence vs recommendations; tables/references comply with target journal</w:t>
      </w:r>
    </w:p>
    <w:bookmarkEnd w:id="42"/>
    <w:bookmarkStart w:id="43" w:name="key-decisions-report-transparently"/>
    <w:p>
      <w:pPr>
        <w:pStyle w:val="Heading2"/>
      </w:pPr>
      <w:r>
        <w:t xml:space="preserve">9) Key decisions (report transparently)</w:t>
      </w:r>
    </w:p>
    <w:p>
      <w:pPr>
        <w:numPr>
          <w:ilvl w:val="0"/>
          <w:numId w:val="1028"/>
        </w:numPr>
        <w:pStyle w:val="Compact"/>
      </w:pPr>
      <w:r>
        <w:t xml:space="preserve">PRISMA-style systematic narrative review (not meta-analysis) due to heterogeneous outcomes/methods</w:t>
      </w:r>
    </w:p>
    <w:p>
      <w:pPr>
        <w:numPr>
          <w:ilvl w:val="0"/>
          <w:numId w:val="1028"/>
        </w:numPr>
        <w:pStyle w:val="Compact"/>
      </w:pPr>
      <w:r>
        <w:t xml:space="preserve">Grey literature used selectively when it adds unique Nigeria data or widely used framing</w:t>
      </w:r>
    </w:p>
    <w:p>
      <w:pPr>
        <w:numPr>
          <w:ilvl w:val="0"/>
          <w:numId w:val="1028"/>
        </w:numPr>
        <w:pStyle w:val="Compact"/>
      </w:pPr>
      <w:r>
        <w:t xml:space="preserve">Climate–conflict–food security links presented cautiously with uncertainty stated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2026-05-09T18:25:22Z</dcterms:created>
  <dcterms:modified xsi:type="dcterms:W3CDTF">2026-05-09T18:25:22Z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