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E0006E"/>
          <w:sz w:val="48"/>
        </w:rPr>
        <w:t>Mactus Contact + Compliance Products Content Version</w:t>
      </w:r>
    </w:p>
    <w:p>
      <w:pPr>
        <w:spacing w:after="120" w:line="300" w:lineRule="auto"/>
      </w:pPr>
      <w:r>
        <w:rPr>
          <w:rFonts w:ascii="Calibri" w:hAnsi="Calibri"/>
          <w:b/>
        </w:rPr>
        <w:t xml:space="preserve">Purpose: </w:t>
      </w:r>
      <w:r>
        <w:rPr>
          <w:rFonts w:ascii="Calibri" w:hAnsi="Calibri"/>
          <w:i w:val="0"/>
        </w:rPr>
        <w:t>Content snapshot for two pages in the Mactus web application.</w:t>
      </w:r>
    </w:p>
    <w:tbl>
      <w:tblPr>
        <w:tblStyle w:val="TableGrid"/>
        <w:tblW w:type="auto" w:w="0"/>
        <w:tblLayout w:type="fixed"/>
        <w:tblLook w:firstColumn="1" w:firstRow="1" w:lastColumn="0" w:lastRow="0" w:noHBand="0" w:noVBand="1" w:val="04A0"/>
      </w:tblPr>
      <w:tblGrid>
        <w:gridCol w:w="4680"/>
        <w:gridCol w:w="4680"/>
      </w:tblGrid>
      <w:tr>
        <w:tc>
          <w:tcPr>
            <w:tcW w:type="dxa" w:w="2376"/>
            <w:shd w:fill="F2F4F7"/>
          </w:tcPr>
          <w:p>
            <w:pPr>
              <w:spacing w:after="0" w:line="269" w:lineRule="auto"/>
            </w:pPr>
            <w:r/>
            <w:r>
              <w:rPr>
                <w:rFonts w:ascii="Calibri" w:hAnsi="Calibri"/>
                <w:b/>
                <w:sz w:val="18"/>
              </w:rPr>
              <w:t>Generated</w:t>
            </w:r>
          </w:p>
        </w:tc>
        <w:tc>
          <w:tcPr>
            <w:tcW w:type="dxa" w:w="6984"/>
          </w:tcPr>
          <w:p>
            <w:pPr>
              <w:spacing w:after="0" w:line="269" w:lineRule="auto"/>
            </w:pPr>
            <w:r/>
            <w:r>
              <w:rPr>
                <w:rFonts w:ascii="Calibri" w:hAnsi="Calibri"/>
                <w:b w:val="0"/>
                <w:sz w:val="18"/>
              </w:rPr>
              <w:t>2026-06-24</w:t>
            </w:r>
          </w:p>
        </w:tc>
      </w:tr>
      <w:tr>
        <w:tc>
          <w:tcPr>
            <w:tcW w:type="dxa" w:w="2376"/>
            <w:shd w:fill="F2F4F7"/>
          </w:tcPr>
          <w:p>
            <w:pPr>
              <w:spacing w:after="0" w:line="269" w:lineRule="auto"/>
            </w:pPr>
            <w:r/>
            <w:r>
              <w:rPr>
                <w:rFonts w:ascii="Calibri" w:hAnsi="Calibri"/>
                <w:b/>
                <w:sz w:val="18"/>
              </w:rPr>
              <w:t>Source files</w:t>
            </w:r>
          </w:p>
        </w:tc>
        <w:tc>
          <w:tcPr>
            <w:tcW w:type="dxa" w:w="6984"/>
          </w:tcPr>
          <w:p>
            <w:pPr>
              <w:spacing w:after="0" w:line="269" w:lineRule="auto"/>
            </w:pPr>
            <w:r/>
            <w:r>
              <w:rPr>
                <w:rFonts w:ascii="Calibri" w:hAnsi="Calibri"/>
                <w:b w:val="0"/>
                <w:sz w:val="18"/>
              </w:rPr>
              <w:t>src/pages/Contactus.jsx; src/pages/Complianceproductspage.jsx</w:t>
            </w:r>
          </w:p>
        </w:tc>
      </w:tr>
      <w:tr>
        <w:tc>
          <w:tcPr>
            <w:tcW w:type="dxa" w:w="2376"/>
            <w:shd w:fill="F2F4F7"/>
          </w:tcPr>
          <w:p>
            <w:pPr>
              <w:spacing w:after="0" w:line="269" w:lineRule="auto"/>
            </w:pPr>
            <w:r/>
            <w:r>
              <w:rPr>
                <w:rFonts w:ascii="Calibri" w:hAnsi="Calibri"/>
                <w:b/>
                <w:sz w:val="18"/>
              </w:rPr>
              <w:t>Branch</w:t>
            </w:r>
          </w:p>
        </w:tc>
        <w:tc>
          <w:tcPr>
            <w:tcW w:type="dxa" w:w="6984"/>
          </w:tcPr>
          <w:p>
            <w:pPr>
              <w:spacing w:after="0" w:line="269" w:lineRule="auto"/>
            </w:pPr>
            <w:r/>
            <w:r>
              <w:rPr>
                <w:rFonts w:ascii="Calibri" w:hAnsi="Calibri"/>
                <w:b w:val="0"/>
                <w:sz w:val="18"/>
              </w:rPr>
              <w:t>main</w:t>
            </w:r>
          </w:p>
        </w:tc>
      </w:tr>
      <w:tr>
        <w:tc>
          <w:tcPr>
            <w:tcW w:type="dxa" w:w="2376"/>
            <w:shd w:fill="F2F4F7"/>
          </w:tcPr>
          <w:p>
            <w:pPr>
              <w:spacing w:after="0" w:line="269" w:lineRule="auto"/>
            </w:pPr>
            <w:r/>
            <w:r>
              <w:rPr>
                <w:rFonts w:ascii="Calibri" w:hAnsi="Calibri"/>
                <w:b/>
                <w:sz w:val="18"/>
              </w:rPr>
              <w:t>Commit</w:t>
            </w:r>
          </w:p>
        </w:tc>
        <w:tc>
          <w:tcPr>
            <w:tcW w:type="dxa" w:w="6984"/>
          </w:tcPr>
          <w:p>
            <w:pPr>
              <w:spacing w:after="0" w:line="269" w:lineRule="auto"/>
            </w:pPr>
            <w:r/>
            <w:r>
              <w:rPr>
                <w:rFonts w:ascii="Calibri" w:hAnsi="Calibri"/>
                <w:b w:val="0"/>
                <w:sz w:val="18"/>
              </w:rPr>
              <w:t>e55a5c4</w:t>
            </w:r>
          </w:p>
        </w:tc>
      </w:tr>
      <w:tr>
        <w:tc>
          <w:tcPr>
            <w:tcW w:type="dxa" w:w="2376"/>
            <w:shd w:fill="F2F4F7"/>
          </w:tcPr>
          <w:p>
            <w:pPr>
              <w:spacing w:after="0" w:line="269" w:lineRule="auto"/>
            </w:pPr>
            <w:r/>
            <w:r>
              <w:rPr>
                <w:rFonts w:ascii="Calibri" w:hAnsi="Calibri"/>
                <w:b/>
                <w:sz w:val="18"/>
              </w:rPr>
              <w:t>Included pages</w:t>
            </w:r>
          </w:p>
        </w:tc>
        <w:tc>
          <w:tcPr>
            <w:tcW w:type="dxa" w:w="6984"/>
          </w:tcPr>
          <w:p>
            <w:pPr>
              <w:spacing w:after="0" w:line="269" w:lineRule="auto"/>
            </w:pPr>
            <w:r/>
            <w:r>
              <w:rPr>
                <w:rFonts w:ascii="Calibri" w:hAnsi="Calibri"/>
                <w:b w:val="0"/>
                <w:sz w:val="18"/>
              </w:rPr>
              <w:t>Contact Us, Compliance Products</w:t>
            </w:r>
          </w:p>
        </w:tc>
      </w:tr>
      <w:tr>
        <w:tc>
          <w:tcPr>
            <w:tcW w:type="dxa" w:w="2376"/>
            <w:shd w:fill="F2F4F7"/>
          </w:tcPr>
          <w:p>
            <w:pPr>
              <w:spacing w:after="0" w:line="269" w:lineRule="auto"/>
            </w:pPr>
            <w:r/>
            <w:r>
              <w:rPr>
                <w:rFonts w:ascii="Calibri" w:hAnsi="Calibri"/>
                <w:b/>
                <w:sz w:val="18"/>
              </w:rPr>
              <w:t>Shared layout</w:t>
            </w:r>
          </w:p>
        </w:tc>
        <w:tc>
          <w:tcPr>
            <w:tcW w:type="dxa" w:w="6984"/>
          </w:tcPr>
          <w:p>
            <w:pPr>
              <w:spacing w:after="0" w:line="269" w:lineRule="auto"/>
            </w:pPr>
            <w:r/>
            <w:r>
              <w:rPr>
                <w:rFonts w:ascii="Calibri" w:hAnsi="Calibri"/>
                <w:b w:val="0"/>
                <w:sz w:val="18"/>
              </w:rPr>
              <w:t>Navbar and Footer are shared components and are referenced by the pages; their component contents are not duplicated here.</w:t>
            </w:r>
          </w:p>
        </w:tc>
      </w:tr>
    </w:tbl>
    <w:p/>
    <w:p>
      <w:pPr>
        <w:sectPr>
          <w:footerReference w:type="default" r:id="rId9"/>
          <w:pgSz w:w="12240" w:h="15840"/>
          <w:pgMar w:top="1440" w:right="1440" w:bottom="1440" w:left="1440" w:header="708" w:footer="708" w:gutter="0"/>
          <w:cols w:space="720"/>
          <w:docGrid w:linePitch="360"/>
        </w:sectPr>
      </w:pPr>
    </w:p>
    <w:p>
      <w:pPr>
        <w:pStyle w:val="Heading1"/>
      </w:pPr>
      <w:r>
        <w:rPr>
          <w:rFonts w:ascii="Calibri" w:hAnsi="Calibri"/>
          <w:b/>
          <w:color w:val="2E74B5"/>
          <w:sz w:val="32"/>
        </w:rPr>
        <w:t>Contact Us</w:t>
      </w:r>
    </w:p>
    <w:tbl>
      <w:tblPr>
        <w:tblStyle w:val="TableGrid"/>
        <w:tblW w:type="auto" w:w="0"/>
        <w:tblLayout w:type="fixed"/>
        <w:tblLook w:firstColumn="1" w:firstRow="1" w:lastColumn="0" w:lastRow="0" w:noHBand="0" w:noVBand="1" w:val="04A0"/>
      </w:tblPr>
      <w:tblGrid>
        <w:gridCol w:w="4680"/>
        <w:gridCol w:w="4680"/>
      </w:tblGrid>
      <w:tr>
        <w:tc>
          <w:tcPr>
            <w:tcW w:type="dxa" w:w="2376"/>
            <w:shd w:fill="F2F4F7"/>
          </w:tcPr>
          <w:p>
            <w:pPr>
              <w:spacing w:after="0" w:line="269" w:lineRule="auto"/>
            </w:pPr>
            <w:r/>
            <w:r>
              <w:rPr>
                <w:rFonts w:ascii="Calibri" w:hAnsi="Calibri"/>
                <w:b/>
                <w:sz w:val="18"/>
              </w:rPr>
              <w:t>Source file</w:t>
            </w:r>
          </w:p>
        </w:tc>
        <w:tc>
          <w:tcPr>
            <w:tcW w:type="dxa" w:w="6984"/>
          </w:tcPr>
          <w:p>
            <w:pPr>
              <w:spacing w:after="0" w:line="269" w:lineRule="auto"/>
            </w:pPr>
            <w:r/>
            <w:r>
              <w:rPr>
                <w:rFonts w:ascii="Calibri" w:hAnsi="Calibri"/>
                <w:b w:val="0"/>
                <w:sz w:val="18"/>
              </w:rPr>
              <w:t>src/pages/Contactus.jsx</w:t>
            </w:r>
          </w:p>
        </w:tc>
      </w:tr>
      <w:tr>
        <w:tc>
          <w:tcPr>
            <w:tcW w:type="dxa" w:w="2376"/>
            <w:shd w:fill="F2F4F7"/>
          </w:tcPr>
          <w:p>
            <w:pPr>
              <w:spacing w:after="0" w:line="269" w:lineRule="auto"/>
            </w:pPr>
            <w:r/>
            <w:r>
              <w:rPr>
                <w:rFonts w:ascii="Calibri" w:hAnsi="Calibri"/>
                <w:b/>
                <w:sz w:val="18"/>
              </w:rPr>
              <w:t>Browser title</w:t>
            </w:r>
          </w:p>
        </w:tc>
        <w:tc>
          <w:tcPr>
            <w:tcW w:type="dxa" w:w="6984"/>
          </w:tcPr>
          <w:p>
            <w:pPr>
              <w:spacing w:after="0" w:line="269" w:lineRule="auto"/>
            </w:pPr>
            <w:r/>
            <w:r>
              <w:rPr>
                <w:rFonts w:ascii="Calibri" w:hAnsi="Calibri"/>
                <w:b w:val="0"/>
                <w:sz w:val="18"/>
              </w:rPr>
              <w:t>Not explicitly set in this component</w:t>
            </w:r>
          </w:p>
        </w:tc>
      </w:tr>
    </w:tbl>
    <w:p/>
    <w:p>
      <w:pPr>
        <w:pStyle w:val="Heading2"/>
      </w:pPr>
      <w:r>
        <w:rPr>
          <w:rFonts w:ascii="Calibri" w:hAnsi="Calibri"/>
          <w:b/>
          <w:color w:val="2E74B5"/>
          <w:sz w:val="26"/>
        </w:rPr>
        <w:t>Hero</w:t>
      </w:r>
    </w:p>
    <w:p>
      <w:pPr>
        <w:spacing w:after="120" w:line="300" w:lineRule="auto"/>
      </w:pPr>
      <w:r>
        <w:rPr>
          <w:rFonts w:ascii="Calibri" w:hAnsi="Calibri"/>
          <w:b/>
        </w:rPr>
        <w:t xml:space="preserve">Badge: </w:t>
      </w:r>
      <w:r>
        <w:rPr>
          <w:rFonts w:ascii="Calibri" w:hAnsi="Calibri"/>
          <w:i w:val="0"/>
        </w:rPr>
        <w:t>GET IN TOUCH</w:t>
      </w:r>
    </w:p>
    <w:p>
      <w:pPr>
        <w:spacing w:after="120" w:line="300" w:lineRule="auto"/>
      </w:pPr>
      <w:r>
        <w:rPr>
          <w:rFonts w:ascii="Calibri" w:hAnsi="Calibri"/>
          <w:b/>
        </w:rPr>
        <w:t xml:space="preserve">Headline: </w:t>
      </w:r>
      <w:r>
        <w:rPr>
          <w:rFonts w:ascii="Calibri" w:hAnsi="Calibri"/>
          <w:i w:val="0"/>
        </w:rPr>
        <w:t>Let's Talk.</w:t>
      </w:r>
    </w:p>
    <w:p>
      <w:pPr>
        <w:spacing w:after="120" w:line="300" w:lineRule="auto"/>
      </w:pPr>
      <w:r>
        <w:rPr>
          <w:rFonts w:ascii="Calibri" w:hAnsi="Calibri"/>
          <w:b/>
        </w:rPr>
        <w:t xml:space="preserve">Intro: </w:t>
      </w:r>
      <w:r>
        <w:rPr>
          <w:rFonts w:ascii="Calibri" w:hAnsi="Calibri"/>
          <w:i w:val="0"/>
        </w:rPr>
        <w:t>Whether you're evaluating a compliance product, planning a system integration project, or need technical support - the right person at Mactus is one message away.</w:t>
      </w:r>
    </w:p>
    <w:p>
      <w:pPr>
        <w:pStyle w:val="ListBullet"/>
        <w:spacing w:after="80" w:line="300" w:lineRule="auto"/>
      </w:pPr>
      <w:r>
        <w:rPr>
          <w:rFonts w:ascii="Calibri" w:hAnsi="Calibri"/>
        </w:rPr>
        <w:t>+91 80 4890 9888</w:t>
      </w:r>
    </w:p>
    <w:p>
      <w:pPr>
        <w:pStyle w:val="ListBullet"/>
        <w:spacing w:after="80" w:line="300" w:lineRule="auto"/>
      </w:pPr>
      <w:r>
        <w:rPr>
          <w:rFonts w:ascii="Calibri" w:hAnsi="Calibri"/>
        </w:rPr>
        <w:t>+91 9986781714</w:t>
      </w:r>
    </w:p>
    <w:p>
      <w:pPr>
        <w:pStyle w:val="ListBullet"/>
        <w:spacing w:after="80" w:line="300" w:lineRule="auto"/>
      </w:pPr>
      <w:r>
        <w:rPr>
          <w:rFonts w:ascii="Calibri" w:hAnsi="Calibri"/>
        </w:rPr>
        <w:t>contact@mactus.in</w:t>
      </w:r>
    </w:p>
    <w:p>
      <w:pPr>
        <w:pStyle w:val="Heading2"/>
      </w:pPr>
      <w:r>
        <w:rPr>
          <w:rFonts w:ascii="Calibri" w:hAnsi="Calibri"/>
          <w:b/>
          <w:color w:val="2E74B5"/>
          <w:sz w:val="26"/>
        </w:rPr>
        <w:t>JSON-LD LocalBusiness</w:t>
      </w:r>
    </w:p>
    <w:tbl>
      <w:tblPr>
        <w:tblStyle w:val="TableGrid"/>
        <w:tblW w:type="auto" w:w="0"/>
        <w:tblLayout w:type="fixed"/>
        <w:tblLook w:firstColumn="1" w:firstRow="1" w:lastColumn="0" w:lastRow="0" w:noHBand="0" w:noVBand="1" w:val="04A0"/>
      </w:tblPr>
      <w:tblGrid>
        <w:gridCol w:w="4680"/>
        <w:gridCol w:w="4680"/>
      </w:tblGrid>
      <w:tr>
        <w:tc>
          <w:tcPr>
            <w:tcW w:type="dxa" w:w="2376"/>
            <w:shd w:fill="F2F4F7"/>
          </w:tcPr>
          <w:p>
            <w:pPr>
              <w:spacing w:after="0" w:line="269" w:lineRule="auto"/>
            </w:pPr>
            <w:r/>
            <w:r>
              <w:rPr>
                <w:rFonts w:ascii="Calibri" w:hAnsi="Calibri"/>
                <w:b/>
                <w:sz w:val="18"/>
              </w:rPr>
              <w:t>Name</w:t>
            </w:r>
          </w:p>
        </w:tc>
        <w:tc>
          <w:tcPr>
            <w:tcW w:type="dxa" w:w="6984"/>
          </w:tcPr>
          <w:p>
            <w:pPr>
              <w:spacing w:after="0" w:line="269" w:lineRule="auto"/>
            </w:pPr>
            <w:r/>
            <w:r>
              <w:rPr>
                <w:rFonts w:ascii="Calibri" w:hAnsi="Calibri"/>
                <w:b w:val="0"/>
                <w:sz w:val="18"/>
              </w:rPr>
              <w:t>Mactus Automation Pvt. Ltd.</w:t>
            </w:r>
          </w:p>
        </w:tc>
      </w:tr>
      <w:tr>
        <w:tc>
          <w:tcPr>
            <w:tcW w:type="dxa" w:w="2376"/>
            <w:shd w:fill="F2F4F7"/>
          </w:tcPr>
          <w:p>
            <w:pPr>
              <w:spacing w:after="0" w:line="269" w:lineRule="auto"/>
            </w:pPr>
            <w:r/>
            <w:r>
              <w:rPr>
                <w:rFonts w:ascii="Calibri" w:hAnsi="Calibri"/>
                <w:b/>
                <w:sz w:val="18"/>
              </w:rPr>
              <w:t>Telephone</w:t>
            </w:r>
          </w:p>
        </w:tc>
        <w:tc>
          <w:tcPr>
            <w:tcW w:type="dxa" w:w="6984"/>
          </w:tcPr>
          <w:p>
            <w:pPr>
              <w:spacing w:after="0" w:line="269" w:lineRule="auto"/>
            </w:pPr>
            <w:r/>
            <w:r>
              <w:rPr>
                <w:rFonts w:ascii="Calibri" w:hAnsi="Calibri"/>
                <w:b w:val="0"/>
                <w:sz w:val="18"/>
              </w:rPr>
              <w:t>+918048909888</w:t>
            </w:r>
          </w:p>
        </w:tc>
      </w:tr>
      <w:tr>
        <w:tc>
          <w:tcPr>
            <w:tcW w:type="dxa" w:w="2376"/>
            <w:shd w:fill="F2F4F7"/>
          </w:tcPr>
          <w:p>
            <w:pPr>
              <w:spacing w:after="0" w:line="269" w:lineRule="auto"/>
            </w:pPr>
            <w:r/>
            <w:r>
              <w:rPr>
                <w:rFonts w:ascii="Calibri" w:hAnsi="Calibri"/>
                <w:b/>
                <w:sz w:val="18"/>
              </w:rPr>
              <w:t>Email</w:t>
            </w:r>
          </w:p>
        </w:tc>
        <w:tc>
          <w:tcPr>
            <w:tcW w:type="dxa" w:w="6984"/>
          </w:tcPr>
          <w:p>
            <w:pPr>
              <w:spacing w:after="0" w:line="269" w:lineRule="auto"/>
            </w:pPr>
            <w:r/>
            <w:r>
              <w:rPr>
                <w:rFonts w:ascii="Calibri" w:hAnsi="Calibri"/>
                <w:b w:val="0"/>
                <w:sz w:val="18"/>
              </w:rPr>
              <w:t>contact@mactus.in</w:t>
            </w:r>
          </w:p>
        </w:tc>
      </w:tr>
      <w:tr>
        <w:tc>
          <w:tcPr>
            <w:tcW w:type="dxa" w:w="2376"/>
            <w:shd w:fill="F2F4F7"/>
          </w:tcPr>
          <w:p>
            <w:pPr>
              <w:spacing w:after="0" w:line="269" w:lineRule="auto"/>
            </w:pPr>
            <w:r/>
            <w:r>
              <w:rPr>
                <w:rFonts w:ascii="Calibri" w:hAnsi="Calibri"/>
                <w:b/>
                <w:sz w:val="18"/>
              </w:rPr>
              <w:t>URL</w:t>
            </w:r>
          </w:p>
        </w:tc>
        <w:tc>
          <w:tcPr>
            <w:tcW w:type="dxa" w:w="6984"/>
          </w:tcPr>
          <w:p>
            <w:pPr>
              <w:spacing w:after="0" w:line="269" w:lineRule="auto"/>
            </w:pPr>
            <w:r/>
            <w:r>
              <w:rPr>
                <w:rFonts w:ascii="Calibri" w:hAnsi="Calibri"/>
                <w:b w:val="0"/>
                <w:sz w:val="18"/>
              </w:rPr>
              <w:t>https://www.mactus.in</w:t>
            </w:r>
          </w:p>
        </w:tc>
      </w:tr>
      <w:tr>
        <w:tc>
          <w:tcPr>
            <w:tcW w:type="dxa" w:w="2376"/>
            <w:shd w:fill="F2F4F7"/>
          </w:tcPr>
          <w:p>
            <w:pPr>
              <w:spacing w:after="0" w:line="269" w:lineRule="auto"/>
            </w:pPr>
            <w:r/>
            <w:r>
              <w:rPr>
                <w:rFonts w:ascii="Calibri" w:hAnsi="Calibri"/>
                <w:b/>
                <w:sz w:val="18"/>
              </w:rPr>
              <w:t>Address</w:t>
            </w:r>
          </w:p>
        </w:tc>
        <w:tc>
          <w:tcPr>
            <w:tcW w:type="dxa" w:w="6984"/>
          </w:tcPr>
          <w:p>
            <w:pPr>
              <w:spacing w:after="0" w:line="269" w:lineRule="auto"/>
            </w:pPr>
            <w:r/>
            <w:r>
              <w:rPr>
                <w:rFonts w:ascii="Calibri" w:hAnsi="Calibri"/>
                <w:b w:val="0"/>
                <w:sz w:val="18"/>
              </w:rPr>
              <w:t>#75, 1st Main, 2nd Stage, Arekere-Mico Layout, Bannerghatta Road, Bangalore, Karnataka 560076, IN</w:t>
            </w:r>
          </w:p>
        </w:tc>
      </w:tr>
    </w:tbl>
    <w:p/>
    <w:p>
      <w:pPr>
        <w:pStyle w:val="Heading2"/>
      </w:pPr>
      <w:r>
        <w:rPr>
          <w:rFonts w:ascii="Calibri" w:hAnsi="Calibri"/>
          <w:b/>
          <w:color w:val="2E74B5"/>
          <w:sz w:val="26"/>
        </w:rPr>
        <w:t>Send Us a Message</w:t>
      </w:r>
    </w:p>
    <w:p>
      <w:pPr>
        <w:spacing w:after="120" w:line="300" w:lineRule="auto"/>
      </w:pPr>
      <w:r>
        <w:rPr>
          <w:rFonts w:ascii="Calibri" w:hAnsi="Calibri"/>
          <w:b/>
        </w:rPr>
        <w:t xml:space="preserve">Form: </w:t>
      </w:r>
      <w:r>
        <w:rPr>
          <w:rFonts w:ascii="Calibri" w:hAnsi="Calibri"/>
          <w:i w:val="0"/>
        </w:rPr>
        <w:t>Sales &amp; Demo Request</w:t>
      </w:r>
    </w:p>
    <w:p>
      <w:pPr>
        <w:spacing w:after="120" w:line="300" w:lineRule="auto"/>
      </w:pPr>
      <w:r>
        <w:rPr>
          <w:rFonts w:ascii="Calibri" w:hAnsi="Calibri"/>
          <w:b/>
        </w:rPr>
        <w:t xml:space="preserve">Label: </w:t>
      </w:r>
      <w:r>
        <w:rPr>
          <w:rFonts w:ascii="Calibri" w:hAnsi="Calibri"/>
          <w:i w:val="0"/>
        </w:rPr>
        <w:t>Primary enquiry</w:t>
      </w:r>
    </w:p>
    <w:p>
      <w:pPr>
        <w:spacing w:after="120" w:line="300" w:lineRule="auto"/>
      </w:pPr>
      <w:r>
        <w:rPr>
          <w:rFonts w:ascii="Calibri" w:hAnsi="Calibri"/>
          <w:i w:val="0"/>
        </w:rPr>
        <w:t>Interested in our solutions? Submit your enquiry and a Mactus representative will connect with you to discuss your needs in detail.</w:t>
      </w:r>
    </w:p>
    <w:p>
      <w:pPr>
        <w:spacing w:after="120" w:line="300" w:lineRule="auto"/>
      </w:pPr>
      <w:r>
        <w:rPr>
          <w:rFonts w:ascii="Calibri" w:hAnsi="Calibri"/>
          <w:b/>
        </w:rPr>
        <w:t xml:space="preserve">Controls: </w:t>
      </w:r>
      <w:r>
        <w:rPr>
          <w:rFonts w:ascii="Calibri" w:hAnsi="Calibri"/>
          <w:i w:val="0"/>
        </w:rPr>
        <w:t>Open Sales Form / Close Form</w:t>
      </w:r>
    </w:p>
    <w:p>
      <w:pPr>
        <w:spacing w:after="120" w:line="300" w:lineRule="auto"/>
      </w:pPr>
      <w:r>
        <w:rPr>
          <w:rFonts w:ascii="Calibri" w:hAnsi="Calibri"/>
          <w:b/>
        </w:rPr>
        <w:t xml:space="preserve">Zoho sales form: </w:t>
      </w:r>
      <w:r>
        <w:rPr>
          <w:rFonts w:ascii="Calibri" w:hAnsi="Calibri"/>
          <w:color w:val="2E74B5"/>
        </w:rPr>
        <w:t>https://forms.zohopublic.in/mactus1/form/ContactUs1/formperma/RudU9kD9cf9xHJ0kV-09fcEho3hfYURS8kYyYU9IWIs</w:t>
      </w:r>
    </w:p>
    <w:p>
      <w:pPr>
        <w:spacing w:after="120" w:line="300" w:lineRule="auto"/>
      </w:pPr>
      <w:r>
        <w:rPr>
          <w:rFonts w:ascii="Calibri" w:hAnsi="Calibri"/>
          <w:b/>
        </w:rPr>
        <w:t xml:space="preserve">Form: </w:t>
      </w:r>
      <w:r>
        <w:rPr>
          <w:rFonts w:ascii="Calibri" w:hAnsi="Calibri"/>
          <w:i w:val="0"/>
        </w:rPr>
        <w:t>Technical Support</w:t>
      </w:r>
    </w:p>
    <w:p>
      <w:pPr>
        <w:spacing w:after="120" w:line="300" w:lineRule="auto"/>
      </w:pPr>
      <w:r>
        <w:rPr>
          <w:rFonts w:ascii="Calibri" w:hAnsi="Calibri"/>
          <w:b/>
        </w:rPr>
        <w:t xml:space="preserve">Label: </w:t>
      </w:r>
      <w:r>
        <w:rPr>
          <w:rFonts w:ascii="Calibri" w:hAnsi="Calibri"/>
          <w:i w:val="0"/>
        </w:rPr>
        <w:t>Existing customers</w:t>
      </w:r>
    </w:p>
    <w:p>
      <w:pPr>
        <w:spacing w:after="120" w:line="300" w:lineRule="auto"/>
      </w:pPr>
      <w:r>
        <w:rPr>
          <w:rFonts w:ascii="Calibri" w:hAnsi="Calibri"/>
          <w:i w:val="0"/>
        </w:rPr>
        <w:t>Need technical or service support? Complete the form and our experts will reach out to assist you.</w:t>
      </w:r>
    </w:p>
    <w:p>
      <w:pPr>
        <w:spacing w:after="120" w:line="300" w:lineRule="auto"/>
      </w:pPr>
      <w:r>
        <w:rPr>
          <w:rFonts w:ascii="Calibri" w:hAnsi="Calibri"/>
          <w:b/>
        </w:rPr>
        <w:t xml:space="preserve">Controls: </w:t>
      </w:r>
      <w:r>
        <w:rPr>
          <w:rFonts w:ascii="Calibri" w:hAnsi="Calibri"/>
          <w:i w:val="0"/>
        </w:rPr>
        <w:t>Open Support Form / Close Form</w:t>
      </w:r>
    </w:p>
    <w:p>
      <w:pPr>
        <w:spacing w:after="120" w:line="300" w:lineRule="auto"/>
      </w:pPr>
      <w:r>
        <w:rPr>
          <w:rFonts w:ascii="Calibri" w:hAnsi="Calibri"/>
          <w:b/>
        </w:rPr>
        <w:t xml:space="preserve">Zoho support form: </w:t>
      </w:r>
      <w:r>
        <w:rPr>
          <w:rFonts w:ascii="Calibri" w:hAnsi="Calibri"/>
          <w:color w:val="2E74B5"/>
        </w:rPr>
        <w:t>https://forms.zohopublic.in/mactus1/form/TechnicalSupportRequest/formperma/M_QXRl9J2AB5-TNp92O0wRqr93xVXTVzBO7mO3mhfd8</w:t>
      </w:r>
    </w:p>
    <w:p>
      <w:pPr>
        <w:pStyle w:val="Heading2"/>
      </w:pPr>
      <w:r>
        <w:rPr>
          <w:rFonts w:ascii="Calibri" w:hAnsi="Calibri"/>
          <w:b/>
          <w:color w:val="2E74B5"/>
          <w:sz w:val="26"/>
        </w:rPr>
        <w:t>Find Our Office</w:t>
      </w:r>
    </w:p>
    <w:p>
      <w:pPr>
        <w:spacing w:after="120" w:line="300" w:lineRule="auto"/>
      </w:pPr>
      <w:r>
        <w:rPr>
          <w:rFonts w:ascii="Calibri" w:hAnsi="Calibri"/>
          <w:b/>
        </w:rPr>
        <w:t xml:space="preserve">Label: </w:t>
      </w:r>
      <w:r>
        <w:rPr>
          <w:rFonts w:ascii="Calibri" w:hAnsi="Calibri"/>
          <w:i w:val="0"/>
        </w:rPr>
        <w:t>Registered Office</w:t>
      </w:r>
    </w:p>
    <w:p>
      <w:pPr>
        <w:spacing w:after="120" w:line="300" w:lineRule="auto"/>
      </w:pPr>
      <w:r>
        <w:rPr>
          <w:rFonts w:ascii="Calibri" w:hAnsi="Calibri"/>
          <w:b/>
        </w:rPr>
        <w:t xml:space="preserve">Organization: </w:t>
      </w:r>
      <w:r>
        <w:rPr>
          <w:rFonts w:ascii="Calibri" w:hAnsi="Calibri"/>
          <w:i w:val="0"/>
        </w:rPr>
        <w:t>Mactus Automation Pvt. Ltd.</w:t>
      </w:r>
    </w:p>
    <w:p>
      <w:pPr>
        <w:spacing w:after="120" w:line="300" w:lineRule="auto"/>
      </w:pPr>
      <w:r>
        <w:rPr>
          <w:rFonts w:ascii="Calibri" w:hAnsi="Calibri"/>
          <w:b/>
        </w:rPr>
        <w:t xml:space="preserve">Address: </w:t>
      </w:r>
      <w:r>
        <w:rPr>
          <w:rFonts w:ascii="Calibri" w:hAnsi="Calibri"/>
          <w:i w:val="0"/>
        </w:rPr>
        <w:t>#75, 1st Main, 2nd Stage, Arekere-Mico Layout, Bannerghatta Road, Bangalore - 560076, Karnataka, India</w:t>
      </w:r>
    </w:p>
    <w:p>
      <w:pPr>
        <w:pStyle w:val="ListBullet"/>
        <w:spacing w:after="80" w:line="300" w:lineRule="auto"/>
      </w:pPr>
      <w:r>
        <w:rPr>
          <w:rFonts w:ascii="Calibri" w:hAnsi="Calibri"/>
        </w:rPr>
        <w:t>Phone: +91 80 4890 9888</w:t>
      </w:r>
    </w:p>
    <w:p>
      <w:pPr>
        <w:pStyle w:val="ListBullet"/>
        <w:spacing w:after="80" w:line="300" w:lineRule="auto"/>
      </w:pPr>
      <w:r>
        <w:rPr>
          <w:rFonts w:ascii="Calibri" w:hAnsi="Calibri"/>
        </w:rPr>
        <w:t>Mobile: +91 9986781714</w:t>
      </w:r>
    </w:p>
    <w:p>
      <w:pPr>
        <w:pStyle w:val="ListBullet"/>
        <w:spacing w:after="80" w:line="300" w:lineRule="auto"/>
      </w:pPr>
      <w:r>
        <w:rPr>
          <w:rFonts w:ascii="Calibri" w:hAnsi="Calibri"/>
        </w:rPr>
        <w:t>Email: contact@mactus.in</w:t>
      </w:r>
    </w:p>
    <w:p>
      <w:pPr>
        <w:pStyle w:val="ListBullet"/>
        <w:spacing w:after="80" w:line="300" w:lineRule="auto"/>
      </w:pPr>
      <w:r>
        <w:rPr>
          <w:rFonts w:ascii="Calibri" w:hAnsi="Calibri"/>
        </w:rPr>
        <w:t>Website: www.mactus.in</w:t>
      </w:r>
    </w:p>
    <w:p>
      <w:pPr>
        <w:spacing w:after="120" w:line="300" w:lineRule="auto"/>
      </w:pPr>
      <w:r>
        <w:rPr>
          <w:rFonts w:ascii="Calibri" w:hAnsi="Calibri"/>
          <w:b/>
        </w:rPr>
        <w:t xml:space="preserve">LinkedIn: </w:t>
      </w:r>
      <w:r>
        <w:rPr>
          <w:rFonts w:ascii="Calibri" w:hAnsi="Calibri"/>
          <w:color w:val="2E74B5"/>
        </w:rPr>
        <w:t>https://www.linkedin.com/company/33209730</w:t>
      </w:r>
    </w:p>
    <w:p>
      <w:pPr>
        <w:spacing w:after="120" w:line="300" w:lineRule="auto"/>
      </w:pPr>
      <w:r>
        <w:rPr>
          <w:rFonts w:ascii="Calibri" w:hAnsi="Calibri"/>
          <w:b/>
        </w:rPr>
        <w:t xml:space="preserve">YouTube: </w:t>
      </w:r>
      <w:r>
        <w:rPr>
          <w:rFonts w:ascii="Calibri" w:hAnsi="Calibri"/>
          <w:color w:val="2E74B5"/>
        </w:rPr>
        <w:t>https://www.youtube.com/@mactusautomation2548</w:t>
      </w:r>
    </w:p>
    <w:p>
      <w:pPr>
        <w:spacing w:after="120" w:line="300" w:lineRule="auto"/>
      </w:pPr>
      <w:r>
        <w:rPr>
          <w:rFonts w:ascii="Calibri" w:hAnsi="Calibri"/>
          <w:b/>
        </w:rPr>
        <w:t xml:space="preserve">Directions: </w:t>
      </w:r>
      <w:r>
        <w:rPr>
          <w:rFonts w:ascii="Calibri" w:hAnsi="Calibri"/>
          <w:color w:val="2E74B5"/>
        </w:rPr>
        <w:t>https://maps.google.com/maps?q=Mactus+Automation+Pvt+Ltd,+75,+I+Main+Rd,+Arekere+MICO+Layout+2nd+stage,+Bengaluru,+Karnataka+560076</w:t>
      </w:r>
    </w:p>
    <w:p>
      <w:pPr>
        <w:spacing w:after="120" w:line="300" w:lineRule="auto"/>
      </w:pPr>
      <w:r>
        <w:rPr>
          <w:rFonts w:ascii="Calibri" w:hAnsi="Calibri"/>
          <w:b/>
        </w:rPr>
        <w:t xml:space="preserve">Embedded map: </w:t>
      </w:r>
      <w:r>
        <w:rPr>
          <w:rFonts w:ascii="Calibri" w:hAnsi="Calibri"/>
          <w:color w:val="2E74B5"/>
        </w:rPr>
        <w:t>https://maps.google.com/maps?q=Mactus%20Automation%20Pvt%20Ltd%2C%2075%2C%20I%20Main%20Rd%2C%20Arekere%20MICO%20Layout%202nd%20stage%2C%202nd%20Stage%2C%20Arekere%2C%20Bengaluru%2C%20Karnataka%20560076&amp;t=m&amp;z=19&amp;output=embed&amp;iwloc=near</w:t>
      </w:r>
    </w:p>
    <w:p>
      <w:pPr>
        <w:pStyle w:val="Heading2"/>
      </w:pPr>
      <w:r>
        <w:rPr>
          <w:rFonts w:ascii="Calibri" w:hAnsi="Calibri"/>
          <w:b/>
          <w:color w:val="2E74B5"/>
          <w:sz w:val="26"/>
        </w:rPr>
        <w:t>Quick Contact Strip</w:t>
      </w:r>
    </w:p>
    <w:p>
      <w:pPr>
        <w:spacing w:after="120" w:line="300" w:lineRule="auto"/>
      </w:pPr>
      <w:r>
        <w:rPr>
          <w:rFonts w:ascii="Calibri" w:hAnsi="Calibri"/>
          <w:i w:val="0"/>
        </w:rPr>
        <w:t>Prefer to call? Reach our sales team directly.</w:t>
      </w:r>
    </w:p>
    <w:p>
      <w:pPr>
        <w:spacing w:after="120" w:line="300" w:lineRule="auto"/>
      </w:pPr>
      <w:r>
        <w:rPr>
          <w:rFonts w:ascii="Calibri" w:hAnsi="Calibri"/>
          <w:i w:val="0"/>
        </w:rPr>
        <w:t>For hiring enquiries: careers@mactus.in</w:t>
      </w:r>
    </w:p>
    <w:p>
      <w:pPr>
        <w:pStyle w:val="ListBullet"/>
        <w:spacing w:after="80" w:line="300" w:lineRule="auto"/>
      </w:pPr>
      <w:r>
        <w:rPr>
          <w:rFonts w:ascii="Calibri" w:hAnsi="Calibri"/>
        </w:rPr>
        <w:t>+91 80 4890 9888</w:t>
      </w:r>
    </w:p>
    <w:p>
      <w:pPr>
        <w:pStyle w:val="ListBullet"/>
        <w:spacing w:after="80" w:line="300" w:lineRule="auto"/>
      </w:pPr>
      <w:r>
        <w:rPr>
          <w:rFonts w:ascii="Calibri" w:hAnsi="Calibri"/>
        </w:rPr>
        <w:t>+91 9986781714</w:t>
      </w:r>
    </w:p>
    <w:p>
      <w:pPr>
        <w:sectPr>
          <w:pgSz w:w="12240" w:h="15840"/>
          <w:pgMar w:top="1440" w:right="1440" w:bottom="1440" w:left="1440" w:header="708" w:footer="708" w:gutter="0"/>
          <w:cols w:space="720"/>
          <w:docGrid w:linePitch="360"/>
        </w:sectPr>
      </w:pPr>
    </w:p>
    <w:p>
      <w:pPr>
        <w:pStyle w:val="Heading1"/>
      </w:pPr>
      <w:r>
        <w:rPr>
          <w:rFonts w:ascii="Calibri" w:hAnsi="Calibri"/>
          <w:b/>
          <w:color w:val="2E74B5"/>
          <w:sz w:val="32"/>
        </w:rPr>
        <w:t>Compliance Products</w:t>
      </w:r>
    </w:p>
    <w:tbl>
      <w:tblPr>
        <w:tblStyle w:val="TableGrid"/>
        <w:tblW w:type="auto" w:w="0"/>
        <w:tblLayout w:type="fixed"/>
        <w:tblLook w:firstColumn="1" w:firstRow="1" w:lastColumn="0" w:lastRow="0" w:noHBand="0" w:noVBand="1" w:val="04A0"/>
      </w:tblPr>
      <w:tblGrid>
        <w:gridCol w:w="4680"/>
        <w:gridCol w:w="4680"/>
      </w:tblGrid>
      <w:tr>
        <w:tc>
          <w:tcPr>
            <w:tcW w:type="dxa" w:w="2376"/>
            <w:shd w:fill="F2F4F7"/>
          </w:tcPr>
          <w:p>
            <w:pPr>
              <w:spacing w:after="0" w:line="269" w:lineRule="auto"/>
            </w:pPr>
            <w:r/>
            <w:r>
              <w:rPr>
                <w:rFonts w:ascii="Calibri" w:hAnsi="Calibri"/>
                <w:b/>
                <w:sz w:val="18"/>
              </w:rPr>
              <w:t>Source file</w:t>
            </w:r>
          </w:p>
        </w:tc>
        <w:tc>
          <w:tcPr>
            <w:tcW w:type="dxa" w:w="6984"/>
          </w:tcPr>
          <w:p>
            <w:pPr>
              <w:spacing w:after="0" w:line="269" w:lineRule="auto"/>
            </w:pPr>
            <w:r/>
            <w:r>
              <w:rPr>
                <w:rFonts w:ascii="Calibri" w:hAnsi="Calibri"/>
                <w:b w:val="0"/>
                <w:sz w:val="18"/>
              </w:rPr>
              <w:t>src/pages/Complianceproductspage.jsx</w:t>
            </w:r>
          </w:p>
        </w:tc>
      </w:tr>
      <w:tr>
        <w:tc>
          <w:tcPr>
            <w:tcW w:type="dxa" w:w="2376"/>
            <w:shd w:fill="F2F4F7"/>
          </w:tcPr>
          <w:p>
            <w:pPr>
              <w:spacing w:after="0" w:line="269" w:lineRule="auto"/>
            </w:pPr>
            <w:r/>
            <w:r>
              <w:rPr>
                <w:rFonts w:ascii="Calibri" w:hAnsi="Calibri"/>
                <w:b/>
                <w:sz w:val="18"/>
              </w:rPr>
              <w:t>Browser title</w:t>
            </w:r>
          </w:p>
        </w:tc>
        <w:tc>
          <w:tcPr>
            <w:tcW w:type="dxa" w:w="6984"/>
          </w:tcPr>
          <w:p>
            <w:pPr>
              <w:spacing w:after="0" w:line="269" w:lineRule="auto"/>
            </w:pPr>
            <w:r/>
            <w:r>
              <w:rPr>
                <w:rFonts w:ascii="Calibri" w:hAnsi="Calibri"/>
                <w:b w:val="0"/>
                <w:sz w:val="18"/>
              </w:rPr>
              <w:t>Pharma Compliance Products | 21 CFR Part 11 GMP Systems | Mactus Automation</w:t>
            </w:r>
          </w:p>
        </w:tc>
      </w:tr>
    </w:tbl>
    <w:p/>
    <w:p>
      <w:pPr>
        <w:pStyle w:val="Heading2"/>
      </w:pPr>
      <w:r>
        <w:rPr>
          <w:rFonts w:ascii="Calibri" w:hAnsi="Calibri"/>
          <w:b/>
          <w:color w:val="2E74B5"/>
          <w:sz w:val="26"/>
        </w:rPr>
        <w:t>SEO Metadata</w:t>
      </w:r>
    </w:p>
    <w:p>
      <w:pPr>
        <w:spacing w:after="120" w:line="300" w:lineRule="auto"/>
      </w:pPr>
      <w:r>
        <w:rPr>
          <w:rFonts w:ascii="Calibri" w:hAnsi="Calibri"/>
          <w:b/>
        </w:rPr>
        <w:t xml:space="preserve">Document title: </w:t>
      </w:r>
      <w:r>
        <w:rPr>
          <w:rFonts w:ascii="Calibri" w:hAnsi="Calibri"/>
          <w:i w:val="0"/>
        </w:rPr>
        <w:t>Pharma Compliance Products | 21 CFR Part 11 GMP Systems | Mactus Automation</w:t>
      </w:r>
    </w:p>
    <w:p>
      <w:pPr>
        <w:spacing w:after="120" w:line="300" w:lineRule="auto"/>
      </w:pPr>
      <w:r>
        <w:rPr>
          <w:rFonts w:ascii="Calibri" w:hAnsi="Calibri"/>
          <w:b/>
        </w:rPr>
        <w:t xml:space="preserve">Meta description: </w:t>
      </w:r>
      <w:r>
        <w:rPr>
          <w:rFonts w:ascii="Calibri" w:hAnsi="Calibri"/>
          <w:i w:val="0"/>
        </w:rPr>
        <w:t>Five purpose-built compliance products for pharmaceutical manufacturing - SACS, IRS(TM), ASDS, MPATS, IVBLT. 21 CFR Part 11 compliant, GAMP 5 validated, audit-ready from day one.</w:t>
      </w:r>
    </w:p>
    <w:p>
      <w:pPr>
        <w:pStyle w:val="Heading2"/>
      </w:pPr>
      <w:r>
        <w:rPr>
          <w:rFonts w:ascii="Calibri" w:hAnsi="Calibri"/>
          <w:b/>
          <w:color w:val="2E74B5"/>
          <w:sz w:val="26"/>
        </w:rPr>
        <w:t>Hero</w:t>
      </w:r>
    </w:p>
    <w:p>
      <w:pPr>
        <w:spacing w:after="120" w:line="300" w:lineRule="auto"/>
      </w:pPr>
      <w:r>
        <w:rPr>
          <w:rFonts w:ascii="Calibri" w:hAnsi="Calibri"/>
          <w:b/>
        </w:rPr>
        <w:t xml:space="preserve">Badge: </w:t>
      </w:r>
      <w:r>
        <w:rPr>
          <w:rFonts w:ascii="Calibri" w:hAnsi="Calibri"/>
          <w:i w:val="0"/>
        </w:rPr>
        <w:t>21 CFR PART 11 - GAMP 5 VALIDATED - AUDIT-READY</w:t>
      </w:r>
    </w:p>
    <w:p>
      <w:pPr>
        <w:spacing w:after="120" w:line="300" w:lineRule="auto"/>
      </w:pPr>
      <w:r>
        <w:rPr>
          <w:rFonts w:ascii="Calibri" w:hAnsi="Calibri"/>
          <w:b/>
        </w:rPr>
        <w:t xml:space="preserve">Headline: </w:t>
      </w:r>
      <w:r>
        <w:rPr>
          <w:rFonts w:ascii="Calibri" w:hAnsi="Calibri"/>
          <w:i w:val="0"/>
        </w:rPr>
        <w:t>Secure, Digital, and Audit-Ready Solutions for Regulatory Excellence</w:t>
      </w:r>
    </w:p>
    <w:p>
      <w:pPr>
        <w:spacing w:after="120" w:line="300" w:lineRule="auto"/>
      </w:pPr>
      <w:r>
        <w:rPr>
          <w:rFonts w:ascii="Calibri" w:hAnsi="Calibri"/>
          <w:b/>
        </w:rPr>
        <w:t xml:space="preserve">Intro: </w:t>
      </w:r>
      <w:r>
        <w:rPr>
          <w:rFonts w:ascii="Calibri" w:hAnsi="Calibri"/>
          <w:i w:val="0"/>
        </w:rPr>
        <w:t>Five purpose-built systems - each engineered around the GMP workflows your auditors look at first. Not generic platforms retrofitted for pharma. Built for pharma from the architecture up.</w:t>
      </w:r>
    </w:p>
    <w:p>
      <w:pPr>
        <w:spacing w:after="120" w:line="300" w:lineRule="auto"/>
      </w:pPr>
      <w:r>
        <w:rPr>
          <w:rFonts w:ascii="Calibri" w:hAnsi="Calibri"/>
          <w:b/>
        </w:rPr>
        <w:t xml:space="preserve">Hero visual: </w:t>
      </w:r>
      <w:r>
        <w:rPr>
          <w:rFonts w:ascii="Calibri" w:hAnsi="Calibri"/>
          <w:i w:val="0"/>
        </w:rPr>
        <w:t>ImageCarousel renders ASDS, IRS, MPATS, IVBLT, and SACS images.</w:t>
      </w:r>
    </w:p>
    <w:p>
      <w:pPr>
        <w:pStyle w:val="Heading2"/>
      </w:pPr>
      <w:r>
        <w:rPr>
          <w:rFonts w:ascii="Calibri" w:hAnsi="Calibri"/>
          <w:b/>
          <w:color w:val="2E74B5"/>
          <w:sz w:val="26"/>
        </w:rPr>
        <w:t>Our Compliance Product Range</w:t>
      </w:r>
    </w:p>
    <w:p>
      <w:pPr>
        <w:spacing w:after="120" w:line="300" w:lineRule="auto"/>
      </w:pPr>
      <w:r>
        <w:rPr>
          <w:rFonts w:ascii="Calibri" w:hAnsi="Calibri"/>
          <w:b/>
        </w:rPr>
        <w:t xml:space="preserve">Eyebrow: </w:t>
      </w:r>
      <w:r>
        <w:rPr>
          <w:rFonts w:ascii="Calibri" w:hAnsi="Calibri"/>
          <w:i w:val="0"/>
        </w:rPr>
        <w:t>THE FULL RANGE</w:t>
      </w:r>
    </w:p>
    <w:p>
      <w:pPr>
        <w:spacing w:after="120" w:line="300" w:lineRule="auto"/>
      </w:pPr>
      <w:r>
        <w:rPr>
          <w:rFonts w:ascii="Calibri" w:hAnsi="Calibri"/>
          <w:i w:val="0"/>
        </w:rPr>
        <w:t>Five systems. Each one closes a specific GMP paper gap.</w:t>
      </w:r>
    </w:p>
    <w:p>
      <w:pPr>
        <w:pStyle w:val="Heading3"/>
      </w:pPr>
      <w:r>
        <w:rPr>
          <w:rFonts w:ascii="Calibri" w:hAnsi="Calibri"/>
          <w:b/>
          <w:color w:val="1F4D78"/>
          <w:sz w:val="24"/>
        </w:rPr>
        <w:t>Smart Access Control System</w:t>
      </w:r>
    </w:p>
    <w:p>
      <w:pPr>
        <w:spacing w:after="120" w:line="300" w:lineRule="auto"/>
      </w:pPr>
      <w:r>
        <w:rPr>
          <w:rFonts w:ascii="Calibri" w:hAnsi="Calibri"/>
          <w:b/>
        </w:rPr>
        <w:t xml:space="preserve">Tag: </w:t>
      </w:r>
      <w:r>
        <w:rPr>
          <w:rFonts w:ascii="Calibri" w:hAnsi="Calibri"/>
          <w:i w:val="0"/>
        </w:rPr>
        <w:t>SACS</w:t>
      </w:r>
    </w:p>
    <w:p>
      <w:pPr>
        <w:spacing w:after="120" w:line="300" w:lineRule="auto"/>
      </w:pPr>
      <w:r>
        <w:rPr>
          <w:rFonts w:ascii="Calibri" w:hAnsi="Calibri"/>
          <w:b/>
        </w:rPr>
        <w:t xml:space="preserve">Positioning: </w:t>
      </w:r>
      <w:r>
        <w:rPr>
          <w:rFonts w:ascii="Calibri" w:hAnsi="Calibri"/>
          <w:i/>
        </w:rPr>
        <w:t>The cleanroom door is where contamination risk and compliance risk both begin.</w:t>
      </w:r>
    </w:p>
    <w:p>
      <w:pPr>
        <w:spacing w:after="120" w:line="300" w:lineRule="auto"/>
      </w:pPr>
      <w:r>
        <w:rPr>
          <w:rFonts w:ascii="Calibri" w:hAnsi="Calibri"/>
          <w:b/>
        </w:rPr>
        <w:t xml:space="preserve">Description: </w:t>
      </w:r>
      <w:r>
        <w:rPr>
          <w:rFonts w:ascii="Calibri" w:hAnsi="Calibri"/>
          <w:i w:val="0"/>
        </w:rPr>
        <w:t>Mactus SACS is an advanced, paperless entry-exit management solution designed to ensure secure, compliant, and efficient access control in sterile and restricted environments. Every entry is biometrically authenticated, SOP-sequenced, and electronically recorded - no paper entry logs, no manual reconciliation.</w:t>
      </w:r>
    </w:p>
    <w:p>
      <w:pPr>
        <w:pStyle w:val="ListBullet"/>
        <w:spacing w:after="80" w:line="300" w:lineRule="auto"/>
      </w:pPr>
      <w:r>
        <w:rPr>
          <w:rFonts w:ascii="Calibri" w:hAnsi="Calibri"/>
        </w:rPr>
        <w:t>Biometric authentication - fingerprint and face recognition</w:t>
      </w:r>
    </w:p>
    <w:p>
      <w:pPr>
        <w:pStyle w:val="ListBullet"/>
        <w:spacing w:after="80" w:line="300" w:lineRule="auto"/>
      </w:pPr>
      <w:r>
        <w:rPr>
          <w:rFonts w:ascii="Calibri" w:hAnsi="Calibri"/>
        </w:rPr>
        <w:t>SOP-enforced gowning sequence before cleanroom entry</w:t>
      </w:r>
    </w:p>
    <w:p>
      <w:pPr>
        <w:pStyle w:val="ListBullet"/>
        <w:spacing w:after="80" w:line="300" w:lineRule="auto"/>
      </w:pPr>
      <w:r>
        <w:rPr>
          <w:rFonts w:ascii="Calibri" w:hAnsi="Calibri"/>
        </w:rPr>
        <w:t>21 CFR Part 11 compliant audit trail - every entry timestamped and signed</w:t>
      </w:r>
    </w:p>
    <w:p>
      <w:pPr>
        <w:pStyle w:val="ListBullet"/>
        <w:spacing w:after="80" w:line="300" w:lineRule="auto"/>
      </w:pPr>
      <w:r>
        <w:rPr>
          <w:rFonts w:ascii="Calibri" w:hAnsi="Calibri"/>
        </w:rPr>
        <w:t>Real-time occupancy and access reports for QA review</w:t>
      </w:r>
    </w:p>
    <w:p>
      <w:pPr>
        <w:spacing w:after="120" w:line="300" w:lineRule="auto"/>
      </w:pPr>
      <w:r>
        <w:rPr>
          <w:rFonts w:ascii="Calibri" w:hAnsi="Calibri"/>
          <w:b/>
        </w:rPr>
        <w:t xml:space="preserve">Image asset: </w:t>
      </w:r>
      <w:r>
        <w:rPr>
          <w:rFonts w:ascii="Calibri" w:hAnsi="Calibri"/>
          <w:i w:val="0"/>
        </w:rPr>
        <w:t>src/assets/images/Complianceproducts/ChatGPT-Image-Apr-14-2025-04_27_52-PM-ra3ga84zsehh5dxfkr5dg058a1x325tlcqxvml292o.png</w:t>
      </w:r>
    </w:p>
    <w:p>
      <w:pPr>
        <w:spacing w:after="120" w:line="300" w:lineRule="auto"/>
      </w:pPr>
      <w:r>
        <w:rPr>
          <w:rFonts w:ascii="Calibri" w:hAnsi="Calibri"/>
          <w:b/>
        </w:rPr>
        <w:t xml:space="preserve">Learn More link: </w:t>
      </w:r>
      <w:r>
        <w:rPr>
          <w:rFonts w:ascii="Calibri" w:hAnsi="Calibri"/>
          <w:i w:val="0"/>
        </w:rPr>
        <w:t>/products/sacs</w:t>
      </w:r>
    </w:p>
    <w:p>
      <w:pPr>
        <w:pStyle w:val="Heading3"/>
      </w:pPr>
      <w:r>
        <w:rPr>
          <w:rFonts w:ascii="Calibri" w:hAnsi="Calibri"/>
          <w:b/>
          <w:color w:val="1F4D78"/>
          <w:sz w:val="24"/>
        </w:rPr>
        <w:t>Intervention Recording System</w:t>
      </w:r>
    </w:p>
    <w:p>
      <w:pPr>
        <w:spacing w:after="120" w:line="300" w:lineRule="auto"/>
      </w:pPr>
      <w:r>
        <w:rPr>
          <w:rFonts w:ascii="Calibri" w:hAnsi="Calibri"/>
          <w:b/>
        </w:rPr>
        <w:t xml:space="preserve">Tag: </w:t>
      </w:r>
      <w:r>
        <w:rPr>
          <w:rFonts w:ascii="Calibri" w:hAnsi="Calibri"/>
          <w:i w:val="0"/>
        </w:rPr>
        <w:t>IRS(TM)</w:t>
      </w:r>
    </w:p>
    <w:p>
      <w:pPr>
        <w:spacing w:after="120" w:line="300" w:lineRule="auto"/>
      </w:pPr>
      <w:r>
        <w:rPr>
          <w:rFonts w:ascii="Calibri" w:hAnsi="Calibri"/>
          <w:b/>
        </w:rPr>
        <w:t xml:space="preserve">Positioning: </w:t>
      </w:r>
      <w:r>
        <w:rPr>
          <w:rFonts w:ascii="Calibri" w:hAnsi="Calibri"/>
          <w:i/>
        </w:rPr>
        <w:t>Every aseptic intervention is a contamination risk and a data integrity event. IRS captures both.</w:t>
      </w:r>
    </w:p>
    <w:p>
      <w:pPr>
        <w:spacing w:after="120" w:line="300" w:lineRule="auto"/>
      </w:pPr>
      <w:r>
        <w:rPr>
          <w:rFonts w:ascii="Calibri" w:hAnsi="Calibri"/>
          <w:b/>
        </w:rPr>
        <w:t xml:space="preserve">Description: </w:t>
      </w:r>
      <w:r>
        <w:rPr>
          <w:rFonts w:ascii="Calibri" w:hAnsi="Calibri"/>
          <w:i w:val="0"/>
        </w:rPr>
        <w:t>The Intervention Recording System (IRS(TM)) is a web-based automation solution designed to monitor, control, and record interventions occurring during batch processing in pharmaceutical filling lines. Sensor-measured duration, operator identity, intervention type, and supervisor sign-off - all captured automatically, aligned with EU GMP Annex 1.</w:t>
      </w:r>
    </w:p>
    <w:p>
      <w:pPr>
        <w:pStyle w:val="ListBullet"/>
        <w:spacing w:after="80" w:line="300" w:lineRule="auto"/>
      </w:pPr>
      <w:r>
        <w:rPr>
          <w:rFonts w:ascii="Calibri" w:hAnsi="Calibri"/>
        </w:rPr>
        <w:t>Sensor-measured intervention duration - no operator self-reporting</w:t>
      </w:r>
    </w:p>
    <w:p>
      <w:pPr>
        <w:pStyle w:val="ListBullet"/>
        <w:spacing w:after="80" w:line="300" w:lineRule="auto"/>
      </w:pPr>
      <w:r>
        <w:rPr>
          <w:rFonts w:ascii="Calibri" w:hAnsi="Calibri"/>
        </w:rPr>
        <w:t>EU GMP Annex 1 aligned intervention classification</w:t>
      </w:r>
    </w:p>
    <w:p>
      <w:pPr>
        <w:pStyle w:val="ListBullet"/>
        <w:spacing w:after="80" w:line="300" w:lineRule="auto"/>
      </w:pPr>
      <w:r>
        <w:rPr>
          <w:rFonts w:ascii="Calibri" w:hAnsi="Calibri"/>
        </w:rPr>
        <w:t>Electronic supervisor sign-off bound to each event</w:t>
      </w:r>
    </w:p>
    <w:p>
      <w:pPr>
        <w:pStyle w:val="ListBullet"/>
        <w:spacing w:after="80" w:line="300" w:lineRule="auto"/>
      </w:pPr>
      <w:r>
        <w:rPr>
          <w:rFonts w:ascii="Calibri" w:hAnsi="Calibri"/>
        </w:rPr>
        <w:t>Real-time intervention count and duration trending per batch</w:t>
      </w:r>
    </w:p>
    <w:p>
      <w:pPr>
        <w:spacing w:after="120" w:line="300" w:lineRule="auto"/>
      </w:pPr>
      <w:r>
        <w:rPr>
          <w:rFonts w:ascii="Calibri" w:hAnsi="Calibri"/>
          <w:b/>
        </w:rPr>
        <w:t xml:space="preserve">Image asset: </w:t>
      </w:r>
      <w:r>
        <w:rPr>
          <w:rFonts w:ascii="Calibri" w:hAnsi="Calibri"/>
          <w:i w:val="0"/>
        </w:rPr>
        <w:t>src/assets/images/Complianceproducts/IRS/IRS1.png</w:t>
      </w:r>
    </w:p>
    <w:p>
      <w:pPr>
        <w:spacing w:after="120" w:line="300" w:lineRule="auto"/>
      </w:pPr>
      <w:r>
        <w:rPr>
          <w:rFonts w:ascii="Calibri" w:hAnsi="Calibri"/>
          <w:b/>
        </w:rPr>
        <w:t xml:space="preserve">Learn More link: </w:t>
      </w:r>
      <w:r>
        <w:rPr>
          <w:rFonts w:ascii="Calibri" w:hAnsi="Calibri"/>
          <w:i w:val="0"/>
        </w:rPr>
        <w:t>/products/irs/</w:t>
      </w:r>
    </w:p>
    <w:p>
      <w:pPr>
        <w:pStyle w:val="Heading3"/>
      </w:pPr>
      <w:r>
        <w:rPr>
          <w:rFonts w:ascii="Calibri" w:hAnsi="Calibri"/>
          <w:b/>
          <w:color w:val="1F4D78"/>
          <w:sz w:val="24"/>
        </w:rPr>
        <w:t>Automated Solution Dispensing System</w:t>
      </w:r>
    </w:p>
    <w:p>
      <w:pPr>
        <w:spacing w:after="120" w:line="300" w:lineRule="auto"/>
      </w:pPr>
      <w:r>
        <w:rPr>
          <w:rFonts w:ascii="Calibri" w:hAnsi="Calibri"/>
          <w:b/>
        </w:rPr>
        <w:t xml:space="preserve">Tag: </w:t>
      </w:r>
      <w:r>
        <w:rPr>
          <w:rFonts w:ascii="Calibri" w:hAnsi="Calibri"/>
          <w:i w:val="0"/>
        </w:rPr>
        <w:t>ASDS</w:t>
      </w:r>
    </w:p>
    <w:p>
      <w:pPr>
        <w:spacing w:after="120" w:line="300" w:lineRule="auto"/>
      </w:pPr>
      <w:r>
        <w:rPr>
          <w:rFonts w:ascii="Calibri" w:hAnsi="Calibri"/>
          <w:b/>
        </w:rPr>
        <w:t xml:space="preserve">Positioning: </w:t>
      </w:r>
      <w:r>
        <w:rPr>
          <w:rFonts w:ascii="Calibri" w:hAnsi="Calibri"/>
          <w:i/>
        </w:rPr>
        <w:t>Manual cleaning solution prep is the slow leak in GMP cleaning. ASDS replaces the graduated cylinder with a solvent.</w:t>
      </w:r>
    </w:p>
    <w:p>
      <w:pPr>
        <w:spacing w:after="120" w:line="300" w:lineRule="auto"/>
      </w:pPr>
      <w:r>
        <w:rPr>
          <w:rFonts w:ascii="Calibri" w:hAnsi="Calibri"/>
          <w:b/>
        </w:rPr>
        <w:t xml:space="preserve">Description: </w:t>
      </w:r>
      <w:r>
        <w:rPr>
          <w:rFonts w:ascii="Calibri" w:hAnsi="Calibri"/>
          <w:i w:val="0"/>
        </w:rPr>
        <w:t>The ASDS is a mobile, SS-fabricated, automated solution preparation unit for pharma cleaning operations. The operator selects a solvent and required volume - the system handles the dilution, mixing, and dispensing. Every dispense is electronically recorded - solvent, volume, operator, time - with full 21 CFR Part 11 audit trail.</w:t>
      </w:r>
    </w:p>
    <w:p>
      <w:pPr>
        <w:pStyle w:val="ListBullet"/>
        <w:spacing w:after="80" w:line="300" w:lineRule="auto"/>
      </w:pPr>
      <w:r>
        <w:rPr>
          <w:rFonts w:ascii="Calibri" w:hAnsi="Calibri"/>
        </w:rPr>
        <w:t>Up to 6 configurable solvents - disinfectant, IPA, detergent, sporicide</w:t>
      </w:r>
    </w:p>
    <w:p>
      <w:pPr>
        <w:pStyle w:val="ListBullet"/>
        <w:spacing w:after="80" w:line="300" w:lineRule="auto"/>
      </w:pPr>
      <w:r>
        <w:rPr>
          <w:rFonts w:ascii="Calibri" w:hAnsi="Calibri"/>
        </w:rPr>
        <w:t>Volumetric accuracy - solvent-locked, no manual estimation</w:t>
      </w:r>
    </w:p>
    <w:p>
      <w:pPr>
        <w:pStyle w:val="ListBullet"/>
        <w:spacing w:after="80" w:line="300" w:lineRule="auto"/>
      </w:pPr>
      <w:r>
        <w:rPr>
          <w:rFonts w:ascii="Calibri" w:hAnsi="Calibri"/>
        </w:rPr>
        <w:t>On-demand preparation - eliminates over-preparation and waste</w:t>
      </w:r>
    </w:p>
    <w:p>
      <w:pPr>
        <w:pStyle w:val="ListBullet"/>
        <w:spacing w:after="80" w:line="300" w:lineRule="auto"/>
      </w:pPr>
      <w:r>
        <w:rPr>
          <w:rFonts w:ascii="Calibri" w:hAnsi="Calibri"/>
        </w:rPr>
        <w:t>Mobile, SS-fabricated - wheels between cleanrooms</w:t>
      </w:r>
    </w:p>
    <w:p>
      <w:pPr>
        <w:spacing w:after="120" w:line="300" w:lineRule="auto"/>
      </w:pPr>
      <w:r>
        <w:rPr>
          <w:rFonts w:ascii="Calibri" w:hAnsi="Calibri"/>
          <w:b/>
        </w:rPr>
        <w:t xml:space="preserve">Image asset: </w:t>
      </w:r>
      <w:r>
        <w:rPr>
          <w:rFonts w:ascii="Calibri" w:hAnsi="Calibri"/>
          <w:i w:val="0"/>
        </w:rPr>
        <w:t>src/assets/images/Complianceproducts/ASDS/asds_1.png</w:t>
      </w:r>
    </w:p>
    <w:p>
      <w:pPr>
        <w:spacing w:after="120" w:line="300" w:lineRule="auto"/>
      </w:pPr>
      <w:r>
        <w:rPr>
          <w:rFonts w:ascii="Calibri" w:hAnsi="Calibri"/>
          <w:b/>
        </w:rPr>
        <w:t xml:space="preserve">Learn More link: </w:t>
      </w:r>
      <w:r>
        <w:rPr>
          <w:rFonts w:ascii="Calibri" w:hAnsi="Calibri"/>
          <w:i w:val="0"/>
        </w:rPr>
        <w:t>/products/asds/</w:t>
      </w:r>
    </w:p>
    <w:p>
      <w:pPr>
        <w:pStyle w:val="Heading3"/>
      </w:pPr>
      <w:r>
        <w:rPr>
          <w:rFonts w:ascii="Calibri" w:hAnsi="Calibri"/>
          <w:b/>
          <w:color w:val="1F4D78"/>
          <w:sz w:val="24"/>
        </w:rPr>
        <w:t>MPATS - Mactus Environmental Monitoring</w:t>
      </w:r>
    </w:p>
    <w:p>
      <w:pPr>
        <w:spacing w:after="120" w:line="300" w:lineRule="auto"/>
      </w:pPr>
      <w:r>
        <w:rPr>
          <w:rFonts w:ascii="Calibri" w:hAnsi="Calibri"/>
          <w:b/>
        </w:rPr>
        <w:t xml:space="preserve">Tag: </w:t>
      </w:r>
      <w:r>
        <w:rPr>
          <w:rFonts w:ascii="Calibri" w:hAnsi="Calibri"/>
          <w:i w:val="0"/>
        </w:rPr>
        <w:t>MPATS</w:t>
      </w:r>
    </w:p>
    <w:p>
      <w:pPr>
        <w:spacing w:after="120" w:line="300" w:lineRule="auto"/>
      </w:pPr>
      <w:r>
        <w:rPr>
          <w:rFonts w:ascii="Calibri" w:hAnsi="Calibri"/>
          <w:b/>
        </w:rPr>
        <w:t xml:space="preserve">Positioning: </w:t>
      </w:r>
      <w:r>
        <w:rPr>
          <w:rFonts w:ascii="Calibri" w:hAnsi="Calibri"/>
          <w:i/>
        </w:rPr>
        <w:t>One unaccounted-for media plate can delay batch release. MPATS makes sure that never happens.</w:t>
      </w:r>
    </w:p>
    <w:p>
      <w:pPr>
        <w:spacing w:after="120" w:line="300" w:lineRule="auto"/>
      </w:pPr>
      <w:r>
        <w:rPr>
          <w:rFonts w:ascii="Calibri" w:hAnsi="Calibri"/>
          <w:b/>
        </w:rPr>
        <w:t xml:space="preserve">Description: </w:t>
      </w:r>
      <w:r>
        <w:rPr>
          <w:rFonts w:ascii="Calibri" w:hAnsi="Calibri"/>
          <w:i w:val="0"/>
        </w:rPr>
        <w:t>MPATS digitises the complete lifecycle of every environmental monitoring media plate - issuance, exposure, incubation, reading, reconciliation, and disposal. QR-code traceability at every handover. Automatic reconciliation. Electronic signatures on every CFU count. Audit-ready records for every batch, every room, every grade.</w:t>
      </w:r>
    </w:p>
    <w:p>
      <w:pPr>
        <w:pStyle w:val="ListBullet"/>
        <w:spacing w:after="80" w:line="300" w:lineRule="auto"/>
      </w:pPr>
      <w:r>
        <w:rPr>
          <w:rFonts w:ascii="Calibri" w:hAnsi="Calibri"/>
        </w:rPr>
        <w:t>QR-code tracking - every plate scanned at every lifecycle stage</w:t>
      </w:r>
    </w:p>
    <w:p>
      <w:pPr>
        <w:pStyle w:val="ListBullet"/>
        <w:spacing w:after="80" w:line="300" w:lineRule="auto"/>
      </w:pPr>
      <w:r>
        <w:rPr>
          <w:rFonts w:ascii="Calibri" w:hAnsi="Calibri"/>
        </w:rPr>
        <w:t>Automatic batch reconciliation - all plates accounted for at release</w:t>
      </w:r>
    </w:p>
    <w:p>
      <w:pPr>
        <w:pStyle w:val="ListBullet"/>
        <w:spacing w:after="80" w:line="300" w:lineRule="auto"/>
      </w:pPr>
      <w:r>
        <w:rPr>
          <w:rFonts w:ascii="Calibri" w:hAnsi="Calibri"/>
        </w:rPr>
        <w:t>E-signed CFU readings - bound to the reading microbiologist</w:t>
      </w:r>
    </w:p>
    <w:p>
      <w:pPr>
        <w:pStyle w:val="ListBullet"/>
        <w:spacing w:after="80" w:line="300" w:lineRule="auto"/>
      </w:pPr>
      <w:r>
        <w:rPr>
          <w:rFonts w:ascii="Calibri" w:hAnsi="Calibri"/>
        </w:rPr>
        <w:t>EU GMP Annex 1 and 21 CFR Part 11 aligned</w:t>
      </w:r>
    </w:p>
    <w:p>
      <w:pPr>
        <w:spacing w:after="120" w:line="300" w:lineRule="auto"/>
      </w:pPr>
      <w:r>
        <w:rPr>
          <w:rFonts w:ascii="Calibri" w:hAnsi="Calibri"/>
          <w:b/>
        </w:rPr>
        <w:t xml:space="preserve">Image asset: </w:t>
      </w:r>
      <w:r>
        <w:rPr>
          <w:rFonts w:ascii="Calibri" w:hAnsi="Calibri"/>
          <w:i w:val="0"/>
        </w:rPr>
        <w:t>src/assets/images/Complianceproducts/MPATS/mem_3.png</w:t>
      </w:r>
    </w:p>
    <w:p>
      <w:pPr>
        <w:spacing w:after="120" w:line="300" w:lineRule="auto"/>
      </w:pPr>
      <w:r>
        <w:rPr>
          <w:rFonts w:ascii="Calibri" w:hAnsi="Calibri"/>
          <w:b/>
        </w:rPr>
        <w:t xml:space="preserve">Learn More link: </w:t>
      </w:r>
      <w:r>
        <w:rPr>
          <w:rFonts w:ascii="Calibri" w:hAnsi="Calibri"/>
          <w:i w:val="0"/>
        </w:rPr>
        <w:t>/products/MPATS/</w:t>
      </w:r>
    </w:p>
    <w:p>
      <w:pPr>
        <w:pStyle w:val="Heading3"/>
      </w:pPr>
      <w:r>
        <w:rPr>
          <w:rFonts w:ascii="Calibri" w:hAnsi="Calibri"/>
          <w:b/>
          <w:color w:val="1F4D78"/>
          <w:sz w:val="24"/>
        </w:rPr>
        <w:t>Intravenous Bag Leak Tester</w:t>
      </w:r>
    </w:p>
    <w:p>
      <w:pPr>
        <w:spacing w:after="120" w:line="300" w:lineRule="auto"/>
      </w:pPr>
      <w:r>
        <w:rPr>
          <w:rFonts w:ascii="Calibri" w:hAnsi="Calibri"/>
          <w:b/>
        </w:rPr>
        <w:t xml:space="preserve">Tag: </w:t>
      </w:r>
      <w:r>
        <w:rPr>
          <w:rFonts w:ascii="Calibri" w:hAnsi="Calibri"/>
          <w:i w:val="0"/>
        </w:rPr>
        <w:t>IVBLT</w:t>
      </w:r>
    </w:p>
    <w:p>
      <w:pPr>
        <w:spacing w:after="120" w:line="300" w:lineRule="auto"/>
      </w:pPr>
      <w:r>
        <w:rPr>
          <w:rFonts w:ascii="Calibri" w:hAnsi="Calibri"/>
          <w:b/>
        </w:rPr>
        <w:t xml:space="preserve">Positioning: </w:t>
      </w:r>
      <w:r>
        <w:rPr>
          <w:rFonts w:ascii="Calibri" w:hAnsi="Calibri"/>
          <w:i/>
        </w:rPr>
        <w:t>A pinhole in an IV bag is invisible to the eye and critical to the patient. IVBLT finds it before it ships.</w:t>
      </w:r>
    </w:p>
    <w:p>
      <w:pPr>
        <w:spacing w:after="120" w:line="300" w:lineRule="auto"/>
      </w:pPr>
      <w:r>
        <w:rPr>
          <w:rFonts w:ascii="Calibri" w:hAnsi="Calibri"/>
          <w:b/>
        </w:rPr>
        <w:t xml:space="preserve">Description: </w:t>
      </w:r>
      <w:r>
        <w:rPr>
          <w:rFonts w:ascii="Calibri" w:hAnsi="Calibri"/>
          <w:i w:val="0"/>
        </w:rPr>
        <w:t>The IV Bag Leak Detector (IVBLT) is a precision-engineered system designed to detect even the smallest pinhole leaks in intravenous bags. It ensures product integrity, enhances patient safety, and supports compliance with stringent pharmaceutical quality standards. Every test result is electronically recorded with batch, operator, and timestamp.</w:t>
      </w:r>
    </w:p>
    <w:p>
      <w:pPr>
        <w:pStyle w:val="ListBullet"/>
        <w:spacing w:after="80" w:line="300" w:lineRule="auto"/>
      </w:pPr>
      <w:r>
        <w:rPr>
          <w:rFonts w:ascii="Calibri" w:hAnsi="Calibri"/>
        </w:rPr>
        <w:t>Detects pinhole leaks invisible to manual inspection</w:t>
      </w:r>
    </w:p>
    <w:p>
      <w:pPr>
        <w:pStyle w:val="ListBullet"/>
        <w:spacing w:after="80" w:line="300" w:lineRule="auto"/>
      </w:pPr>
      <w:r>
        <w:rPr>
          <w:rFonts w:ascii="Calibri" w:hAnsi="Calibri"/>
        </w:rPr>
        <w:t>100% in-line or at-line testing - not sampling-based</w:t>
      </w:r>
    </w:p>
    <w:p>
      <w:pPr>
        <w:pStyle w:val="ListBullet"/>
        <w:spacing w:after="80" w:line="300" w:lineRule="auto"/>
      </w:pPr>
      <w:r>
        <w:rPr>
          <w:rFonts w:ascii="Calibri" w:hAnsi="Calibri"/>
        </w:rPr>
        <w:t>Electronic test records - batch, operator, result, timestamp</w:t>
      </w:r>
    </w:p>
    <w:p>
      <w:pPr>
        <w:pStyle w:val="ListBullet"/>
        <w:spacing w:after="80" w:line="300" w:lineRule="auto"/>
      </w:pPr>
      <w:r>
        <w:rPr>
          <w:rFonts w:ascii="Calibri" w:hAnsi="Calibri"/>
        </w:rPr>
        <w:t>Reduces patient safety risk and batch rejection at distribution</w:t>
      </w:r>
    </w:p>
    <w:p>
      <w:pPr>
        <w:spacing w:after="120" w:line="300" w:lineRule="auto"/>
      </w:pPr>
      <w:r>
        <w:rPr>
          <w:rFonts w:ascii="Calibri" w:hAnsi="Calibri"/>
          <w:b/>
        </w:rPr>
        <w:t xml:space="preserve">Image asset: </w:t>
      </w:r>
      <w:r>
        <w:rPr>
          <w:rFonts w:ascii="Calibri" w:hAnsi="Calibri"/>
          <w:i w:val="0"/>
        </w:rPr>
        <w:t>src/assets/images/ivblt_2.png</w:t>
      </w:r>
    </w:p>
    <w:p>
      <w:pPr>
        <w:spacing w:after="120" w:line="300" w:lineRule="auto"/>
      </w:pPr>
      <w:r>
        <w:rPr>
          <w:rFonts w:ascii="Calibri" w:hAnsi="Calibri"/>
          <w:b/>
        </w:rPr>
        <w:t xml:space="preserve">Learn More link: </w:t>
      </w:r>
      <w:r>
        <w:rPr>
          <w:rFonts w:ascii="Calibri" w:hAnsi="Calibri"/>
          <w:i w:val="0"/>
        </w:rPr>
        <w:t>/products/ivblt</w:t>
      </w:r>
    </w:p>
    <w:p>
      <w:pPr>
        <w:pStyle w:val="Heading2"/>
      </w:pPr>
      <w:r>
        <w:rPr>
          <w:rFonts w:ascii="Calibri" w:hAnsi="Calibri"/>
          <w:b/>
          <w:color w:val="2E74B5"/>
          <w:sz w:val="26"/>
        </w:rPr>
        <w:t>Which Product Closes Which Gap?</w:t>
      </w:r>
    </w:p>
    <w:p>
      <w:pPr>
        <w:spacing w:after="120" w:line="300" w:lineRule="auto"/>
      </w:pPr>
      <w:r>
        <w:rPr>
          <w:rFonts w:ascii="Calibri" w:hAnsi="Calibri"/>
          <w:b/>
        </w:rPr>
        <w:t xml:space="preserve">Eyebrow: </w:t>
      </w:r>
      <w:r>
        <w:rPr>
          <w:rFonts w:ascii="Calibri" w:hAnsi="Calibri"/>
          <w:i w:val="0"/>
        </w:rPr>
        <w:t>DECISION AID</w:t>
      </w:r>
    </w:p>
    <w:p>
      <w:pPr>
        <w:spacing w:after="120" w:line="300" w:lineRule="auto"/>
      </w:pPr>
      <w:r>
        <w:rPr>
          <w:rFonts w:ascii="Calibri" w:hAnsi="Calibri"/>
          <w:i w:val="0"/>
        </w:rPr>
        <w:t>Each Mactus compliance product targets a specific paper-based GMP risk. Here's the map.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8EEF5"/>
          </w:tcPr>
          <w:p>
            <w:pPr>
              <w:spacing w:after="0" w:line="269" w:lineRule="auto"/>
            </w:pPr>
            <w:r/>
            <w:r>
              <w:rPr>
                <w:rFonts w:ascii="Calibri" w:hAnsi="Calibri"/>
                <w:b/>
                <w:sz w:val="17"/>
              </w:rPr>
              <w:t>Product</w:t>
            </w:r>
          </w:p>
        </w:tc>
        <w:tc>
          <w:tcPr>
            <w:tcW w:type="dxa" w:w="1560"/>
            <w:shd w:fill="E8EEF5"/>
          </w:tcPr>
          <w:p>
            <w:pPr>
              <w:spacing w:after="0" w:line="269" w:lineRule="auto"/>
            </w:pPr>
            <w:r/>
            <w:r>
              <w:rPr>
                <w:rFonts w:ascii="Calibri" w:hAnsi="Calibri"/>
                <w:b/>
                <w:sz w:val="17"/>
              </w:rPr>
              <w:t>Link</w:t>
            </w:r>
          </w:p>
        </w:tc>
        <w:tc>
          <w:tcPr>
            <w:tcW w:type="dxa" w:w="1560"/>
            <w:shd w:fill="E8EEF5"/>
          </w:tcPr>
          <w:p>
            <w:pPr>
              <w:spacing w:after="0" w:line="269" w:lineRule="auto"/>
            </w:pPr>
            <w:r/>
            <w:r>
              <w:rPr>
                <w:rFonts w:ascii="Calibri" w:hAnsi="Calibri"/>
                <w:b/>
                <w:sz w:val="17"/>
              </w:rPr>
              <w:t>GMP Gap Closed</w:t>
            </w:r>
          </w:p>
        </w:tc>
        <w:tc>
          <w:tcPr>
            <w:tcW w:type="dxa" w:w="1560"/>
            <w:shd w:fill="E8EEF5"/>
          </w:tcPr>
          <w:p>
            <w:pPr>
              <w:spacing w:after="0" w:line="269" w:lineRule="auto"/>
            </w:pPr>
            <w:r/>
            <w:r>
              <w:rPr>
                <w:rFonts w:ascii="Calibri" w:hAnsi="Calibri"/>
                <w:b/>
                <w:sz w:val="17"/>
              </w:rPr>
              <w:t>Primary Users</w:t>
            </w:r>
          </w:p>
        </w:tc>
        <w:tc>
          <w:tcPr>
            <w:tcW w:type="dxa" w:w="1560"/>
            <w:shd w:fill="E8EEF5"/>
          </w:tcPr>
          <w:p>
            <w:pPr>
              <w:spacing w:after="0" w:line="269" w:lineRule="auto"/>
            </w:pPr>
            <w:r/>
            <w:r>
              <w:rPr>
                <w:rFonts w:ascii="Calibri" w:hAnsi="Calibri"/>
                <w:b/>
                <w:sz w:val="17"/>
              </w:rPr>
              <w:t>Key Standard</w:t>
            </w:r>
          </w:p>
        </w:tc>
        <w:tc>
          <w:tcPr>
            <w:tcW w:type="dxa" w:w="1560"/>
            <w:shd w:fill="E8EEF5"/>
          </w:tcPr>
          <w:p>
            <w:pPr>
              <w:spacing w:after="0" w:line="269" w:lineRule="auto"/>
            </w:pPr>
            <w:r/>
            <w:r>
              <w:rPr>
                <w:rFonts w:ascii="Calibri" w:hAnsi="Calibri"/>
                <w:b/>
                <w:sz w:val="17"/>
              </w:rPr>
              <w:t>Deployment</w:t>
            </w:r>
          </w:p>
        </w:tc>
      </w:tr>
      <w:tr>
        <w:tc>
          <w:tcPr>
            <w:tcW w:type="dxa" w:w="1560"/>
          </w:tcPr>
          <w:p>
            <w:pPr>
              <w:spacing w:after="0" w:line="269" w:lineRule="auto"/>
            </w:pPr>
            <w:r/>
            <w:r>
              <w:rPr>
                <w:rFonts w:ascii="Calibri" w:hAnsi="Calibri"/>
                <w:b w:val="0"/>
                <w:sz w:val="16"/>
              </w:rPr>
              <w:t>SACS</w:t>
            </w:r>
          </w:p>
        </w:tc>
        <w:tc>
          <w:tcPr>
            <w:tcW w:type="dxa" w:w="1560"/>
          </w:tcPr>
          <w:p>
            <w:pPr>
              <w:spacing w:after="0" w:line="269" w:lineRule="auto"/>
            </w:pPr>
            <w:r/>
            <w:r>
              <w:rPr>
                <w:rFonts w:ascii="Calibri" w:hAnsi="Calibri"/>
                <w:b w:val="0"/>
                <w:sz w:val="16"/>
              </w:rPr>
              <w:t>/products/sacs</w:t>
            </w:r>
          </w:p>
        </w:tc>
        <w:tc>
          <w:tcPr>
            <w:tcW w:type="dxa" w:w="1560"/>
          </w:tcPr>
          <w:p>
            <w:pPr>
              <w:spacing w:after="0" w:line="269" w:lineRule="auto"/>
            </w:pPr>
            <w:r/>
            <w:r>
              <w:rPr>
                <w:rFonts w:ascii="Calibri" w:hAnsi="Calibri"/>
                <w:b w:val="0"/>
                <w:sz w:val="16"/>
              </w:rPr>
              <w:t>Cleanroom entry &amp; gowning records</w:t>
            </w:r>
          </w:p>
        </w:tc>
        <w:tc>
          <w:tcPr>
            <w:tcW w:type="dxa" w:w="1560"/>
          </w:tcPr>
          <w:p>
            <w:pPr>
              <w:spacing w:after="0" w:line="269" w:lineRule="auto"/>
            </w:pPr>
            <w:r/>
            <w:r>
              <w:rPr>
                <w:rFonts w:ascii="Calibri" w:hAnsi="Calibri"/>
                <w:b w:val="0"/>
                <w:sz w:val="16"/>
              </w:rPr>
              <w:t>Operators, QA, Security</w:t>
            </w:r>
          </w:p>
        </w:tc>
        <w:tc>
          <w:tcPr>
            <w:tcW w:type="dxa" w:w="1560"/>
          </w:tcPr>
          <w:p>
            <w:pPr>
              <w:spacing w:after="0" w:line="269" w:lineRule="auto"/>
            </w:pPr>
            <w:r/>
            <w:r>
              <w:rPr>
                <w:rFonts w:ascii="Calibri" w:hAnsi="Calibri"/>
                <w:b w:val="0"/>
                <w:sz w:val="16"/>
              </w:rPr>
              <w:t>21 CFR Part 11, EU GMP Annex 1</w:t>
            </w:r>
          </w:p>
        </w:tc>
        <w:tc>
          <w:tcPr>
            <w:tcW w:type="dxa" w:w="1560"/>
          </w:tcPr>
          <w:p>
            <w:pPr>
              <w:spacing w:after="0" w:line="269" w:lineRule="auto"/>
            </w:pPr>
            <w:r/>
            <w:r>
              <w:rPr>
                <w:rFonts w:ascii="Calibri" w:hAnsi="Calibri"/>
                <w:b w:val="0"/>
                <w:sz w:val="16"/>
              </w:rPr>
              <w:t>6-8 weeks</w:t>
            </w:r>
          </w:p>
        </w:tc>
      </w:tr>
      <w:tr>
        <w:tc>
          <w:tcPr>
            <w:tcW w:type="dxa" w:w="1560"/>
          </w:tcPr>
          <w:p>
            <w:pPr>
              <w:spacing w:after="0" w:line="269" w:lineRule="auto"/>
            </w:pPr>
            <w:r/>
            <w:r>
              <w:rPr>
                <w:rFonts w:ascii="Calibri" w:hAnsi="Calibri"/>
                <w:b w:val="0"/>
                <w:sz w:val="16"/>
              </w:rPr>
              <w:t>IRS(TM)</w:t>
            </w:r>
          </w:p>
        </w:tc>
        <w:tc>
          <w:tcPr>
            <w:tcW w:type="dxa" w:w="1560"/>
          </w:tcPr>
          <w:p>
            <w:pPr>
              <w:spacing w:after="0" w:line="269" w:lineRule="auto"/>
            </w:pPr>
            <w:r/>
            <w:r>
              <w:rPr>
                <w:rFonts w:ascii="Calibri" w:hAnsi="Calibri"/>
                <w:b w:val="0"/>
                <w:sz w:val="16"/>
              </w:rPr>
              <w:t>/products/irs</w:t>
            </w:r>
          </w:p>
        </w:tc>
        <w:tc>
          <w:tcPr>
            <w:tcW w:type="dxa" w:w="1560"/>
          </w:tcPr>
          <w:p>
            <w:pPr>
              <w:spacing w:after="0" w:line="269" w:lineRule="auto"/>
            </w:pPr>
            <w:r/>
            <w:r>
              <w:rPr>
                <w:rFonts w:ascii="Calibri" w:hAnsi="Calibri"/>
                <w:b w:val="0"/>
                <w:sz w:val="16"/>
              </w:rPr>
              <w:t>Aseptic intervention recording</w:t>
            </w:r>
          </w:p>
        </w:tc>
        <w:tc>
          <w:tcPr>
            <w:tcW w:type="dxa" w:w="1560"/>
          </w:tcPr>
          <w:p>
            <w:pPr>
              <w:spacing w:after="0" w:line="269" w:lineRule="auto"/>
            </w:pPr>
            <w:r/>
            <w:r>
              <w:rPr>
                <w:rFonts w:ascii="Calibri" w:hAnsi="Calibri"/>
                <w:b w:val="0"/>
                <w:sz w:val="16"/>
              </w:rPr>
              <w:t>Operators, Production, QA</w:t>
            </w:r>
          </w:p>
        </w:tc>
        <w:tc>
          <w:tcPr>
            <w:tcW w:type="dxa" w:w="1560"/>
          </w:tcPr>
          <w:p>
            <w:pPr>
              <w:spacing w:after="0" w:line="269" w:lineRule="auto"/>
            </w:pPr>
            <w:r/>
            <w:r>
              <w:rPr>
                <w:rFonts w:ascii="Calibri" w:hAnsi="Calibri"/>
                <w:b w:val="0"/>
                <w:sz w:val="16"/>
              </w:rPr>
              <w:t>EU GMP Annex 1, 21 CFR Part 11</w:t>
            </w:r>
          </w:p>
        </w:tc>
        <w:tc>
          <w:tcPr>
            <w:tcW w:type="dxa" w:w="1560"/>
          </w:tcPr>
          <w:p>
            <w:pPr>
              <w:spacing w:after="0" w:line="269" w:lineRule="auto"/>
            </w:pPr>
            <w:r/>
            <w:r>
              <w:rPr>
                <w:rFonts w:ascii="Calibri" w:hAnsi="Calibri"/>
                <w:b w:val="0"/>
                <w:sz w:val="16"/>
              </w:rPr>
              <w:t>6-8 weeks</w:t>
            </w:r>
          </w:p>
        </w:tc>
      </w:tr>
      <w:tr>
        <w:tc>
          <w:tcPr>
            <w:tcW w:type="dxa" w:w="1560"/>
          </w:tcPr>
          <w:p>
            <w:pPr>
              <w:spacing w:after="0" w:line="269" w:lineRule="auto"/>
            </w:pPr>
            <w:r/>
            <w:r>
              <w:rPr>
                <w:rFonts w:ascii="Calibri" w:hAnsi="Calibri"/>
                <w:b w:val="0"/>
                <w:sz w:val="16"/>
              </w:rPr>
              <w:t>ASDS</w:t>
            </w:r>
          </w:p>
        </w:tc>
        <w:tc>
          <w:tcPr>
            <w:tcW w:type="dxa" w:w="1560"/>
          </w:tcPr>
          <w:p>
            <w:pPr>
              <w:spacing w:after="0" w:line="269" w:lineRule="auto"/>
            </w:pPr>
            <w:r/>
            <w:r>
              <w:rPr>
                <w:rFonts w:ascii="Calibri" w:hAnsi="Calibri"/>
                <w:b w:val="0"/>
                <w:sz w:val="16"/>
              </w:rPr>
              <w:t>/products/asds</w:t>
            </w:r>
          </w:p>
        </w:tc>
        <w:tc>
          <w:tcPr>
            <w:tcW w:type="dxa" w:w="1560"/>
          </w:tcPr>
          <w:p>
            <w:pPr>
              <w:spacing w:after="0" w:line="269" w:lineRule="auto"/>
            </w:pPr>
            <w:r/>
            <w:r>
              <w:rPr>
                <w:rFonts w:ascii="Calibri" w:hAnsi="Calibri"/>
                <w:b w:val="0"/>
                <w:sz w:val="16"/>
              </w:rPr>
              <w:t>Cleaning solution preparation records</w:t>
            </w:r>
          </w:p>
        </w:tc>
        <w:tc>
          <w:tcPr>
            <w:tcW w:type="dxa" w:w="1560"/>
          </w:tcPr>
          <w:p>
            <w:pPr>
              <w:spacing w:after="0" w:line="269" w:lineRule="auto"/>
            </w:pPr>
            <w:r/>
            <w:r>
              <w:rPr>
                <w:rFonts w:ascii="Calibri" w:hAnsi="Calibri"/>
                <w:b w:val="0"/>
                <w:sz w:val="16"/>
              </w:rPr>
              <w:t>Operators, QA</w:t>
            </w:r>
          </w:p>
        </w:tc>
        <w:tc>
          <w:tcPr>
            <w:tcW w:type="dxa" w:w="1560"/>
          </w:tcPr>
          <w:p>
            <w:pPr>
              <w:spacing w:after="0" w:line="269" w:lineRule="auto"/>
            </w:pPr>
            <w:r/>
            <w:r>
              <w:rPr>
                <w:rFonts w:ascii="Calibri" w:hAnsi="Calibri"/>
                <w:b w:val="0"/>
                <w:sz w:val="16"/>
              </w:rPr>
              <w:t>21 CFR Part 11</w:t>
            </w:r>
          </w:p>
        </w:tc>
        <w:tc>
          <w:tcPr>
            <w:tcW w:type="dxa" w:w="1560"/>
          </w:tcPr>
          <w:p>
            <w:pPr>
              <w:spacing w:after="0" w:line="269" w:lineRule="auto"/>
            </w:pPr>
            <w:r/>
            <w:r>
              <w:rPr>
                <w:rFonts w:ascii="Calibri" w:hAnsi="Calibri"/>
                <w:b w:val="0"/>
                <w:sz w:val="16"/>
              </w:rPr>
              <w:t>6-8 weeks</w:t>
            </w:r>
          </w:p>
        </w:tc>
      </w:tr>
      <w:tr>
        <w:tc>
          <w:tcPr>
            <w:tcW w:type="dxa" w:w="1560"/>
          </w:tcPr>
          <w:p>
            <w:pPr>
              <w:spacing w:after="0" w:line="269" w:lineRule="auto"/>
            </w:pPr>
            <w:r/>
            <w:r>
              <w:rPr>
                <w:rFonts w:ascii="Calibri" w:hAnsi="Calibri"/>
                <w:b w:val="0"/>
                <w:sz w:val="16"/>
              </w:rPr>
              <w:t>MPATS</w:t>
            </w:r>
          </w:p>
        </w:tc>
        <w:tc>
          <w:tcPr>
            <w:tcW w:type="dxa" w:w="1560"/>
          </w:tcPr>
          <w:p>
            <w:pPr>
              <w:spacing w:after="0" w:line="269" w:lineRule="auto"/>
            </w:pPr>
            <w:r/>
            <w:r>
              <w:rPr>
                <w:rFonts w:ascii="Calibri" w:hAnsi="Calibri"/>
                <w:b w:val="0"/>
                <w:sz w:val="16"/>
              </w:rPr>
              <w:t>/products/MPATS/</w:t>
            </w:r>
          </w:p>
        </w:tc>
        <w:tc>
          <w:tcPr>
            <w:tcW w:type="dxa" w:w="1560"/>
          </w:tcPr>
          <w:p>
            <w:pPr>
              <w:spacing w:after="0" w:line="269" w:lineRule="auto"/>
            </w:pPr>
            <w:r/>
            <w:r>
              <w:rPr>
                <w:rFonts w:ascii="Calibri" w:hAnsi="Calibri"/>
                <w:b w:val="0"/>
                <w:sz w:val="16"/>
              </w:rPr>
              <w:t>Media plate lifecycle &amp; reconciliation</w:t>
            </w:r>
          </w:p>
        </w:tc>
        <w:tc>
          <w:tcPr>
            <w:tcW w:type="dxa" w:w="1560"/>
          </w:tcPr>
          <w:p>
            <w:pPr>
              <w:spacing w:after="0" w:line="269" w:lineRule="auto"/>
            </w:pPr>
            <w:r/>
            <w:r>
              <w:rPr>
                <w:rFonts w:ascii="Calibri" w:hAnsi="Calibri"/>
                <w:b w:val="0"/>
                <w:sz w:val="16"/>
              </w:rPr>
              <w:t>QC Microbiology, QA</w:t>
            </w:r>
          </w:p>
        </w:tc>
        <w:tc>
          <w:tcPr>
            <w:tcW w:type="dxa" w:w="1560"/>
          </w:tcPr>
          <w:p>
            <w:pPr>
              <w:spacing w:after="0" w:line="269" w:lineRule="auto"/>
            </w:pPr>
            <w:r/>
            <w:r>
              <w:rPr>
                <w:rFonts w:ascii="Calibri" w:hAnsi="Calibri"/>
                <w:b w:val="0"/>
                <w:sz w:val="16"/>
              </w:rPr>
              <w:t>21 CFR Part 11, EU GMP Annex 1</w:t>
            </w:r>
          </w:p>
        </w:tc>
        <w:tc>
          <w:tcPr>
            <w:tcW w:type="dxa" w:w="1560"/>
          </w:tcPr>
          <w:p>
            <w:pPr>
              <w:spacing w:after="0" w:line="269" w:lineRule="auto"/>
            </w:pPr>
            <w:r/>
            <w:r>
              <w:rPr>
                <w:rFonts w:ascii="Calibri" w:hAnsi="Calibri"/>
                <w:b w:val="0"/>
                <w:sz w:val="16"/>
              </w:rPr>
              <w:t>10-14 weeks</w:t>
            </w:r>
          </w:p>
        </w:tc>
      </w:tr>
      <w:tr>
        <w:tc>
          <w:tcPr>
            <w:tcW w:type="dxa" w:w="1560"/>
          </w:tcPr>
          <w:p>
            <w:pPr>
              <w:spacing w:after="0" w:line="269" w:lineRule="auto"/>
            </w:pPr>
            <w:r/>
            <w:r>
              <w:rPr>
                <w:rFonts w:ascii="Calibri" w:hAnsi="Calibri"/>
                <w:b w:val="0"/>
                <w:sz w:val="16"/>
              </w:rPr>
              <w:t>IVBLT</w:t>
            </w:r>
          </w:p>
        </w:tc>
        <w:tc>
          <w:tcPr>
            <w:tcW w:type="dxa" w:w="1560"/>
          </w:tcPr>
          <w:p>
            <w:pPr>
              <w:spacing w:after="0" w:line="269" w:lineRule="auto"/>
            </w:pPr>
            <w:r/>
            <w:r>
              <w:rPr>
                <w:rFonts w:ascii="Calibri" w:hAnsi="Calibri"/>
                <w:b w:val="0"/>
                <w:sz w:val="16"/>
              </w:rPr>
              <w:t>/products/ivblt</w:t>
            </w:r>
          </w:p>
        </w:tc>
        <w:tc>
          <w:tcPr>
            <w:tcW w:type="dxa" w:w="1560"/>
          </w:tcPr>
          <w:p>
            <w:pPr>
              <w:spacing w:after="0" w:line="269" w:lineRule="auto"/>
            </w:pPr>
            <w:r/>
            <w:r>
              <w:rPr>
                <w:rFonts w:ascii="Calibri" w:hAnsi="Calibri"/>
                <w:b w:val="0"/>
                <w:sz w:val="16"/>
              </w:rPr>
              <w:t>IV bag integrity testing records</w:t>
            </w:r>
          </w:p>
        </w:tc>
        <w:tc>
          <w:tcPr>
            <w:tcW w:type="dxa" w:w="1560"/>
          </w:tcPr>
          <w:p>
            <w:pPr>
              <w:spacing w:after="0" w:line="269" w:lineRule="auto"/>
            </w:pPr>
            <w:r/>
            <w:r>
              <w:rPr>
                <w:rFonts w:ascii="Calibri" w:hAnsi="Calibri"/>
                <w:b w:val="0"/>
                <w:sz w:val="16"/>
              </w:rPr>
              <w:t>QC, Production</w:t>
            </w:r>
          </w:p>
        </w:tc>
        <w:tc>
          <w:tcPr>
            <w:tcW w:type="dxa" w:w="1560"/>
          </w:tcPr>
          <w:p>
            <w:pPr>
              <w:spacing w:after="0" w:line="269" w:lineRule="auto"/>
            </w:pPr>
            <w:r/>
            <w:r>
              <w:rPr>
                <w:rFonts w:ascii="Calibri" w:hAnsi="Calibri"/>
                <w:b w:val="0"/>
                <w:sz w:val="16"/>
              </w:rPr>
              <w:t>21 CFR Part 11</w:t>
            </w:r>
          </w:p>
        </w:tc>
        <w:tc>
          <w:tcPr>
            <w:tcW w:type="dxa" w:w="1560"/>
          </w:tcPr>
          <w:p>
            <w:pPr>
              <w:spacing w:after="0" w:line="269" w:lineRule="auto"/>
            </w:pPr>
            <w:r/>
            <w:r>
              <w:rPr>
                <w:rFonts w:ascii="Calibri" w:hAnsi="Calibri"/>
                <w:b w:val="0"/>
                <w:sz w:val="16"/>
              </w:rPr>
              <w:t>6-8 weeks</w:t>
            </w:r>
          </w:p>
        </w:tc>
      </w:tr>
    </w:tbl>
    <w:p/>
    <w:p>
      <w:pPr>
        <w:pStyle w:val="Heading2"/>
      </w:pPr>
      <w:r>
        <w:rPr>
          <w:rFonts w:ascii="Calibri" w:hAnsi="Calibri"/>
          <w:b/>
          <w:color w:val="2E74B5"/>
          <w:sz w:val="26"/>
        </w:rPr>
        <w:t>CTA</w:t>
      </w:r>
    </w:p>
    <w:p>
      <w:pPr>
        <w:spacing w:after="120" w:line="300" w:lineRule="auto"/>
      </w:pPr>
      <w:r>
        <w:rPr>
          <w:rFonts w:ascii="Calibri" w:hAnsi="Calibri"/>
          <w:b/>
        </w:rPr>
        <w:t xml:space="preserve">Headline: </w:t>
      </w:r>
      <w:r>
        <w:rPr>
          <w:rFonts w:ascii="Calibri" w:hAnsi="Calibri"/>
          <w:i w:val="0"/>
        </w:rPr>
        <w:t>Not sure which product fits your facility's biggest compliance gap?</w:t>
      </w:r>
    </w:p>
    <w:p>
      <w:pPr>
        <w:spacing w:after="120" w:line="300" w:lineRule="auto"/>
      </w:pPr>
      <w:r>
        <w:rPr>
          <w:rFonts w:ascii="Calibri" w:hAnsi="Calibri"/>
          <w:b/>
        </w:rPr>
        <w:t xml:space="preserve">Copy: </w:t>
      </w:r>
      <w:r>
        <w:rPr>
          <w:rFonts w:ascii="Calibri" w:hAnsi="Calibri"/>
          <w:i w:val="0"/>
        </w:rPr>
        <w:t>Our team will map your GMP workflows to the right Mactus system - no sales pressure, just a straight answer.</w:t>
      </w:r>
    </w:p>
    <w:p>
      <w:pPr>
        <w:spacing w:after="120" w:line="300" w:lineRule="auto"/>
      </w:pPr>
      <w:r>
        <w:rPr>
          <w:rFonts w:ascii="Calibri" w:hAnsi="Calibri"/>
          <w:b/>
        </w:rPr>
        <w:t xml:space="preserve">CTA label: </w:t>
      </w:r>
      <w:r>
        <w:rPr>
          <w:rFonts w:ascii="Calibri" w:hAnsi="Calibri"/>
          <w:i w:val="0"/>
        </w:rPr>
        <w:t>Talk to a Compliance Expert</w:t>
      </w:r>
    </w:p>
    <w:p>
      <w:pPr>
        <w:spacing w:after="120" w:line="300" w:lineRule="auto"/>
      </w:pPr>
      <w:r>
        <w:rPr>
          <w:rFonts w:ascii="Calibri" w:hAnsi="Calibri"/>
          <w:b/>
        </w:rPr>
        <w:t xml:space="preserve">CTA link: </w:t>
      </w:r>
      <w:r>
        <w:rPr>
          <w:rFonts w:ascii="Calibri" w:hAnsi="Calibri"/>
          <w:i w:val="0"/>
        </w:rPr>
        <w:t>/contact-us/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5C5C"/>
        <w:sz w:val="18"/>
      </w:rPr>
      <w:t>Mactus Contact + Compliance Products Content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Mactus Contact and Compliance Products Content Version</dc:title>
  <dc:subject>Version snapshot for Contact Us and Compliance Products pages in the Mactus web application</dc:subject>
  <dc:creator>Codex</dc:creator>
  <cp:keywords/>
  <dc:description>Generated from src/pages/Contactus.jsx and src/pages/Complianceproductspage.jsx.</dc:description>
  <cp:lastModifiedBy/>
  <cp:revision>1</cp:revision>
  <dcterms:created xsi:type="dcterms:W3CDTF">2013-12-23T23:15:00Z</dcterms:created>
  <dcterms:modified xsi:type="dcterms:W3CDTF">2013-12-23T23:15:00Z</dcterms:modified>
  <cp:category/>
</cp:coreProperties>
</file>