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9DBE2" w14:textId="77777777" w:rsidR="00104E7C" w:rsidRPr="00104E7C" w:rsidRDefault="00104E7C" w:rsidP="00104E7C">
      <w:pPr>
        <w:shd w:val="clear" w:color="auto" w:fill="00224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FFFFF"/>
          <w:kern w:val="0"/>
          <w:sz w:val="48"/>
          <w:szCs w:val="48"/>
          <w:lang w:eastAsia="en-CA"/>
          <w14:ligatures w14:val="none"/>
        </w:rPr>
      </w:pPr>
      <w:r w:rsidRPr="00104E7C">
        <w:rPr>
          <w:rFonts w:ascii="Arial" w:eastAsia="Times New Roman" w:hAnsi="Arial" w:cs="Arial"/>
          <w:color w:val="FFFFFF"/>
          <w:kern w:val="0"/>
          <w:sz w:val="48"/>
          <w:szCs w:val="48"/>
          <w:lang w:eastAsia="en-CA"/>
          <w14:ligatures w14:val="none"/>
        </w:rPr>
        <w:t>Mayo Clinic Primary Biliary Cholangitis Data</w:t>
      </w:r>
    </w:p>
    <w:p w14:paraId="59F531F6" w14:textId="77777777" w:rsidR="00104E7C" w:rsidRPr="00104E7C" w:rsidRDefault="00104E7C" w:rsidP="00104E7C">
      <w:pPr>
        <w:shd w:val="clear" w:color="auto" w:fill="00224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27"/>
          <w:szCs w:val="27"/>
          <w:lang w:eastAsia="en-CA"/>
          <w14:ligatures w14:val="none"/>
        </w:rPr>
      </w:pPr>
      <w:r w:rsidRPr="00104E7C">
        <w:rPr>
          <w:rFonts w:ascii="Arial" w:eastAsia="Times New Roman" w:hAnsi="Arial" w:cs="Arial"/>
          <w:b/>
          <w:bCs/>
          <w:color w:val="FFFFFF"/>
          <w:kern w:val="0"/>
          <w:sz w:val="27"/>
          <w:szCs w:val="27"/>
          <w:lang w:eastAsia="en-CA"/>
          <w14:ligatures w14:val="none"/>
        </w:rPr>
        <w:t>Description</w:t>
      </w:r>
    </w:p>
    <w:p w14:paraId="2E8A816F" w14:textId="77777777" w:rsidR="00104E7C" w:rsidRPr="00104E7C" w:rsidRDefault="00104E7C" w:rsidP="00104E7C">
      <w:pPr>
        <w:shd w:val="clear" w:color="auto" w:fill="00224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</w:pPr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 xml:space="preserve">Primary sclerosing cholangitis is an autoimmune disease leading to destruction of the small bile ducts in the liver. Progression is slow but </w:t>
      </w:r>
      <w:proofErr w:type="spellStart"/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>inexhortable</w:t>
      </w:r>
      <w:proofErr w:type="spellEnd"/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>, eventually leading to cirrhosis and liver decompensation. The condition has been recognised since at least 1851 and was named "primary biliary cirrhosis" in 1949. Because cirrhosis is a feature only of advanced disease, a change of its name to "primary biliary cholangitis" was proposed by patient advocacy groups in 2014.</w:t>
      </w:r>
    </w:p>
    <w:p w14:paraId="12945BB7" w14:textId="77777777" w:rsidR="00104E7C" w:rsidRPr="00104E7C" w:rsidRDefault="00104E7C" w:rsidP="00104E7C">
      <w:pPr>
        <w:shd w:val="clear" w:color="auto" w:fill="00224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</w:pPr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 xml:space="preserve">This data is from the Mayo Clinic trial in PBC conducted between 1974 and 1984. A total of 424 PBC patients, referred to Mayo Clinic during that ten-year interval, met eligibility criteria for the randomized </w:t>
      </w:r>
      <w:proofErr w:type="gramStart"/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>placebo controlled</w:t>
      </w:r>
      <w:proofErr w:type="gramEnd"/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 xml:space="preserve"> trial of the drug D-penicillamine. The first 312 cases in the data set participated in the randomized trial and contain largely complete data. The additional 112 cases did not participate in the clinical </w:t>
      </w:r>
      <w:proofErr w:type="gramStart"/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>trial, but</w:t>
      </w:r>
      <w:proofErr w:type="gramEnd"/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 xml:space="preserve"> consented to have basic measurements recorded and to be followed for survival. Six of those cases were lost to follow-up shortly after diagnosis, so the data here are on an additional 106 cases as well as the 312 randomized participants.</w:t>
      </w:r>
    </w:p>
    <w:p w14:paraId="608F2D88" w14:textId="77777777" w:rsidR="00104E7C" w:rsidRPr="00104E7C" w:rsidRDefault="00104E7C" w:rsidP="00104E7C">
      <w:pPr>
        <w:shd w:val="clear" w:color="auto" w:fill="00224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</w:pPr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>A nearly identical data set found in appendix D of Fleming and Harrington; this version has fewer missing values.</w:t>
      </w:r>
    </w:p>
    <w:p w14:paraId="6FD2A121" w14:textId="77777777" w:rsidR="00104E7C" w:rsidRPr="00104E7C" w:rsidRDefault="00104E7C" w:rsidP="00104E7C">
      <w:pPr>
        <w:shd w:val="clear" w:color="auto" w:fill="00224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27"/>
          <w:szCs w:val="27"/>
          <w:lang w:eastAsia="en-CA"/>
          <w14:ligatures w14:val="none"/>
        </w:rPr>
      </w:pPr>
      <w:r w:rsidRPr="00104E7C">
        <w:rPr>
          <w:rFonts w:ascii="Arial" w:eastAsia="Times New Roman" w:hAnsi="Arial" w:cs="Arial"/>
          <w:b/>
          <w:bCs/>
          <w:color w:val="FFFFFF"/>
          <w:kern w:val="0"/>
          <w:sz w:val="27"/>
          <w:szCs w:val="27"/>
          <w:lang w:eastAsia="en-CA"/>
          <w14:ligatures w14:val="none"/>
        </w:rPr>
        <w:t>Usage</w:t>
      </w:r>
    </w:p>
    <w:p w14:paraId="7E7C7050" w14:textId="77777777" w:rsidR="00104E7C" w:rsidRPr="00104E7C" w:rsidRDefault="00104E7C" w:rsidP="00104E7C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kern w:val="0"/>
          <w:sz w:val="20"/>
          <w:szCs w:val="20"/>
          <w:shd w:val="clear" w:color="auto" w:fill="1F1F1F"/>
          <w:lang w:eastAsia="en-CA"/>
          <w14:ligatures w14:val="none"/>
        </w:rPr>
      </w:pPr>
      <w:proofErr w:type="spellStart"/>
      <w:r w:rsidRPr="00104E7C">
        <w:rPr>
          <w:rFonts w:ascii="Courier New" w:eastAsia="Times New Roman" w:hAnsi="Courier New" w:cs="Courier New"/>
          <w:color w:val="F0F0F0"/>
          <w:kern w:val="0"/>
          <w:sz w:val="20"/>
          <w:szCs w:val="20"/>
          <w:shd w:val="clear" w:color="auto" w:fill="1F1F1F"/>
          <w:lang w:eastAsia="en-CA"/>
          <w14:ligatures w14:val="none"/>
        </w:rPr>
        <w:t>pbc</w:t>
      </w:r>
      <w:proofErr w:type="spellEnd"/>
    </w:p>
    <w:p w14:paraId="06ED9AB0" w14:textId="77777777" w:rsidR="00104E7C" w:rsidRPr="00104E7C" w:rsidRDefault="00104E7C" w:rsidP="00104E7C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kern w:val="0"/>
          <w:sz w:val="20"/>
          <w:szCs w:val="20"/>
          <w:shd w:val="clear" w:color="auto" w:fill="1F1F1F"/>
          <w:lang w:eastAsia="en-CA"/>
          <w14:ligatures w14:val="none"/>
        </w:rPr>
      </w:pPr>
      <w:proofErr w:type="gramStart"/>
      <w:r w:rsidRPr="00104E7C">
        <w:rPr>
          <w:rFonts w:ascii="Courier New" w:eastAsia="Times New Roman" w:hAnsi="Courier New" w:cs="Courier New"/>
          <w:color w:val="F0F0F0"/>
          <w:kern w:val="0"/>
          <w:sz w:val="20"/>
          <w:szCs w:val="20"/>
          <w:shd w:val="clear" w:color="auto" w:fill="1F1F1F"/>
          <w:lang w:eastAsia="en-CA"/>
          <w14:ligatures w14:val="none"/>
        </w:rPr>
        <w:t>data</w:t>
      </w:r>
      <w:r w:rsidRPr="00104E7C">
        <w:rPr>
          <w:rFonts w:ascii="Courier New" w:eastAsia="Times New Roman" w:hAnsi="Courier New" w:cs="Courier New"/>
          <w:color w:val="999999"/>
          <w:kern w:val="0"/>
          <w:sz w:val="20"/>
          <w:szCs w:val="20"/>
          <w:shd w:val="clear" w:color="auto" w:fill="1F1F1F"/>
          <w:lang w:eastAsia="en-CA"/>
          <w14:ligatures w14:val="none"/>
        </w:rPr>
        <w:t>(</w:t>
      </w:r>
      <w:proofErr w:type="spellStart"/>
      <w:proofErr w:type="gramEnd"/>
      <w:r w:rsidRPr="00104E7C">
        <w:rPr>
          <w:rFonts w:ascii="Courier New" w:eastAsia="Times New Roman" w:hAnsi="Courier New" w:cs="Courier New"/>
          <w:color w:val="F0F0F0"/>
          <w:kern w:val="0"/>
          <w:sz w:val="20"/>
          <w:szCs w:val="20"/>
          <w:shd w:val="clear" w:color="auto" w:fill="1F1F1F"/>
          <w:lang w:eastAsia="en-CA"/>
          <w14:ligatures w14:val="none"/>
        </w:rPr>
        <w:t>pbc</w:t>
      </w:r>
      <w:proofErr w:type="spellEnd"/>
      <w:r w:rsidRPr="00104E7C">
        <w:rPr>
          <w:rFonts w:ascii="Courier New" w:eastAsia="Times New Roman" w:hAnsi="Courier New" w:cs="Courier New"/>
          <w:color w:val="999999"/>
          <w:kern w:val="0"/>
          <w:sz w:val="20"/>
          <w:szCs w:val="20"/>
          <w:shd w:val="clear" w:color="auto" w:fill="1F1F1F"/>
          <w:lang w:eastAsia="en-CA"/>
          <w14:ligatures w14:val="none"/>
        </w:rPr>
        <w:t>,</w:t>
      </w:r>
      <w:r w:rsidRPr="00104E7C">
        <w:rPr>
          <w:rFonts w:ascii="Courier New" w:eastAsia="Times New Roman" w:hAnsi="Courier New" w:cs="Courier New"/>
          <w:color w:val="F0F0F0"/>
          <w:kern w:val="0"/>
          <w:sz w:val="20"/>
          <w:szCs w:val="20"/>
          <w:shd w:val="clear" w:color="auto" w:fill="1F1F1F"/>
          <w:lang w:eastAsia="en-CA"/>
          <w14:ligatures w14:val="none"/>
        </w:rPr>
        <w:t xml:space="preserve"> package</w:t>
      </w:r>
      <w:r w:rsidRPr="00104E7C">
        <w:rPr>
          <w:rFonts w:ascii="Courier New" w:eastAsia="Times New Roman" w:hAnsi="Courier New" w:cs="Courier New"/>
          <w:color w:val="9A6E3A"/>
          <w:kern w:val="0"/>
          <w:sz w:val="20"/>
          <w:szCs w:val="20"/>
          <w:shd w:val="clear" w:color="auto" w:fill="1F1F1F"/>
          <w:lang w:eastAsia="en-CA"/>
          <w14:ligatures w14:val="none"/>
        </w:rPr>
        <w:t>=</w:t>
      </w:r>
      <w:r w:rsidRPr="00104E7C">
        <w:rPr>
          <w:rFonts w:ascii="Courier New" w:eastAsia="Times New Roman" w:hAnsi="Courier New" w:cs="Courier New"/>
          <w:color w:val="669900"/>
          <w:kern w:val="0"/>
          <w:sz w:val="20"/>
          <w:szCs w:val="20"/>
          <w:shd w:val="clear" w:color="auto" w:fill="1F1F1F"/>
          <w:lang w:eastAsia="en-CA"/>
          <w14:ligatures w14:val="none"/>
        </w:rPr>
        <w:t>"survival"</w:t>
      </w:r>
      <w:r w:rsidRPr="00104E7C">
        <w:rPr>
          <w:rFonts w:ascii="Courier New" w:eastAsia="Times New Roman" w:hAnsi="Courier New" w:cs="Courier New"/>
          <w:color w:val="999999"/>
          <w:kern w:val="0"/>
          <w:sz w:val="20"/>
          <w:szCs w:val="20"/>
          <w:shd w:val="clear" w:color="auto" w:fill="1F1F1F"/>
          <w:lang w:eastAsia="en-CA"/>
          <w14:ligatures w14:val="none"/>
        </w:rPr>
        <w:t>)</w:t>
      </w:r>
    </w:p>
    <w:p w14:paraId="6453FB85" w14:textId="77777777" w:rsidR="00104E7C" w:rsidRPr="00104E7C" w:rsidRDefault="00104E7C" w:rsidP="00104E7C">
      <w:pPr>
        <w:shd w:val="clear" w:color="auto" w:fill="00224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27"/>
          <w:szCs w:val="27"/>
          <w:lang w:eastAsia="en-CA"/>
          <w14:ligatures w14:val="none"/>
        </w:rPr>
      </w:pPr>
      <w:r w:rsidRPr="00104E7C">
        <w:rPr>
          <w:rFonts w:ascii="Arial" w:eastAsia="Times New Roman" w:hAnsi="Arial" w:cs="Arial"/>
          <w:b/>
          <w:bCs/>
          <w:color w:val="FFFFFF"/>
          <w:kern w:val="0"/>
          <w:sz w:val="27"/>
          <w:szCs w:val="27"/>
          <w:lang w:eastAsia="en-CA"/>
          <w14:ligatures w14:val="none"/>
        </w:rPr>
        <w:t>Format</w:t>
      </w:r>
    </w:p>
    <w:tbl>
      <w:tblPr>
        <w:tblW w:w="0" w:type="auto"/>
        <w:tblCellSpacing w:w="15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5479"/>
      </w:tblGrid>
      <w:tr w:rsidR="00104E7C" w:rsidRPr="00104E7C" w14:paraId="2B10CBE8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04E51641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63937588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in years</w:t>
            </w:r>
          </w:p>
        </w:tc>
      </w:tr>
      <w:tr w:rsidR="00104E7C" w:rsidRPr="00104E7C" w14:paraId="0DCC9B36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3E6B5388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albumin: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3670507D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serum albumin (g/dl)</w:t>
            </w:r>
          </w:p>
        </w:tc>
      </w:tr>
      <w:tr w:rsidR="00104E7C" w:rsidRPr="00104E7C" w14:paraId="76147AC0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7D6B2B40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proofErr w:type="gramStart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alk.phos</w:t>
            </w:r>
            <w:proofErr w:type="spellEnd"/>
            <w:proofErr w:type="gramEnd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13671EC7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 xml:space="preserve">alkaline </w:t>
            </w:r>
            <w:proofErr w:type="spellStart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phosphotase</w:t>
            </w:r>
            <w:proofErr w:type="spellEnd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 xml:space="preserve"> (U/liter)</w:t>
            </w:r>
          </w:p>
        </w:tc>
      </w:tr>
      <w:tr w:rsidR="00104E7C" w:rsidRPr="00104E7C" w14:paraId="3BC8A6BE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0AB61C60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ascites: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076B55D6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presence of ascites</w:t>
            </w:r>
          </w:p>
        </w:tc>
      </w:tr>
      <w:tr w:rsidR="00104E7C" w:rsidRPr="00104E7C" w14:paraId="7A326C1C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1BB1A31D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ast</w:t>
            </w:r>
            <w:proofErr w:type="spellEnd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08CB4C15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aspartate aminotransferase, once called SGOT (U/ml)</w:t>
            </w:r>
          </w:p>
        </w:tc>
      </w:tr>
      <w:tr w:rsidR="00104E7C" w:rsidRPr="00104E7C" w14:paraId="6227C49C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7B6A6DFF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bili</w:t>
            </w:r>
            <w:proofErr w:type="spellEnd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3D0ACB58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 xml:space="preserve">serum </w:t>
            </w:r>
            <w:proofErr w:type="spellStart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bilirunbin</w:t>
            </w:r>
            <w:proofErr w:type="spellEnd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 xml:space="preserve"> (mg/dl)</w:t>
            </w:r>
          </w:p>
        </w:tc>
      </w:tr>
      <w:tr w:rsidR="00104E7C" w:rsidRPr="00104E7C" w14:paraId="53C1544A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2AAE861D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chol</w:t>
            </w:r>
            <w:proofErr w:type="spellEnd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045BE087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serum cholesterol (mg/dl)</w:t>
            </w:r>
          </w:p>
        </w:tc>
      </w:tr>
      <w:tr w:rsidR="00104E7C" w:rsidRPr="00104E7C" w14:paraId="6FDECBCF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3ACB6C08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copper: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28FC3DE2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urine copper (ug/day)</w:t>
            </w:r>
          </w:p>
        </w:tc>
      </w:tr>
      <w:tr w:rsidR="00104E7C" w:rsidRPr="00104E7C" w14:paraId="35D68F21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513DB3B1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edema: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472371EE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0 no edema, 0.5 untreated or successfully treated</w:t>
            </w:r>
          </w:p>
        </w:tc>
      </w:tr>
      <w:tr w:rsidR="00104E7C" w:rsidRPr="00104E7C" w14:paraId="03B4243B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033DAC66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700B7C80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1 edema despite diuretic therapy</w:t>
            </w:r>
          </w:p>
        </w:tc>
      </w:tr>
      <w:tr w:rsidR="00104E7C" w:rsidRPr="00104E7C" w14:paraId="69EE00B8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30DE9ADD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hepato</w:t>
            </w:r>
            <w:proofErr w:type="spellEnd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66E7E94C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presence of hepatomegaly or enlarged liver</w:t>
            </w:r>
          </w:p>
        </w:tc>
      </w:tr>
      <w:tr w:rsidR="00104E7C" w:rsidRPr="00104E7C" w14:paraId="7DF411C3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6A9E7333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id: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5BB65BFE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case number</w:t>
            </w:r>
          </w:p>
        </w:tc>
      </w:tr>
      <w:tr w:rsidR="00104E7C" w:rsidRPr="00104E7C" w14:paraId="528CB3BF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175A54A9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platelet: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7F6EA3BE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platelet count</w:t>
            </w:r>
          </w:p>
        </w:tc>
      </w:tr>
      <w:tr w:rsidR="00104E7C" w:rsidRPr="00104E7C" w14:paraId="4BF78A32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7AD88CCF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protime</w:t>
            </w:r>
            <w:proofErr w:type="spellEnd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609EED04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standardised blood clotting time</w:t>
            </w:r>
          </w:p>
        </w:tc>
      </w:tr>
      <w:tr w:rsidR="00104E7C" w:rsidRPr="00104E7C" w14:paraId="0115CB77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727D6E89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sex: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51067DD2" w14:textId="35ECE2E5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m/f</w:t>
            </w:r>
            <w:r w:rsidR="00A753A7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 xml:space="preserve"> (1: male; 0: female)</w:t>
            </w:r>
          </w:p>
        </w:tc>
      </w:tr>
      <w:tr w:rsidR="00104E7C" w:rsidRPr="00104E7C" w14:paraId="6CFB02E9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3C2B5678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spiders: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65A102F3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blood vessel malformations in the skin</w:t>
            </w:r>
          </w:p>
        </w:tc>
      </w:tr>
      <w:tr w:rsidR="00104E7C" w:rsidRPr="00104E7C" w14:paraId="3B6F6EFB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74AB8E4A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stage: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747EB194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histologic stage of disease (needs biopsy)</w:t>
            </w:r>
          </w:p>
        </w:tc>
      </w:tr>
      <w:tr w:rsidR="00104E7C" w:rsidRPr="00104E7C" w14:paraId="7068ABE4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3D016288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lastRenderedPageBreak/>
              <w:t>status: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792DE2F4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status at endpoint, 0/1/2 for censored, transplant, dead</w:t>
            </w:r>
          </w:p>
        </w:tc>
      </w:tr>
      <w:tr w:rsidR="00104E7C" w:rsidRPr="00104E7C" w14:paraId="5A2EFE7E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7A973067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1528D2E3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number of days between registration and the earlier of death,</w:t>
            </w:r>
          </w:p>
        </w:tc>
      </w:tr>
      <w:tr w:rsidR="00104E7C" w:rsidRPr="00104E7C" w14:paraId="208923FB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57E6122C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3053F921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transplantion</w:t>
            </w:r>
            <w:proofErr w:type="spellEnd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, or study analysis in July, 1986</w:t>
            </w:r>
          </w:p>
        </w:tc>
      </w:tr>
      <w:tr w:rsidR="00104E7C" w:rsidRPr="00104E7C" w14:paraId="1C7881AE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4836287A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trt</w:t>
            </w:r>
            <w:proofErr w:type="spellEnd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60BBB76C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1/2/NA for D-</w:t>
            </w:r>
            <w:proofErr w:type="spellStart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penicillmain</w:t>
            </w:r>
            <w:proofErr w:type="spellEnd"/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, placebo, not randomised</w:t>
            </w:r>
          </w:p>
        </w:tc>
      </w:tr>
      <w:tr w:rsidR="00104E7C" w:rsidRPr="00104E7C" w14:paraId="61D5A17B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5613A2B6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trig: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4A560A4A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  <w:r w:rsidRPr="00104E7C"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  <w:t>triglycerides (mg/dl)</w:t>
            </w:r>
          </w:p>
        </w:tc>
      </w:tr>
      <w:tr w:rsidR="00104E7C" w:rsidRPr="00104E7C" w14:paraId="3E2E5929" w14:textId="77777777" w:rsidTr="00104E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2240"/>
            <w:vAlign w:val="center"/>
            <w:hideMark/>
          </w:tcPr>
          <w:p w14:paraId="5BA0DB66" w14:textId="77777777" w:rsidR="00104E7C" w:rsidRPr="00104E7C" w:rsidRDefault="00104E7C" w:rsidP="00104E7C">
            <w:pPr>
              <w:spacing w:after="0" w:line="240" w:lineRule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shd w:val="clear" w:color="auto" w:fill="002240"/>
            <w:vAlign w:val="center"/>
            <w:hideMark/>
          </w:tcPr>
          <w:p w14:paraId="450DD197" w14:textId="77777777" w:rsidR="00104E7C" w:rsidRPr="00104E7C" w:rsidRDefault="00104E7C" w:rsidP="00104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</w:tbl>
    <w:p w14:paraId="131F426E" w14:textId="77777777" w:rsidR="00104E7C" w:rsidRPr="00104E7C" w:rsidRDefault="00104E7C" w:rsidP="00104E7C">
      <w:pPr>
        <w:shd w:val="clear" w:color="auto" w:fill="002240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FFFFF"/>
          <w:kern w:val="0"/>
          <w:sz w:val="27"/>
          <w:szCs w:val="27"/>
          <w:lang w:eastAsia="en-CA"/>
          <w14:ligatures w14:val="none"/>
        </w:rPr>
      </w:pPr>
      <w:r w:rsidRPr="00104E7C">
        <w:rPr>
          <w:rFonts w:ascii="Arial" w:eastAsia="Times New Roman" w:hAnsi="Arial" w:cs="Arial"/>
          <w:b/>
          <w:bCs/>
          <w:color w:val="FFFFFF"/>
          <w:kern w:val="0"/>
          <w:sz w:val="27"/>
          <w:szCs w:val="27"/>
          <w:lang w:eastAsia="en-CA"/>
          <w14:ligatures w14:val="none"/>
        </w:rPr>
        <w:t>Source</w:t>
      </w:r>
    </w:p>
    <w:p w14:paraId="314422D8" w14:textId="77777777" w:rsidR="00104E7C" w:rsidRPr="00104E7C" w:rsidRDefault="00104E7C" w:rsidP="00104E7C">
      <w:pPr>
        <w:shd w:val="clear" w:color="auto" w:fill="00224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</w:pPr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 xml:space="preserve">T </w:t>
      </w:r>
      <w:proofErr w:type="spellStart"/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>Therneau</w:t>
      </w:r>
      <w:proofErr w:type="spellEnd"/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 xml:space="preserve"> and P </w:t>
      </w:r>
      <w:proofErr w:type="spellStart"/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>Grambsch</w:t>
      </w:r>
      <w:proofErr w:type="spellEnd"/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 xml:space="preserve"> (2000), </w:t>
      </w:r>
      <w:r w:rsidRPr="00104E7C">
        <w:rPr>
          <w:rFonts w:ascii="Arial" w:eastAsia="Times New Roman" w:hAnsi="Arial" w:cs="Arial"/>
          <w:i/>
          <w:iCs/>
          <w:color w:val="FFFFFF"/>
          <w:kern w:val="0"/>
          <w:sz w:val="20"/>
          <w:szCs w:val="20"/>
          <w:lang w:eastAsia="en-CA"/>
          <w14:ligatures w14:val="none"/>
        </w:rPr>
        <w:t>Modeling Survival Data: Extending the Cox Model</w:t>
      </w:r>
      <w:r w:rsidRPr="00104E7C">
        <w:rPr>
          <w:rFonts w:ascii="Arial" w:eastAsia="Times New Roman" w:hAnsi="Arial" w:cs="Arial"/>
          <w:color w:val="FFFFFF"/>
          <w:kern w:val="0"/>
          <w:sz w:val="20"/>
          <w:szCs w:val="20"/>
          <w:lang w:eastAsia="en-CA"/>
          <w14:ligatures w14:val="none"/>
        </w:rPr>
        <w:t>, Springer-Verlag, New York. ISBN: 0-387-98784-3.</w:t>
      </w:r>
    </w:p>
    <w:p w14:paraId="28C974E4" w14:textId="77777777" w:rsidR="00084CB9" w:rsidRDefault="00084CB9"/>
    <w:sectPr w:rsidR="00084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B4"/>
    <w:rsid w:val="00084CB9"/>
    <w:rsid w:val="00104E7C"/>
    <w:rsid w:val="00123405"/>
    <w:rsid w:val="003347ED"/>
    <w:rsid w:val="00727964"/>
    <w:rsid w:val="00953EB4"/>
    <w:rsid w:val="00A753A7"/>
    <w:rsid w:val="00D1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DC28"/>
  <w15:chartTrackingRefBased/>
  <w15:docId w15:val="{E22D7B9F-D644-4ED0-AEE4-499EB90C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3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3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E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E7C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4E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4E7C"/>
  </w:style>
  <w:style w:type="character" w:styleId="Emphasis">
    <w:name w:val="Emphasis"/>
    <w:basedOn w:val="DefaultParagraphFont"/>
    <w:uiPriority w:val="20"/>
    <w:qFormat/>
    <w:rsid w:val="00104E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403">
          <w:marLeft w:val="0"/>
          <w:marRight w:val="0"/>
          <w:marTop w:val="0"/>
          <w:marBottom w:val="0"/>
          <w:divBdr>
            <w:top w:val="single" w:sz="12" w:space="2" w:color="1F1F1F"/>
            <w:left w:val="single" w:sz="12" w:space="5" w:color="1F1F1F"/>
            <w:bottom w:val="single" w:sz="12" w:space="2" w:color="1F1F1F"/>
            <w:right w:val="single" w:sz="12" w:space="5" w:color="1F1F1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Anupam</dc:creator>
  <cp:keywords/>
  <dc:description/>
  <cp:lastModifiedBy>Nguyen, Tai</cp:lastModifiedBy>
  <cp:revision>4</cp:revision>
  <dcterms:created xsi:type="dcterms:W3CDTF">2024-02-07T22:58:00Z</dcterms:created>
  <dcterms:modified xsi:type="dcterms:W3CDTF">2024-11-07T16:38:00Z</dcterms:modified>
</cp:coreProperties>
</file>