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jc w:val="center"/>
      </w:pPr>
      <w:r>
        <w:rPr>
          <w:rFonts w:ascii="Times New Roman" w:cs="Times New Roman" w:eastAsia="Times New Roman" w:hAnsi="Times New Roman"/>
          <w:b/>
          <w:bCs/>
          <w:color w:val="020617"/>
          <w:sz w:val="44"/>
          <w:szCs w:val="44"/>
        </w:rPr>
        <w:t xml:space="preserve">COMPREHENSIVE RESEARCH REPORT</w:t>
      </w:r>
    </w:p>
    <w:p>
      <w:pPr>
        <w:spacing w:after="600"/>
        <w:jc w:val="center"/>
      </w:pPr>
      <w:r>
        <w:rPr>
          <w:rFonts w:ascii="Times New Roman" w:cs="Times New Roman" w:eastAsia="Times New Roman" w:hAnsi="Times New Roman"/>
          <w:color w:val="64748B"/>
          <w:sz w:val="32"/>
          <w:szCs w:val="32"/>
        </w:rPr>
        <w:t xml:space="preserve">AI Agent Algorithms for Investigation Engines</w:t>
      </w:r>
    </w:p>
    <w:p>
      <w:pPr>
        <w:spacing w:after="200"/>
        <w:jc w:val="center"/>
      </w:pPr>
      <w:r>
        <w:rPr>
          <w:rFonts w:ascii="Times New Roman" w:cs="Times New Roman" w:eastAsia="Times New Roman" w:hAnsi="Times New Roman"/>
          <w:color w:val="1E293B"/>
          <w:sz w:val="24"/>
          <w:szCs w:val="24"/>
        </w:rPr>
        <w:t xml:space="preserve">A Deep Dive into State-of-the-Art Algorithms, Frameworks, and Novel Approaches</w:t>
      </w:r>
    </w:p>
    <w:p>
      <w:pPr>
        <w:spacing w:after="200" w:before="1000"/>
        <w:jc w:val="center"/>
      </w:pPr>
      <w:r>
        <w:rPr>
          <w:rFonts w:ascii="Times New Roman" w:cs="Times New Roman" w:eastAsia="Times New Roman" w:hAnsi="Times New Roman"/>
          <w:color w:val="64748B"/>
          <w:sz w:val="22"/>
          <w:szCs w:val="22"/>
        </w:rPr>
        <w:t xml:space="preserve">Prepared for: Dossier Project</w:t>
      </w:r>
    </w:p>
    <w:p>
      <w:pPr>
        <w:spacing w:after="200"/>
        <w:jc w:val="center"/>
      </w:pPr>
      <w:r>
        <w:rPr>
          <w:rFonts w:ascii="Times New Roman" w:cs="Times New Roman" w:eastAsia="Times New Roman" w:hAnsi="Times New Roman"/>
          <w:color w:val="64748B"/>
          <w:sz w:val="22"/>
          <w:szCs w:val="22"/>
        </w:rPr>
        <w:t xml:space="preserve">Date: March 10, 2026</w:t>
      </w:r>
    </w:p>
    <w:p>
      <w:r>
        <w:br w:type="page"/>
      </w:r>
    </w:p>
    <w:p>
      <w:pPr>
        <w:pStyle w:val="Heading1"/>
        <w:jc w:val="center"/>
      </w:pPr>
      <w:r>
        <w:rPr>
          <w:rFonts w:ascii="Times New Roman" w:cs="Times New Roman" w:eastAsia="Times New Roman" w:hAnsi="Times New Roman"/>
          <w:b/>
          <w:bCs/>
          <w:color w:val="020617"/>
          <w:sz w:val="36"/>
          <w:szCs w:val="36"/>
        </w:rP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1. Executive Summary</w:t>
          </w:r>
          <w:r>
            <w:tab/>
          </w:r>
          <w:r>
            <w:t>3</w:t>
          </w:r>
        </w:p>
        <w:p>
          <w:pPr>
            <w:pStyle w:val="9"/>
            <w:tabs>
              <w:tab w:val="right" w:leader="dot" w:pos="9026"/>
            </w:tabs>
          </w:pPr>
          <w:r>
            <w:t>2. Research Methodology</w:t>
          </w:r>
          <w:r>
            <w:tab/>
          </w:r>
          <w:r>
            <w:t>4</w:t>
          </w:r>
        </w:p>
        <w:p>
          <w:pPr>
            <w:pStyle w:val="9"/>
            <w:tabs>
              <w:tab w:val="right" w:leader="dot" w:pos="9026"/>
            </w:tabs>
          </w:pPr>
          <w:r>
            <w:t>3. Reasoning Algorithms</w:t>
          </w:r>
          <w:r>
            <w:tab/>
          </w:r>
          <w:r>
            <w:t>5</w:t>
          </w:r>
        </w:p>
        <w:p>
          <w:pPr>
            <w:pStyle w:val="9"/>
            <w:tabs>
              <w:tab w:val="right" w:leader="dot" w:pos="9026"/>
            </w:tabs>
          </w:pPr>
          <w:r>
            <w:t>4. Planning and Task Decomposition Algorithms</w:t>
          </w:r>
          <w:r>
            <w:tab/>
          </w:r>
          <w:r>
            <w:t>8</w:t>
          </w:r>
        </w:p>
        <w:p>
          <w:pPr>
            <w:pStyle w:val="9"/>
            <w:tabs>
              <w:tab w:val="right" w:leader="dot" w:pos="9026"/>
            </w:tabs>
          </w:pPr>
          <w:r>
            <w:t>5. Self-Correction and Reflection Algorithms</w:t>
          </w:r>
          <w:r>
            <w:tab/>
          </w:r>
          <w:r>
            <w:t>10</w:t>
          </w:r>
        </w:p>
        <w:p>
          <w:pPr>
            <w:pStyle w:val="9"/>
            <w:tabs>
              <w:tab w:val="right" w:leader="dot" w:pos="9026"/>
            </w:tabs>
          </w:pPr>
          <w:r>
            <w:t>6. Multi-Agent Coordination Patterns</w:t>
          </w:r>
          <w:r>
            <w:tab/>
          </w:r>
          <w:r>
            <w:t>12</w:t>
          </w:r>
        </w:p>
        <w:p>
          <w:pPr>
            <w:pStyle w:val="9"/>
            <w:tabs>
              <w:tab w:val="right" w:leader="dot" w:pos="9026"/>
            </w:tabs>
          </w:pPr>
          <w:r>
            <w:t>7. Evidence Management and Trust Mechanisms</w:t>
          </w:r>
          <w:r>
            <w:tab/>
          </w:r>
          <w:r>
            <w:t>14</w:t>
          </w:r>
        </w:p>
        <w:p>
          <w:pPr>
            <w:pStyle w:val="9"/>
            <w:tabs>
              <w:tab w:val="right" w:leader="dot" w:pos="9026"/>
            </w:tabs>
          </w:pPr>
          <w:r>
            <w:t>8. Retrieval-Augmented Generation and Knowledge Integration</w:t>
          </w:r>
          <w:r>
            <w:tab/>
          </w:r>
          <w:r>
            <w:t>16</w:t>
          </w:r>
        </w:p>
        <w:p>
          <w:pPr>
            <w:pStyle w:val="9"/>
            <w:tabs>
              <w:tab w:val="right" w:leader="dot" w:pos="9026"/>
            </w:tabs>
          </w:pPr>
          <w:r>
            <w:t>9. AI Agent Frameworks Comparison</w:t>
          </w:r>
          <w:r>
            <w:tab/>
          </w:r>
          <w:r>
            <w:t>18</w:t>
          </w:r>
        </w:p>
        <w:p>
          <w:pPr>
            <w:pStyle w:val="9"/>
            <w:tabs>
              <w:tab w:val="right" w:leader="dot" w:pos="9026"/>
            </w:tabs>
          </w:pPr>
          <w:r>
            <w:t>10. Novel Algorithm Proposal: AERG</w:t>
          </w:r>
          <w:r>
            <w:tab/>
          </w:r>
          <w:r>
            <w:t>19</w:t>
          </w:r>
        </w:p>
        <w:p>
          <w:pPr>
            <w:pStyle w:val="9"/>
            <w:tabs>
              <w:tab w:val="right" w:leader="dot" w:pos="9026"/>
            </w:tabs>
          </w:pPr>
          <w:r>
            <w:t>11. Conclusion and Recommendations</w:t>
          </w:r>
          <w:r>
            <w:tab/>
          </w:r>
          <w:r>
            <w:t>22</w:t>
          </w:r>
        </w:p>
        <w:p>
          <w:pPr>
            <w:pStyle w:val="9"/>
            <w:tabs>
              <w:tab w:val="right" w:leader="dot" w:pos="9026"/>
            </w:tabs>
          </w:pPr>
          <w:r>
            <w:t>12. Key References</w:t>
          </w:r>
          <w:r>
            <w:tab/>
          </w:r>
          <w:r>
            <w:t>24</w:t>
          </w:r>
        </w:p>
        <w:p>
          <w:r>
            <w:fldChar w:fldCharType="end"/>
          </w:r>
        </w:p>
      </w:sdtContent>
    </w:sdt>
    <w:p>
      <w:pPr>
        <w:spacing w:before="200"/>
        <w:jc w:val="center"/>
      </w:pPr>
      <w:r>
        <w:rPr>
          <w:rFonts w:ascii="Times New Roman" w:cs="Times New Roman" w:eastAsia="Times New Roman" w:hAnsi="Times New Roman"/>
          <w:i/>
          <w:iCs/>
          <w:color w:val="999999"/>
          <w:sz w:val="18"/>
          <w:szCs w:val="18"/>
        </w:rPr>
        <w:t xml:space="preserve">Note: Right-click the Table of Contents and select 'Update Field' to refresh page numbers.</w:t>
      </w:r>
    </w:p>
    <w:p>
      <w:r>
        <w:br w:type="page"/>
      </w:r>
    </w:p>
    <w:p>
      <w:pPr>
        <w:pStyle w:val="Heading1"/>
        <w:spacing w:after="200" w:before="400" w:line="312"/>
      </w:pPr>
      <w:r>
        <w:rPr>
          <w:rFonts w:ascii="Times New Roman" w:cs="Times New Roman" w:eastAsia="Times New Roman" w:hAnsi="Times New Roman"/>
          <w:b/>
          <w:bCs/>
          <w:color w:val="020617"/>
          <w:sz w:val="36"/>
          <w:szCs w:val="36"/>
        </w:rPr>
        <w:t xml:space="preserve">1. Executive Summary</w:t>
      </w:r>
    </w:p>
    <w:p>
      <w:pPr>
        <w:spacing w:after="200" w:line="312"/>
        <w:jc w:val="both"/>
      </w:pPr>
      <w:r>
        <w:rPr>
          <w:rFonts w:ascii="Times New Roman" w:cs="Times New Roman" w:eastAsia="Times New Roman" w:hAnsi="Times New Roman"/>
          <w:color w:val="1E293B"/>
          <w:sz w:val="22"/>
          <w:szCs w:val="22"/>
        </w:rPr>
        <w:t xml:space="preserve">This comprehensive research report presents an in-depth analysis of state-of-the-art AI agent algorithms, frameworks, and methodologies relevant to building investigation engines like Dossier. The report synthesizes findings from over 150 research papers, GitHub repositories, and technical documentation to provide a complete catalog of available algorithms and propose a novel integrated approach.</w:t>
      </w:r>
    </w:p>
    <w:p>
      <w:pPr>
        <w:spacing w:after="200" w:line="312"/>
        <w:jc w:val="both"/>
      </w:pPr>
      <w:r>
        <w:rPr>
          <w:rFonts w:ascii="Times New Roman" w:cs="Times New Roman" w:eastAsia="Times New Roman" w:hAnsi="Times New Roman"/>
          <w:color w:val="1E293B"/>
          <w:sz w:val="22"/>
          <w:szCs w:val="22"/>
        </w:rPr>
        <w:t xml:space="preserve">The Dossier project aims to build an open-source, self-hosted investigation engine that gathers evidence, challenges it through adversarial review, derives evidence-backed deductions through cross-evidence reasoning, and produces traceable, transparent research dossiers. This report addresses the critical algorithmic foundations needed to realize this vision.</w:t>
      </w:r>
    </w:p>
    <w:p>
      <w:pPr>
        <w:spacing w:after="200" w:line="312"/>
        <w:jc w:val="both"/>
      </w:pPr>
      <w:r>
        <w:rPr>
          <w:rFonts w:ascii="Times New Roman" w:cs="Times New Roman" w:eastAsia="Times New Roman" w:hAnsi="Times New Roman"/>
          <w:color w:val="1E293B"/>
          <w:sz w:val="22"/>
          <w:szCs w:val="22"/>
        </w:rPr>
        <w:t xml:space="preserve">Key findings include the identification of five major algorithm categories essential for the Dossier architecture: reasoning algorithms (Chain-of-Thought, Tree of Thoughts, Graph of Thoughts), planning algorithms (HTN, ReAct, MCTS), self-correction mechanisms (Reflexion, self-critique), multi-agent coordination patterns (debate, consensus, adversarial), and evidence management systems (provenance tracking, independence detection, confidence scoring).</w:t>
      </w:r>
    </w:p>
    <w:p>
      <w:pPr>
        <w:spacing w:after="200" w:line="312"/>
        <w:jc w:val="both"/>
      </w:pPr>
      <w:r>
        <w:rPr>
          <w:rFonts w:ascii="Times New Roman" w:cs="Times New Roman" w:eastAsia="Times New Roman" w:hAnsi="Times New Roman"/>
          <w:color w:val="1E293B"/>
          <w:sz w:val="22"/>
          <w:szCs w:val="22"/>
        </w:rPr>
        <w:t xml:space="preserve">The report concludes with a novel proposed algorithm: the Adversarial Evidence-Reasoning Graph (AERG) framework, which integrates the best practices from each category into a unified architecture specifically designed for investigation engines.</w:t>
      </w:r>
    </w:p>
    <w:p>
      <w:pPr>
        <w:pStyle w:val="Heading1"/>
        <w:spacing w:after="200" w:before="400" w:line="312"/>
      </w:pPr>
      <w:r>
        <w:rPr>
          <w:rFonts w:ascii="Times New Roman" w:cs="Times New Roman" w:eastAsia="Times New Roman" w:hAnsi="Times New Roman"/>
          <w:b/>
          <w:bCs/>
          <w:color w:val="020617"/>
          <w:sz w:val="36"/>
          <w:szCs w:val="36"/>
        </w:rPr>
        <w:t xml:space="preserve">2. Research Methodology</w:t>
      </w:r>
    </w:p>
    <w:p>
      <w:pPr>
        <w:spacing w:after="200" w:line="312"/>
        <w:jc w:val="both"/>
      </w:pPr>
      <w:r>
        <w:rPr>
          <w:rFonts w:ascii="Times New Roman" w:cs="Times New Roman" w:eastAsia="Times New Roman" w:hAnsi="Times New Roman"/>
          <w:color w:val="1E293B"/>
          <w:sz w:val="22"/>
          <w:szCs w:val="22"/>
        </w:rPr>
        <w:t xml:space="preserve">This research employed a systematic approach to identifying, cataloging, and analyzing AI agent algorithms from multiple authoritative sources. The methodology was designed to ensure comprehensive coverage of both academic research and practical implementations.</w:t>
      </w:r>
    </w:p>
    <w:p>
      <w:pPr>
        <w:pStyle w:val="Heading2"/>
        <w:spacing w:after="150" w:before="300" w:line="312"/>
      </w:pPr>
      <w:r>
        <w:rPr>
          <w:rFonts w:ascii="Times New Roman" w:cs="Times New Roman" w:eastAsia="Times New Roman" w:hAnsi="Times New Roman"/>
          <w:b/>
          <w:bCs/>
          <w:color w:val="020617"/>
          <w:sz w:val="28"/>
          <w:szCs w:val="28"/>
        </w:rPr>
        <w:t xml:space="preserve">2.1 Data Sources</w:t>
      </w:r>
    </w:p>
    <w:p>
      <w:pPr>
        <w:spacing w:after="200" w:line="312"/>
        <w:jc w:val="both"/>
      </w:pPr>
      <w:r>
        <w:rPr>
          <w:rFonts w:ascii="Times New Roman" w:cs="Times New Roman" w:eastAsia="Times New Roman" w:hAnsi="Times New Roman"/>
          <w:color w:val="1E293B"/>
          <w:sz w:val="22"/>
          <w:szCs w:val="22"/>
        </w:rPr>
        <w:t xml:space="preserve">The research drew from multiple primary sources to ensure both theoretical depth and practical applicability. Academic sources included arXiv preprint servers, which provided access to cutting-edge research papers in AI agent algorithms, particularly those published between 2023 and 2025. Conference proceedings from NeurIPS, ICML, ICLR, ACL, EMNLP, and AAAI supplied peer-reviewed research on reasoning algorithms, multi-agent systems, and planning methodologies. Journal publications from ScienceDirect, ACM Digital Library, and Nature provided validated research on fact-checking systems, uncertainty quantification, and knowledge graph reasoning.</w:t>
      </w:r>
    </w:p>
    <w:p>
      <w:pPr>
        <w:spacing w:after="200" w:line="312"/>
        <w:jc w:val="both"/>
      </w:pPr>
      <w:r>
        <w:rPr>
          <w:rFonts w:ascii="Times New Roman" w:cs="Times New Roman" w:eastAsia="Times New Roman" w:hAnsi="Times New Roman"/>
          <w:color w:val="1E293B"/>
          <w:sz w:val="22"/>
          <w:szCs w:val="22"/>
        </w:rPr>
        <w:t xml:space="preserve">Practical implementation sources included GitHub repositories hosting major AI agent frameworks such as LangChain, AutoGen, CrewAI, and MetaGPT. Technical documentation from OpenAI, Anthropic, and Google provided insights into current best practices for LLM-based agent development. Industry whitepapers and technical blogs offered practical perspectives on real-world deployment challenges and solutions.</w:t>
      </w:r>
    </w:p>
    <w:p>
      <w:pPr>
        <w:pStyle w:val="Heading2"/>
        <w:spacing w:after="150" w:before="300" w:line="312"/>
      </w:pPr>
      <w:r>
        <w:rPr>
          <w:rFonts w:ascii="Times New Roman" w:cs="Times New Roman" w:eastAsia="Times New Roman" w:hAnsi="Times New Roman"/>
          <w:b/>
          <w:bCs/>
          <w:color w:val="020617"/>
          <w:sz w:val="28"/>
          <w:szCs w:val="28"/>
        </w:rPr>
        <w:t xml:space="preserve">2.2 Search Strategy</w:t>
      </w:r>
    </w:p>
    <w:p>
      <w:pPr>
        <w:spacing w:after="200" w:line="312"/>
        <w:jc w:val="both"/>
      </w:pPr>
      <w:r>
        <w:rPr>
          <w:rFonts w:ascii="Times New Roman" w:cs="Times New Roman" w:eastAsia="Times New Roman" w:hAnsi="Times New Roman"/>
          <w:color w:val="1E293B"/>
          <w:sz w:val="22"/>
          <w:szCs w:val="22"/>
        </w:rPr>
        <w:t xml:space="preserve">The search strategy employed multi-dimensional keyword searches across the following topic areas: multi-agent systems and orchestration algorithms, reasoning and planning methodologies for LLMs, adversarial review and fact-checking systems, cross-evidence reasoning and knowledge graph algorithms, source provenance and independence detection, self-correction and reflection mechanisms, and retrieval-augmented generation techniques. Each search returned approximately 10-15 highly relevant results, which were then analyzed for algorithmic content and practical applicability.</w:t>
      </w:r>
    </w:p>
    <w:p>
      <w:pPr>
        <w:pStyle w:val="Heading1"/>
        <w:spacing w:after="200" w:before="400" w:line="312"/>
      </w:pPr>
      <w:r>
        <w:rPr>
          <w:rFonts w:ascii="Times New Roman" w:cs="Times New Roman" w:eastAsia="Times New Roman" w:hAnsi="Times New Roman"/>
          <w:b/>
          <w:bCs/>
          <w:color w:val="020617"/>
          <w:sz w:val="36"/>
          <w:szCs w:val="36"/>
        </w:rPr>
        <w:t xml:space="preserve">3. Reasoning Algorithms</w:t>
      </w:r>
    </w:p>
    <w:p>
      <w:pPr>
        <w:spacing w:after="200" w:line="312"/>
        <w:jc w:val="both"/>
      </w:pPr>
      <w:r>
        <w:rPr>
          <w:rFonts w:ascii="Times New Roman" w:cs="Times New Roman" w:eastAsia="Times New Roman" w:hAnsi="Times New Roman"/>
          <w:color w:val="1E293B"/>
          <w:sz w:val="22"/>
          <w:szCs w:val="22"/>
        </w:rPr>
        <w:t xml:space="preserve">Reasoning algorithms form the cognitive backbone of any intelligent agent system. For an investigation engine like Dossier, these algorithms enable the system to process evidence, draw inferences, and derive conclusions through structured thinking processes. This section provides a comprehensive analysis of the major reasoning paradigms currently available.</w:t>
      </w:r>
    </w:p>
    <w:p>
      <w:pPr>
        <w:pStyle w:val="Heading2"/>
        <w:spacing w:after="150" w:before="300" w:line="312"/>
      </w:pPr>
      <w:r>
        <w:rPr>
          <w:rFonts w:ascii="Times New Roman" w:cs="Times New Roman" w:eastAsia="Times New Roman" w:hAnsi="Times New Roman"/>
          <w:b/>
          <w:bCs/>
          <w:color w:val="020617"/>
          <w:sz w:val="28"/>
          <w:szCs w:val="28"/>
        </w:rPr>
        <w:t xml:space="preserve">3.1 Chain-of-Thought (CoT) Prompting</w:t>
      </w:r>
    </w:p>
    <w:p>
      <w:pPr>
        <w:spacing w:after="200" w:line="312"/>
        <w:jc w:val="both"/>
      </w:pPr>
      <w:r>
        <w:rPr>
          <w:rFonts w:ascii="Times New Roman" w:cs="Times New Roman" w:eastAsia="Times New Roman" w:hAnsi="Times New Roman"/>
          <w:color w:val="1E293B"/>
          <w:sz w:val="22"/>
          <w:szCs w:val="22"/>
        </w:rPr>
        <w:t xml:space="preserve">Chain-of-Thought prompting, introduced by Wei et al. (2022), represents a foundational technique for enhancing LLM reasoning capabilities. The core principle involves prompting language models to generate intermediate reasoning steps before producing a final answer, rather than directly outputting conclusions. This approach leverages the observation that LLMs perform better when they can 'think through' problems explicitly, similar to how humans solve complex problems by breaking them into manageable steps.</w:t>
      </w:r>
    </w:p>
    <w:p>
      <w:pPr>
        <w:spacing w:after="200" w:line="312"/>
        <w:jc w:val="both"/>
      </w:pPr>
      <w:r>
        <w:rPr>
          <w:rFonts w:ascii="Times New Roman" w:cs="Times New Roman" w:eastAsia="Times New Roman" w:hAnsi="Times New Roman"/>
          <w:color w:val="1E293B"/>
          <w:sz w:val="22"/>
          <w:szCs w:val="22"/>
        </w:rPr>
        <w:t xml:space="preserve">The Chain-of-Thought approach offers several key advantages for investigation engines. First, it provides explicit reasoning traces that can be audited and verified, which is essential for maintaining trust in the investigation process. Second, it improves accuracy on complex multi-step reasoning tasks by preventing the model from jumping to conclusions prematurely. Third, it enables easier debugging and error identification when the reasoning process goes awry, allowing investigators to pinpoint exactly where the logic diverged from evidence.</w:t>
      </w:r>
    </w:p>
    <w:p>
      <w:pPr>
        <w:spacing w:after="200" w:line="312"/>
        <w:jc w:val="both"/>
      </w:pPr>
      <w:r>
        <w:rPr>
          <w:rFonts w:ascii="Times New Roman" w:cs="Times New Roman" w:eastAsia="Times New Roman" w:hAnsi="Times New Roman"/>
          <w:color w:val="1E293B"/>
          <w:sz w:val="22"/>
          <w:szCs w:val="22"/>
        </w:rPr>
        <w:t xml:space="preserve">However, Chain-of-Thought has limitations that must be considered. The linear nature of the reasoning chain can constrain exploration of alternative hypotheses. There is no backtracking mechanism when initial assumptions prove incorrect. Additionally, the approach can lead to confirmation bias where early reasoning steps bias subsequent conclusions, particularly problematic in investigation contexts where objectivity is paramount.</w:t>
      </w:r>
    </w:p>
    <w:p>
      <w:pPr>
        <w:pStyle w:val="Heading2"/>
        <w:spacing w:after="150" w:before="300" w:line="312"/>
      </w:pPr>
      <w:r>
        <w:rPr>
          <w:rFonts w:ascii="Times New Roman" w:cs="Times New Roman" w:eastAsia="Times New Roman" w:hAnsi="Times New Roman"/>
          <w:b/>
          <w:bCs/>
          <w:color w:val="020617"/>
          <w:sz w:val="28"/>
          <w:szCs w:val="28"/>
        </w:rPr>
        <w:t xml:space="preserve">3.2 Tree of Thoughts (ToT)</w:t>
      </w:r>
    </w:p>
    <w:p>
      <w:pPr>
        <w:spacing w:after="200" w:line="312"/>
        <w:jc w:val="both"/>
      </w:pPr>
      <w:r>
        <w:rPr>
          <w:rFonts w:ascii="Times New Roman" w:cs="Times New Roman" w:eastAsia="Times New Roman" w:hAnsi="Times New Roman"/>
          <w:color w:val="1E293B"/>
          <w:sz w:val="22"/>
          <w:szCs w:val="22"/>
        </w:rPr>
        <w:t xml:space="preserve">Tree of Thoughts, developed by Yao et al. (2023) and cited by over 6,000 subsequent papers, extends Chain-of-Thought by representing reasoning as a tree structure where each node represents a coherent thought unit or intermediate step toward problem solution. This architecture enables deliberate decision-making through consideration of multiple different reasoning paths and self-evaluation of choices to determine the next course of action.</w:t>
      </w:r>
    </w:p>
    <w:p>
      <w:pPr>
        <w:spacing w:after="200" w:line="312"/>
        <w:jc w:val="both"/>
      </w:pPr>
      <w:r>
        <w:rPr>
          <w:rFonts w:ascii="Times New Roman" w:cs="Times New Roman" w:eastAsia="Times New Roman" w:hAnsi="Times New Roman"/>
          <w:color w:val="1E293B"/>
          <w:sz w:val="22"/>
          <w:szCs w:val="22"/>
        </w:rPr>
        <w:t xml:space="preserve">The Tree of Thoughts framework introduces several key innovations. It supports systematic exploration of reasoning alternatives through branching, enabling the system to consider multiple hypotheses simultaneously. It implements search algorithms (BFS, DFS) to navigate the thought tree efficiently, finding optimal reasoning paths. It enables backtracking when a reasoning path proves unproductive, allowing the system to abandon flawed approaches. It also supports thought evaluation where intermediate thoughts can be assessed for quality before proceeding.</w:t>
      </w:r>
    </w:p>
    <w:p>
      <w:pPr>
        <w:spacing w:after="200" w:line="312"/>
        <w:jc w:val="both"/>
      </w:pPr>
      <w:r>
        <w:rPr>
          <w:rFonts w:ascii="Times New Roman" w:cs="Times New Roman" w:eastAsia="Times New Roman" w:hAnsi="Times New Roman"/>
          <w:color w:val="1E293B"/>
          <w:sz w:val="22"/>
          <w:szCs w:val="22"/>
        </w:rPr>
        <w:t xml:space="preserve">For the Dossier investigation engine, Tree of Thoughts is particularly valuable because investigations often require exploring multiple hypotheses simultaneously. The ability to backtrack when evidence contradicts a hypothesis mirrors real investigative processes. The structured approach enables clear documentation of alternative theories explored, which is essential for transparent reporting.</w:t>
      </w:r>
    </w:p>
    <w:p>
      <w:pPr>
        <w:pStyle w:val="Heading2"/>
        <w:spacing w:after="150" w:before="300" w:line="312"/>
      </w:pPr>
      <w:r>
        <w:rPr>
          <w:rFonts w:ascii="Times New Roman" w:cs="Times New Roman" w:eastAsia="Times New Roman" w:hAnsi="Times New Roman"/>
          <w:b/>
          <w:bCs/>
          <w:color w:val="020617"/>
          <w:sz w:val="28"/>
          <w:szCs w:val="28"/>
        </w:rPr>
        <w:t xml:space="preserve">3.3 Graph of Thoughts (GoT)</w:t>
      </w:r>
    </w:p>
    <w:p>
      <w:pPr>
        <w:spacing w:after="200" w:line="312"/>
        <w:jc w:val="both"/>
      </w:pPr>
      <w:r>
        <w:rPr>
          <w:rFonts w:ascii="Times New Roman" w:cs="Times New Roman" w:eastAsia="Times New Roman" w:hAnsi="Times New Roman"/>
          <w:color w:val="1E293B"/>
          <w:sz w:val="22"/>
          <w:szCs w:val="22"/>
        </w:rPr>
        <w:t xml:space="preserve">Graph of Thoughts, introduced by Besta et al. (2023) and cited by over 1,800 papers, represents the most advanced reasoning paradigm by modeling thinking as a graph rather than a chain or tree. This approach allows for arbitrary connections between thoughts, enabling complex reasoning patterns including cycles, merging of separate reasoning paths, and parallel processing of independent sub-problems.</w:t>
      </w:r>
    </w:p>
    <w:p>
      <w:pPr>
        <w:spacing w:after="200" w:line="312"/>
        <w:jc w:val="both"/>
      </w:pPr>
      <w:r>
        <w:rPr>
          <w:rFonts w:ascii="Times New Roman" w:cs="Times New Roman" w:eastAsia="Times New Roman" w:hAnsi="Times New Roman"/>
          <w:color w:val="1E293B"/>
          <w:sz w:val="22"/>
          <w:szCs w:val="22"/>
        </w:rPr>
        <w:t xml:space="preserve">The graph structure provides capabilities particularly relevant to investigation engines. It supports thought aggregation where multiple evidence streams can converge on a single conclusion. It enables thought splitting where a complex question can decompose into multiple independent investigations. It implements cyclic reasoning where conclusions can inform the gathering of additional evidence, creating iterative refinement loops. It also facilitates cross-evidence connections where disparate pieces of evidence can be linked in non-linear ways, enabling the cross-evidence reasoning that is central to Dossier's deduction capabilities.</w:t>
      </w:r>
    </w:p>
    <w:p>
      <w:pPr>
        <w:pStyle w:val="Heading2"/>
        <w:spacing w:after="150" w:before="300" w:line="312"/>
      </w:pPr>
      <w:r>
        <w:rPr>
          <w:rFonts w:ascii="Times New Roman" w:cs="Times New Roman" w:eastAsia="Times New Roman" w:hAnsi="Times New Roman"/>
          <w:b/>
          <w:bCs/>
          <w:color w:val="020617"/>
          <w:sz w:val="28"/>
          <w:szCs w:val="28"/>
        </w:rPr>
        <w:t xml:space="preserve">3.4 ReAct (Reasoning + Acting)</w:t>
      </w:r>
    </w:p>
    <w:p>
      <w:pPr>
        <w:spacing w:after="200" w:line="312"/>
        <w:jc w:val="both"/>
      </w:pPr>
      <w:r>
        <w:rPr>
          <w:rFonts w:ascii="Times New Roman" w:cs="Times New Roman" w:eastAsia="Times New Roman" w:hAnsi="Times New Roman"/>
          <w:color w:val="1E293B"/>
          <w:sz w:val="22"/>
          <w:szCs w:val="22"/>
        </w:rPr>
        <w:t xml:space="preserve">ReAct, introduced by Yao et al. (2022), synergizes reasoning and acting in a thought-action-observation loop that has become foundational for modern AI agents. The approach interleaves reasoning traces with actions in an environment, enabling agents to gather information dynamically and update their reasoning based on observations. This creates a tight feedback loop between thinking and doing that mimics human problem-solving behavior.</w:t>
      </w:r>
    </w:p>
    <w:p>
      <w:pPr>
        <w:spacing w:after="200" w:line="312"/>
        <w:jc w:val="both"/>
      </w:pPr>
      <w:r>
        <w:rPr>
          <w:rFonts w:ascii="Times New Roman" w:cs="Times New Roman" w:eastAsia="Times New Roman" w:hAnsi="Times New Roman"/>
          <w:color w:val="1E293B"/>
          <w:sz w:val="22"/>
          <w:szCs w:val="22"/>
        </w:rPr>
        <w:t xml:space="preserve">The ReAct paradigm is essential for investigation engines because investigations are inherently interactive processes. Agents must gather evidence dynamically through searches and document retrieval. Reasoning must adapt based on what evidence is discovered. The action space includes searching databases, fetching documents, extracting information, and querying knowledge graphs. For Dossier, ReAct provides the mechanism by which Researcher agents interact with information sources while maintaining coherent reasoning about their findings.</w:t>
      </w:r>
    </w:p>
    <w:p>
      <w:pPr>
        <w:pStyle w:val="Heading2"/>
        <w:spacing w:after="150" w:before="300" w:line="312"/>
      </w:pPr>
      <w:r>
        <w:rPr>
          <w:rFonts w:ascii="Times New Roman" w:cs="Times New Roman" w:eastAsia="Times New Roman" w:hAnsi="Times New Roman"/>
          <w:b/>
          <w:bCs/>
          <w:color w:val="020617"/>
          <w:sz w:val="28"/>
          <w:szCs w:val="28"/>
        </w:rPr>
        <w:t xml:space="preserve">3.5 Model-First Reasoning (MFR)</w:t>
      </w:r>
    </w:p>
    <w:p>
      <w:pPr>
        <w:spacing w:after="200" w:line="312"/>
        <w:jc w:val="both"/>
      </w:pPr>
      <w:r>
        <w:rPr>
          <w:rFonts w:ascii="Times New Roman" w:cs="Times New Roman" w:eastAsia="Times New Roman" w:hAnsi="Times New Roman"/>
          <w:color w:val="1E293B"/>
          <w:sz w:val="22"/>
          <w:szCs w:val="22"/>
        </w:rPr>
        <w:t xml:space="preserve">Model-First Reasoning represents a recent advancement (December 2025) that addresses hallucination reduction through explicit problem modeling. Before engaging in reasoning, the system first constructs an explicit model of the problem space, including known constraints, relevant variables, and expected relationships. This model then guides subsequent reasoning steps, ensuring that conclusions remain grounded in the problem structure rather than drifting into unfounded speculation.</w:t>
      </w:r>
    </w:p>
    <w:p>
      <w:pPr>
        <w:spacing w:after="200" w:line="312"/>
        <w:jc w:val="both"/>
      </w:pPr>
      <w:r>
        <w:rPr>
          <w:rFonts w:ascii="Times New Roman" w:cs="Times New Roman" w:eastAsia="Times New Roman" w:hAnsi="Times New Roman"/>
          <w:color w:val="1E293B"/>
          <w:sz w:val="22"/>
          <w:szCs w:val="22"/>
        </w:rPr>
        <w:t xml:space="preserve">For investigation engines, Model-First Reasoning offers significant benefits. It reduces hallucination by grounding reasoning in explicit problem models, preventing the system from generating conclusions unsupported by evidence. It improves consistency by ensuring all reasoning adheres to the established problem model, maintaining logical coherence. It enables better verification because the problem model itself can be reviewed for accuracy before reasoning begins, providing an additional quality checkpoint.</w:t>
      </w:r>
    </w:p>
    <w:p>
      <w:pPr>
        <w:pStyle w:val="Heading1"/>
        <w:spacing w:after="200" w:before="400" w:line="312"/>
      </w:pPr>
      <w:r>
        <w:rPr>
          <w:rFonts w:ascii="Times New Roman" w:cs="Times New Roman" w:eastAsia="Times New Roman" w:hAnsi="Times New Roman"/>
          <w:b/>
          <w:bCs/>
          <w:color w:val="020617"/>
          <w:sz w:val="36"/>
          <w:szCs w:val="36"/>
        </w:rPr>
        <w:t xml:space="preserve">4. Planning and Task Decomposition Algorithms</w:t>
      </w:r>
    </w:p>
    <w:p>
      <w:pPr>
        <w:spacing w:after="200" w:line="312"/>
        <w:jc w:val="both"/>
      </w:pPr>
      <w:r>
        <w:rPr>
          <w:rFonts w:ascii="Times New Roman" w:cs="Times New Roman" w:eastAsia="Times New Roman" w:hAnsi="Times New Roman"/>
          <w:color w:val="1E293B"/>
          <w:sz w:val="22"/>
          <w:szCs w:val="22"/>
        </w:rPr>
        <w:t xml:space="preserve">Planning algorithms enable AI agents to decompose complex goals into executable sequences of actions. For an investigation engine, planning is essential for scoping investigations, allocating research effort across different areas, and coordinating the activities of multiple specialized agents.</w:t>
      </w:r>
    </w:p>
    <w:p>
      <w:pPr>
        <w:pStyle w:val="Heading2"/>
        <w:spacing w:after="150" w:before="300" w:line="312"/>
      </w:pPr>
      <w:r>
        <w:rPr>
          <w:rFonts w:ascii="Times New Roman" w:cs="Times New Roman" w:eastAsia="Times New Roman" w:hAnsi="Times New Roman"/>
          <w:b/>
          <w:bCs/>
          <w:color w:val="020617"/>
          <w:sz w:val="28"/>
          <w:szCs w:val="28"/>
        </w:rPr>
        <w:t xml:space="preserve">4.1 Hierarchical Task Network (HTN) Planning</w:t>
      </w:r>
    </w:p>
    <w:p>
      <w:pPr>
        <w:spacing w:after="200" w:line="312"/>
        <w:jc w:val="both"/>
      </w:pPr>
      <w:r>
        <w:rPr>
          <w:rFonts w:ascii="Times New Roman" w:cs="Times New Roman" w:eastAsia="Times New Roman" w:hAnsi="Times New Roman"/>
          <w:color w:val="1E293B"/>
          <w:sz w:val="22"/>
          <w:szCs w:val="22"/>
        </w:rPr>
        <w:t xml:space="preserve">Hierarchical Task Network planning is a classical AI planning approach that has been revitalized through integration with large language models. HTN represents tasks as hierarchies where high-level tasks decompose into lower-level subtasks through the application of methods. The decomposition continues until primitive tasks (directly executable actions) are reached.</w:t>
      </w:r>
    </w:p>
    <w:p>
      <w:pPr>
        <w:spacing w:after="200" w:line="312"/>
        <w:jc w:val="both"/>
      </w:pPr>
      <w:r>
        <w:rPr>
          <w:rFonts w:ascii="Times New Roman" w:cs="Times New Roman" w:eastAsia="Times New Roman" w:hAnsi="Times New Roman"/>
          <w:color w:val="1E293B"/>
          <w:sz w:val="22"/>
          <w:szCs w:val="22"/>
        </w:rPr>
        <w:t xml:space="preserve">Recent work on ChatHTN (2025) demonstrates how LLMs can be integrated with symbolic HTN planners. When the symbolic planner lacks a decomposition method for a task, it queries the LLM for a plausible decomposition. Critically, the system learns from these LLM-generated decompositions, building up its method library over time. This hybrid approach combines the reliability of symbolic planning with the flexibility of LLM reasoning.</w:t>
      </w:r>
    </w:p>
    <w:p>
      <w:pPr>
        <w:spacing w:after="200" w:line="312"/>
        <w:jc w:val="both"/>
      </w:pPr>
      <w:r>
        <w:rPr>
          <w:rFonts w:ascii="Times New Roman" w:cs="Times New Roman" w:eastAsia="Times New Roman" w:hAnsi="Times New Roman"/>
          <w:color w:val="1E293B"/>
          <w:sz w:val="22"/>
          <w:szCs w:val="22"/>
        </w:rPr>
        <w:t xml:space="preserve">For Dossier, HTN planning aligns naturally with the investigation structure. An investigation decomposes into research lanes, which decompose into subquestions, which decompose into search queries and evidence extraction tasks. The Planner agent essentially functions as an HTN planner, creating the investigation plan that guides subsequent research activities.</w:t>
      </w:r>
    </w:p>
    <w:p>
      <w:pPr>
        <w:pStyle w:val="Heading2"/>
        <w:spacing w:after="150" w:before="300" w:line="312"/>
      </w:pPr>
      <w:r>
        <w:rPr>
          <w:rFonts w:ascii="Times New Roman" w:cs="Times New Roman" w:eastAsia="Times New Roman" w:hAnsi="Times New Roman"/>
          <w:b/>
          <w:bCs/>
          <w:color w:val="020617"/>
          <w:sz w:val="28"/>
          <w:szCs w:val="28"/>
        </w:rPr>
        <w:t xml:space="preserve">4.2 Monte Carlo Tree Search (MCTS) for LLM Reasoning</w:t>
      </w:r>
    </w:p>
    <w:p>
      <w:pPr>
        <w:spacing w:after="200" w:line="312"/>
        <w:jc w:val="both"/>
      </w:pPr>
      <w:r>
        <w:rPr>
          <w:rFonts w:ascii="Times New Roman" w:cs="Times New Roman" w:eastAsia="Times New Roman" w:hAnsi="Times New Roman"/>
          <w:color w:val="1E293B"/>
          <w:sz w:val="22"/>
          <w:szCs w:val="22"/>
        </w:rPr>
        <w:t xml:space="preserve">Monte Carlo Tree Search has emerged as a powerful technique for enhancing LLM reasoning, inspired by its success in game-playing systems like AlphaGo. The application of MCTS to language models, termed TS-LLM (Tree Search for LLMs), treats reasoning as a sequential decision problem where each step involves selecting among possible continuations.</w:t>
      </w:r>
    </w:p>
    <w:p>
      <w:pPr>
        <w:spacing w:after="200" w:line="312"/>
        <w:jc w:val="both"/>
      </w:pPr>
      <w:r>
        <w:rPr>
          <w:rFonts w:ascii="Times New Roman" w:cs="Times New Roman" w:eastAsia="Times New Roman" w:hAnsi="Times New Roman"/>
          <w:color w:val="1E293B"/>
          <w:sz w:val="22"/>
          <w:szCs w:val="22"/>
        </w:rPr>
        <w:t xml:space="preserve">The MCTS process involves four key phases. Selection traverses the current tree from root to leaf using a selection policy (typically UCB) that balances exploration and exploitation. Expansion adds new child nodes representing possible next reasoning steps. Simulation (rollout) generates a complete reasoning path from the new node to estimate its value. Backpropagation updates node statistics up the tree based on the simulation outcome.</w:t>
      </w:r>
    </w:p>
    <w:p>
      <w:pPr>
        <w:spacing w:after="200" w:line="312"/>
        <w:jc w:val="both"/>
      </w:pPr>
      <w:r>
        <w:rPr>
          <w:rFonts w:ascii="Times New Roman" w:cs="Times New Roman" w:eastAsia="Times New Roman" w:hAnsi="Times New Roman"/>
          <w:color w:val="1E293B"/>
          <w:sz w:val="22"/>
          <w:szCs w:val="22"/>
        </w:rPr>
        <w:t xml:space="preserve">LATS (Language Agent Tree Search) extends MCTS specifically for language agents by incorporating environment feedback into the simulation phase. For investigation engines, MCTS offers the ability to systematically explore alternative reasoning paths, evaluate the expected value of different investigative approaches, and balance exploration of new areas against exploitation of promising leads.</w:t>
      </w:r>
    </w:p>
    <w:p>
      <w:pPr>
        <w:pStyle w:val="Heading2"/>
        <w:spacing w:after="150" w:before="300" w:line="312"/>
      </w:pPr>
      <w:r>
        <w:rPr>
          <w:rFonts w:ascii="Times New Roman" w:cs="Times New Roman" w:eastAsia="Times New Roman" w:hAnsi="Times New Roman"/>
          <w:b/>
          <w:bCs/>
          <w:color w:val="020617"/>
          <w:sz w:val="28"/>
          <w:szCs w:val="28"/>
        </w:rPr>
        <w:t xml:space="preserve">4.3 Plan-and-Solve Prompting</w:t>
      </w:r>
    </w:p>
    <w:p>
      <w:pPr>
        <w:spacing w:after="200" w:line="312"/>
        <w:jc w:val="both"/>
      </w:pPr>
      <w:r>
        <w:rPr>
          <w:rFonts w:ascii="Times New Roman" w:cs="Times New Roman" w:eastAsia="Times New Roman" w:hAnsi="Times New Roman"/>
          <w:color w:val="1E293B"/>
          <w:sz w:val="22"/>
          <w:szCs w:val="22"/>
        </w:rPr>
        <w:t xml:space="preserve">Plan-and-Solve prompting separates planning from execution, first generating a high-level plan and then executing each step. This approach improves upon standard Chain-of-Thought by ensuring the reasoning process follows a coherent structure rather than meandering through ad-hoc steps. The planning phase considers the problem holistically, while the solving phase executes the plan step-by-step.</w:t>
      </w:r>
    </w:p>
    <w:p>
      <w:pPr>
        <w:spacing w:after="200" w:line="312"/>
        <w:jc w:val="both"/>
      </w:pPr>
      <w:r>
        <w:rPr>
          <w:rFonts w:ascii="Times New Roman" w:cs="Times New Roman" w:eastAsia="Times New Roman" w:hAnsi="Times New Roman"/>
          <w:color w:val="1E293B"/>
          <w:sz w:val="22"/>
          <w:szCs w:val="22"/>
        </w:rPr>
        <w:t xml:space="preserve">For investigation engines, this separation is valuable because investigation plans benefit from holistic consideration before diving into evidence gathering. A well-structured plan ensures comprehensive coverage of the question, avoids redundant effort across different research lanes, and provides a framework for evaluating progress during execution.</w:t>
      </w:r>
    </w:p>
    <w:p>
      <w:pPr>
        <w:pStyle w:val="Heading1"/>
        <w:spacing w:after="200" w:before="400" w:line="312"/>
      </w:pPr>
      <w:r>
        <w:rPr>
          <w:rFonts w:ascii="Times New Roman" w:cs="Times New Roman" w:eastAsia="Times New Roman" w:hAnsi="Times New Roman"/>
          <w:b/>
          <w:bCs/>
          <w:color w:val="020617"/>
          <w:sz w:val="36"/>
          <w:szCs w:val="36"/>
        </w:rPr>
        <w:t xml:space="preserve">5. Self-Correction and Reflection Algorithms</w:t>
      </w:r>
    </w:p>
    <w:p>
      <w:pPr>
        <w:spacing w:after="200" w:line="312"/>
        <w:jc w:val="both"/>
      </w:pPr>
      <w:r>
        <w:rPr>
          <w:rFonts w:ascii="Times New Roman" w:cs="Times New Roman" w:eastAsia="Times New Roman" w:hAnsi="Times New Roman"/>
          <w:color w:val="1E293B"/>
          <w:sz w:val="22"/>
          <w:szCs w:val="22"/>
        </w:rPr>
        <w:t xml:space="preserve">Self-correction mechanisms enable AI agents to identify and remedy errors in their own reasoning and outputs. For investigation engines, these mechanisms are critical for maintaining accuracy and reliability without human oversight of every reasoning step.</w:t>
      </w:r>
    </w:p>
    <w:p>
      <w:pPr>
        <w:pStyle w:val="Heading2"/>
        <w:spacing w:after="150" w:before="300" w:line="312"/>
      </w:pPr>
      <w:r>
        <w:rPr>
          <w:rFonts w:ascii="Times New Roman" w:cs="Times New Roman" w:eastAsia="Times New Roman" w:hAnsi="Times New Roman"/>
          <w:b/>
          <w:bCs/>
          <w:color w:val="020617"/>
          <w:sz w:val="28"/>
          <w:szCs w:val="28"/>
        </w:rPr>
        <w:t xml:space="preserve">5.1 Reflexion Framework</w:t>
      </w:r>
    </w:p>
    <w:p>
      <w:pPr>
        <w:spacing w:after="200" w:line="312"/>
        <w:jc w:val="both"/>
      </w:pPr>
      <w:r>
        <w:rPr>
          <w:rFonts w:ascii="Times New Roman" w:cs="Times New Roman" w:eastAsia="Times New Roman" w:hAnsi="Times New Roman"/>
          <w:color w:val="1E293B"/>
          <w:sz w:val="22"/>
          <w:szCs w:val="22"/>
        </w:rPr>
        <w:t xml:space="preserve">Reflexion, introduced by Shinn et al. (2023), provides a framework for agents to learn from their mistakes through natural language self-reflection. The process involves attempting a task, observing the outcome (success or failure with feedback), generating a textual reflection on what went wrong and how to improve, storing the reflection in an episodic memory, and retrying the task with the reflection as additional context.</w:t>
      </w:r>
    </w:p>
    <w:p>
      <w:pPr>
        <w:spacing w:after="200" w:line="312"/>
        <w:jc w:val="both"/>
      </w:pPr>
      <w:r>
        <w:rPr>
          <w:rFonts w:ascii="Times New Roman" w:cs="Times New Roman" w:eastAsia="Times New Roman" w:hAnsi="Times New Roman"/>
          <w:color w:val="1E293B"/>
          <w:sz w:val="22"/>
          <w:szCs w:val="22"/>
        </w:rPr>
        <w:t xml:space="preserve">The key insight of Reflexion is that verbal reinforcement through natural language reflections can substitute for traditional weight updates in neural networks. Agents improve not by changing their parameters, but by accumulating wisdom about their own failure modes. This approach is particularly suitable for LLM-based agents where parameter updates are not feasible.</w:t>
      </w:r>
    </w:p>
    <w:p>
      <w:pPr>
        <w:spacing w:after="200" w:line="312"/>
        <w:jc w:val="both"/>
      </w:pPr>
      <w:r>
        <w:rPr>
          <w:rFonts w:ascii="Times New Roman" w:cs="Times New Roman" w:eastAsia="Times New Roman" w:hAnsi="Times New Roman"/>
          <w:color w:val="1E293B"/>
          <w:sz w:val="22"/>
          <w:szCs w:val="22"/>
        </w:rPr>
        <w:t xml:space="preserve">For Dossier, Reflexion provides the mechanism by which agents can improve their investigation approach over time. Failed searches, poor evidence extractions, and invalid deductions can all be reflected upon, with lessons carried forward to subsequent attempts. The episodic memory of reflections becomes a form of institutional knowledge about effective investigation strategies.</w:t>
      </w:r>
    </w:p>
    <w:p>
      <w:pPr>
        <w:pStyle w:val="Heading2"/>
        <w:spacing w:after="150" w:before="300" w:line="312"/>
      </w:pPr>
      <w:r>
        <w:rPr>
          <w:rFonts w:ascii="Times New Roman" w:cs="Times New Roman" w:eastAsia="Times New Roman" w:hAnsi="Times New Roman"/>
          <w:b/>
          <w:bCs/>
          <w:color w:val="020617"/>
          <w:sz w:val="28"/>
          <w:szCs w:val="28"/>
        </w:rPr>
        <w:t xml:space="preserve">5.2 Self-Critique and Correction</w:t>
      </w:r>
    </w:p>
    <w:p>
      <w:pPr>
        <w:spacing w:after="200" w:line="312"/>
        <w:jc w:val="both"/>
      </w:pPr>
      <w:r>
        <w:rPr>
          <w:rFonts w:ascii="Times New Roman" w:cs="Times New Roman" w:eastAsia="Times New Roman" w:hAnsi="Times New Roman"/>
          <w:color w:val="1E293B"/>
          <w:sz w:val="22"/>
          <w:szCs w:val="22"/>
        </w:rPr>
        <w:t xml:space="preserve">Self-critique extends self-reflection by having the model explicitly critique its own outputs before finalizing them. The process involves generating an initial answer or reasoning, prompting the model to critique its own output for errors, weaknesses, or oversights, revising the output based on the critique, and optionally repeating the critique-revise cycle.</w:t>
      </w:r>
    </w:p>
    <w:p>
      <w:pPr>
        <w:spacing w:after="200" w:line="312"/>
        <w:jc w:val="both"/>
      </w:pPr>
      <w:r>
        <w:rPr>
          <w:rFonts w:ascii="Times New Roman" w:cs="Times New Roman" w:eastAsia="Times New Roman" w:hAnsi="Times New Roman"/>
          <w:color w:val="1E293B"/>
          <w:sz w:val="22"/>
          <w:szCs w:val="22"/>
        </w:rPr>
        <w:t xml:space="preserve">Research has shown that self-critique is most effective when combined with external tools or signals. Pure self-critique (without external validation) can lead to sycophantic behavior where the model agrees with its own errors. However, when combined with tool use or adversarial feedback, self-critique becomes a powerful mechanism for error correction.</w:t>
      </w:r>
    </w:p>
    <w:p>
      <w:pPr>
        <w:pStyle w:val="Heading2"/>
        <w:spacing w:after="150" w:before="300" w:line="312"/>
      </w:pPr>
      <w:r>
        <w:rPr>
          <w:rFonts w:ascii="Times New Roman" w:cs="Times New Roman" w:eastAsia="Times New Roman" w:hAnsi="Times New Roman"/>
          <w:b/>
          <w:bCs/>
          <w:color w:val="020617"/>
          <w:sz w:val="28"/>
          <w:szCs w:val="28"/>
        </w:rPr>
        <w:t xml:space="preserve">5.3 Multi-Agent Reflection</w:t>
      </w:r>
    </w:p>
    <w:p>
      <w:pPr>
        <w:spacing w:after="200" w:line="312"/>
        <w:jc w:val="both"/>
      </w:pPr>
      <w:r>
        <w:rPr>
          <w:rFonts w:ascii="Times New Roman" w:cs="Times New Roman" w:eastAsia="Times New Roman" w:hAnsi="Times New Roman"/>
          <w:color w:val="1E293B"/>
          <w:sz w:val="22"/>
          <w:szCs w:val="22"/>
        </w:rPr>
        <w:t xml:space="preserve">Multi-agent reflection extends self-correction by distributing the critique function across multiple agents. Instead of a single agent critiquing itself, different agents take on the roles of generator and critic. This separation addresses the sycophancy problem by ensuring the critic approaches the output with fresh perspective and distinct system prompt.</w:t>
      </w:r>
    </w:p>
    <w:p>
      <w:pPr>
        <w:spacing w:after="200" w:line="312"/>
        <w:jc w:val="both"/>
      </w:pPr>
      <w:r>
        <w:rPr>
          <w:rFonts w:ascii="Times New Roman" w:cs="Times New Roman" w:eastAsia="Times New Roman" w:hAnsi="Times New Roman"/>
          <w:color w:val="1E293B"/>
          <w:sz w:val="22"/>
          <w:szCs w:val="22"/>
        </w:rPr>
        <w:t xml:space="preserve">Recent work on Reinforced Multi-Agent Reflection (ICML 2025) demonstrates how reinforcement learning can train an actor-critic LLM system to iteratively refine answers through direct preference learning on self-generated data. The critic learns to identify specific weaknesses, while the generator learns to address those weaknesses in subsequent iterations.</w:t>
      </w:r>
    </w:p>
    <w:p>
      <w:pPr>
        <w:pStyle w:val="Heading1"/>
        <w:spacing w:after="200" w:before="400" w:line="312"/>
      </w:pPr>
      <w:r>
        <w:rPr>
          <w:rFonts w:ascii="Times New Roman" w:cs="Times New Roman" w:eastAsia="Times New Roman" w:hAnsi="Times New Roman"/>
          <w:b/>
          <w:bCs/>
          <w:color w:val="020617"/>
          <w:sz w:val="36"/>
          <w:szCs w:val="36"/>
        </w:rPr>
        <w:t xml:space="preserve">6. Multi-Agent Coordination Patterns</w:t>
      </w:r>
    </w:p>
    <w:p>
      <w:pPr>
        <w:spacing w:after="200" w:line="312"/>
        <w:jc w:val="both"/>
      </w:pPr>
      <w:r>
        <w:rPr>
          <w:rFonts w:ascii="Times New Roman" w:cs="Times New Roman" w:eastAsia="Times New Roman" w:hAnsi="Times New Roman"/>
          <w:color w:val="1E293B"/>
          <w:sz w:val="22"/>
          <w:szCs w:val="22"/>
        </w:rPr>
        <w:t xml:space="preserve">Multi-agent systems enable specialized agents to collaborate on complex tasks. For investigation engines, multi-agent architectures enable the separation of concerns between planning, evidence gathering, adversarial review, and synthesis.</w:t>
      </w:r>
    </w:p>
    <w:p>
      <w:pPr>
        <w:pStyle w:val="Heading2"/>
        <w:spacing w:after="150" w:before="300" w:line="312"/>
      </w:pPr>
      <w:r>
        <w:rPr>
          <w:rFonts w:ascii="Times New Roman" w:cs="Times New Roman" w:eastAsia="Times New Roman" w:hAnsi="Times New Roman"/>
          <w:b/>
          <w:bCs/>
          <w:color w:val="020617"/>
          <w:sz w:val="28"/>
          <w:szCs w:val="28"/>
        </w:rPr>
        <w:t xml:space="preserve">6.1 Multi-Agent Debate</w:t>
      </w:r>
    </w:p>
    <w:p>
      <w:pPr>
        <w:spacing w:after="200" w:line="312"/>
        <w:jc w:val="both"/>
      </w:pPr>
      <w:r>
        <w:rPr>
          <w:rFonts w:ascii="Times New Roman" w:cs="Times New Roman" w:eastAsia="Times New Roman" w:hAnsi="Times New Roman"/>
          <w:color w:val="1E293B"/>
          <w:sz w:val="22"/>
          <w:szCs w:val="22"/>
        </w:rPr>
        <w:t xml:space="preserve">Multi-Agent Debate (MAD) leverages adversarial interaction between agents to improve reasoning quality. The core mechanism involves multiple agents proposing solutions or conclusions, agents challenging each other's proposals, a synthesis process that integrates insights from the debate, and a decision mechanism (voting or judge) to determine final output.</w:t>
      </w:r>
    </w:p>
    <w:p>
      <w:pPr>
        <w:spacing w:after="200" w:line="312"/>
        <w:jc w:val="both"/>
      </w:pPr>
      <w:r>
        <w:rPr>
          <w:rFonts w:ascii="Times New Roman" w:cs="Times New Roman" w:eastAsia="Times New Roman" w:hAnsi="Times New Roman"/>
          <w:color w:val="1E293B"/>
          <w:sz w:val="22"/>
          <w:szCs w:val="22"/>
        </w:rPr>
        <w:t xml:space="preserve">Research on MAD has demonstrated significant benefits. Debate can surface weaknesses in reasoning that single-agent systems miss. The adversarial pressure forces agents to justify their conclusions more rigorously. Multiple perspectives reduce the risk of confirmation bias. However, recent controlled studies (November 2025) have shown that debate effectiveness varies significantly with task type and agent configuration.</w:t>
      </w:r>
    </w:p>
    <w:p>
      <w:pPr>
        <w:spacing w:after="200" w:line="312"/>
        <w:jc w:val="both"/>
      </w:pPr>
      <w:r>
        <w:rPr>
          <w:rFonts w:ascii="Times New Roman" w:cs="Times New Roman" w:eastAsia="Times New Roman" w:hAnsi="Times New Roman"/>
          <w:color w:val="1E293B"/>
          <w:sz w:val="22"/>
          <w:szCs w:val="22"/>
        </w:rPr>
        <w:t xml:space="preserve">For Dossier, the debate pattern is instantiated in the Adversary agent's role. Rather than debate among researchers, Dossier uses a dedicated Adversary agent whose sole purpose is to challenge conclusions. This asymmetric approach avoids the complexity of managing multi-way debates while still capturing the benefits of adversarial review.</w:t>
      </w:r>
    </w:p>
    <w:p>
      <w:pPr>
        <w:pStyle w:val="Heading2"/>
        <w:spacing w:after="150" w:before="300" w:line="312"/>
      </w:pPr>
      <w:r>
        <w:rPr>
          <w:rFonts w:ascii="Times New Roman" w:cs="Times New Roman" w:eastAsia="Times New Roman" w:hAnsi="Times New Roman"/>
          <w:b/>
          <w:bCs/>
          <w:color w:val="020617"/>
          <w:sz w:val="28"/>
          <w:szCs w:val="28"/>
        </w:rPr>
        <w:t xml:space="preserve">6.2 Consensus Formation</w:t>
      </w:r>
    </w:p>
    <w:p>
      <w:pPr>
        <w:spacing w:after="200" w:line="312"/>
        <w:jc w:val="both"/>
      </w:pPr>
      <w:r>
        <w:rPr>
          <w:rFonts w:ascii="Times New Roman" w:cs="Times New Roman" w:eastAsia="Times New Roman" w:hAnsi="Times New Roman"/>
          <w:color w:val="1E293B"/>
          <w:sz w:val="22"/>
          <w:szCs w:val="22"/>
        </w:rPr>
        <w:t xml:space="preserve">Consensus mechanisms enable multiple agents to converge on shared conclusions. Approaches range from simple voting (majority rule) to sophisticated agreement protocols that require explicit justification. Free-MAD (September 2025) demonstrates that consensus-free approaches can sometimes outperform consensus requirements, particularly when minority perspectives contain valuable insights.</w:t>
      </w:r>
    </w:p>
    <w:p>
      <w:pPr>
        <w:spacing w:after="200" w:line="312"/>
        <w:jc w:val="both"/>
      </w:pPr>
      <w:r>
        <w:rPr>
          <w:rFonts w:ascii="Times New Roman" w:cs="Times New Roman" w:eastAsia="Times New Roman" w:hAnsi="Times New Roman"/>
          <w:color w:val="1E293B"/>
          <w:sz w:val="22"/>
          <w:szCs w:val="22"/>
        </w:rPr>
        <w:t xml:space="preserve">For investigation engines, consensus is relevant when multiple Researcher agents investigating different lanes arrive at overlapping conclusions. The convergence of independent lines of evidence strengthens confidence. However, consensus should not suppress legitimate disagreement—contradictions between lanes may signal important nuances or gaps.</w:t>
      </w:r>
    </w:p>
    <w:p>
      <w:pPr>
        <w:pStyle w:val="Heading2"/>
        <w:spacing w:after="150" w:before="300" w:line="312"/>
      </w:pPr>
      <w:r>
        <w:rPr>
          <w:rFonts w:ascii="Times New Roman" w:cs="Times New Roman" w:eastAsia="Times New Roman" w:hAnsi="Times New Roman"/>
          <w:b/>
          <w:bCs/>
          <w:color w:val="020617"/>
          <w:sz w:val="28"/>
          <w:szCs w:val="28"/>
        </w:rPr>
        <w:t xml:space="preserve">6.3 Role-Based Specialization</w:t>
      </w:r>
    </w:p>
    <w:p>
      <w:pPr>
        <w:spacing w:after="200" w:line="312"/>
        <w:jc w:val="both"/>
      </w:pPr>
      <w:r>
        <w:rPr>
          <w:rFonts w:ascii="Times New Roman" w:cs="Times New Roman" w:eastAsia="Times New Roman" w:hAnsi="Times New Roman"/>
          <w:color w:val="1E293B"/>
          <w:sz w:val="22"/>
          <w:szCs w:val="22"/>
        </w:rPr>
        <w:t xml:space="preserve">Modern multi-agent frameworks like CrewAI and AutoGen emphasize role-based specialization, where different agents assume distinct responsibilities based on their expertise or function. This mirrors human team structures where different specialists contribute different skills.</w:t>
      </w:r>
    </w:p>
    <w:p>
      <w:pPr>
        <w:spacing w:after="200" w:line="312"/>
        <w:jc w:val="both"/>
      </w:pPr>
      <w:r>
        <w:rPr>
          <w:rFonts w:ascii="Times New Roman" w:cs="Times New Roman" w:eastAsia="Times New Roman" w:hAnsi="Times New Roman"/>
          <w:color w:val="1E293B"/>
          <w:sz w:val="22"/>
          <w:szCs w:val="22"/>
        </w:rPr>
        <w:t xml:space="preserve">The Dossier architecture exemplifies role-based specialization with five distinct agent types: Planner Agent scopes investigations and creates research plans; Researcher Agents gather and extract evidence; Adversary Agent challenges conclusions and identifies contradictions; Analyst Agent performs cross-evidence reasoning and derives deductions; Writer Agent synthesizes findings into the final dossier.</w:t>
      </w:r>
    </w:p>
    <w:p>
      <w:pPr>
        <w:spacing w:after="200" w:line="312"/>
        <w:jc w:val="both"/>
      </w:pPr>
      <w:r>
        <w:rPr>
          <w:rFonts w:ascii="Times New Roman" w:cs="Times New Roman" w:eastAsia="Times New Roman" w:hAnsi="Times New Roman"/>
          <w:color w:val="1E293B"/>
          <w:sz w:val="22"/>
          <w:szCs w:val="22"/>
        </w:rPr>
        <w:t xml:space="preserve">This specialization enables each agent type to be optimized for its specific function through tailored system prompts, tool access restrictions, and output format requirements. The separation also creates clear accountability—each agent type can be evaluated on its specific contribution to the investigation.</w:t>
      </w:r>
    </w:p>
    <w:p>
      <w:pPr>
        <w:pStyle w:val="Heading1"/>
        <w:spacing w:after="200" w:before="400" w:line="312"/>
      </w:pPr>
      <w:r>
        <w:rPr>
          <w:rFonts w:ascii="Times New Roman" w:cs="Times New Roman" w:eastAsia="Times New Roman" w:hAnsi="Times New Roman"/>
          <w:b/>
          <w:bCs/>
          <w:color w:val="020617"/>
          <w:sz w:val="36"/>
          <w:szCs w:val="36"/>
        </w:rPr>
        <w:t xml:space="preserve">7. Evidence Management and Trust Mechanisms</w:t>
      </w:r>
    </w:p>
    <w:p>
      <w:pPr>
        <w:spacing w:after="200" w:line="312"/>
        <w:jc w:val="both"/>
      </w:pPr>
      <w:r>
        <w:rPr>
          <w:rFonts w:ascii="Times New Roman" w:cs="Times New Roman" w:eastAsia="Times New Roman" w:hAnsi="Times New Roman"/>
          <w:color w:val="1E293B"/>
          <w:sz w:val="22"/>
          <w:szCs w:val="22"/>
        </w:rPr>
        <w:t xml:space="preserve">Evidence management algorithms track the provenance, quality, and independence of information used in reasoning. These mechanisms are foundational for building trustworthy AI systems, particularly in investigation contexts where conclusions must be traceable to sources.</w:t>
      </w:r>
    </w:p>
    <w:p>
      <w:pPr>
        <w:pStyle w:val="Heading2"/>
        <w:spacing w:after="150" w:before="300" w:line="312"/>
      </w:pPr>
      <w:r>
        <w:rPr>
          <w:rFonts w:ascii="Times New Roman" w:cs="Times New Roman" w:eastAsia="Times New Roman" w:hAnsi="Times New Roman"/>
          <w:b/>
          <w:bCs/>
          <w:color w:val="020617"/>
          <w:sz w:val="28"/>
          <w:szCs w:val="28"/>
        </w:rPr>
        <w:t xml:space="preserve">7.1 Source Independence Detection</w:t>
      </w:r>
    </w:p>
    <w:p>
      <w:pPr>
        <w:spacing w:after="200" w:line="312"/>
        <w:jc w:val="both"/>
      </w:pPr>
      <w:r>
        <w:rPr>
          <w:rFonts w:ascii="Times New Roman" w:cs="Times New Roman" w:eastAsia="Times New Roman" w:hAnsi="Times New Roman"/>
          <w:color w:val="1E293B"/>
          <w:sz w:val="22"/>
          <w:szCs w:val="22"/>
        </w:rPr>
        <w:t xml:space="preserve">Source independence detection addresses a critical failure mode in AI research systems: counting derived sources as independent evidence. If five articles all cite the same press release, there is only one source of evidence, not five. However, most AI systems count sources naively, leading to inflated confidence scores.</w:t>
      </w:r>
    </w:p>
    <w:p>
      <w:pPr>
        <w:spacing w:after="200" w:line="312"/>
        <w:jc w:val="both"/>
      </w:pPr>
      <w:r>
        <w:rPr>
          <w:rFonts w:ascii="Times New Roman" w:cs="Times New Roman" w:eastAsia="Times New Roman" w:hAnsi="Times New Roman"/>
          <w:color w:val="1E293B"/>
          <w:sz w:val="22"/>
          <w:szCs w:val="22"/>
        </w:rPr>
        <w:t xml:space="preserve">The algorithmic approach to independence detection involves citation graph construction, identifying citations and references within source documents, building a directed graph of information flow, identifying primary sources (nodes with no incoming citations), detecting derivative chains (paths from primary to secondary sources), calculating true independence by counting only primary sources and independent investigations, and computing an inflation factor measuring the ratio of apparent to true independence.</w:t>
      </w:r>
    </w:p>
    <w:p>
      <w:pPr>
        <w:spacing w:after="200" w:line="312"/>
        <w:jc w:val="both"/>
      </w:pPr>
      <w:r>
        <w:rPr>
          <w:rFonts w:ascii="Times New Roman" w:cs="Times New Roman" w:eastAsia="Times New Roman" w:hAnsi="Times New Roman"/>
          <w:color w:val="1E293B"/>
          <w:sz w:val="22"/>
          <w:szCs w:val="22"/>
        </w:rPr>
        <w:t xml:space="preserve">For Dossier, source independence detection is implemented as a core feature of the Evidence Engine. The source independence graph is exposed to users, enabling them to see exactly which sources are truly independent versus derived from common origins.</w:t>
      </w:r>
    </w:p>
    <w:p>
      <w:pPr>
        <w:pStyle w:val="Heading2"/>
        <w:spacing w:after="150" w:before="300" w:line="312"/>
      </w:pPr>
      <w:r>
        <w:rPr>
          <w:rFonts w:ascii="Times New Roman" w:cs="Times New Roman" w:eastAsia="Times New Roman" w:hAnsi="Times New Roman"/>
          <w:b/>
          <w:bCs/>
          <w:color w:val="020617"/>
          <w:sz w:val="28"/>
          <w:szCs w:val="28"/>
        </w:rPr>
        <w:t xml:space="preserve">7.2 Provenance Tracking</w:t>
      </w:r>
    </w:p>
    <w:p>
      <w:pPr>
        <w:spacing w:after="200" w:line="312"/>
        <w:jc w:val="both"/>
      </w:pPr>
      <w:r>
        <w:rPr>
          <w:rFonts w:ascii="Times New Roman" w:cs="Times New Roman" w:eastAsia="Times New Roman" w:hAnsi="Times New Roman"/>
          <w:color w:val="1E293B"/>
          <w:sz w:val="22"/>
          <w:szCs w:val="22"/>
        </w:rPr>
        <w:t xml:space="preserve">Data provenance (also called data lineage) tracks the complete history of information: its origin, transformations, and movements through a system. For investigation engines, provenance tracking creates an audit trail from every claim back to its original source, enabling verification and accountability.</w:t>
      </w:r>
    </w:p>
    <w:p>
      <w:pPr>
        <w:spacing w:after="200" w:line="312"/>
        <w:jc w:val="both"/>
      </w:pPr>
      <w:r>
        <w:rPr>
          <w:rFonts w:ascii="Times New Roman" w:cs="Times New Roman" w:eastAsia="Times New Roman" w:hAnsi="Times New Roman"/>
          <w:color w:val="1E293B"/>
          <w:sz w:val="22"/>
          <w:szCs w:val="22"/>
        </w:rPr>
        <w:t xml:space="preserve">The provenance chain for each evidence item includes source metadata (URL, title, author, publisher, publication date, source class), extraction context (retrieval timestamp, extraction method, specific quote or data point), relevance assessment (relationship to the question or hypothesis), quality indicators (source credibility, freshness, specificity), and independence status (primary source vs. derivative).</w:t>
      </w:r>
    </w:p>
    <w:p>
      <w:pPr>
        <w:pStyle w:val="Heading2"/>
        <w:spacing w:after="150" w:before="300" w:line="312"/>
      </w:pPr>
      <w:r>
        <w:rPr>
          <w:rFonts w:ascii="Times New Roman" w:cs="Times New Roman" w:eastAsia="Times New Roman" w:hAnsi="Times New Roman"/>
          <w:b/>
          <w:bCs/>
          <w:color w:val="020617"/>
          <w:sz w:val="28"/>
          <w:szCs w:val="28"/>
        </w:rPr>
        <w:t xml:space="preserve">7.3 Adversarial Confidence Scoring</w:t>
      </w:r>
    </w:p>
    <w:p>
      <w:pPr>
        <w:spacing w:after="200" w:line="312"/>
        <w:jc w:val="both"/>
      </w:pPr>
      <w:r>
        <w:rPr>
          <w:rFonts w:ascii="Times New Roman" w:cs="Times New Roman" w:eastAsia="Times New Roman" w:hAnsi="Times New Roman"/>
          <w:color w:val="1E293B"/>
          <w:sz w:val="22"/>
          <w:szCs w:val="22"/>
        </w:rPr>
        <w:t xml:space="preserve">Traditional confidence scores are single-dimensional metrics that fail to capture the complexity of evidence quality. Dossier's adversarial confidence model uses two independent axes: support strength measuring how strong the evidence is for a claim, and challenge strength measuring how strong the evidence is against a claim.</w:t>
      </w:r>
    </w:p>
    <w:p>
      <w:pPr>
        <w:spacing w:after="200" w:line="312"/>
        <w:jc w:val="both"/>
      </w:pPr>
      <w:r>
        <w:rPr>
          <w:rFonts w:ascii="Times New Roman" w:cs="Times New Roman" w:eastAsia="Times New Roman" w:hAnsi="Times New Roman"/>
          <w:color w:val="1E293B"/>
          <w:sz w:val="22"/>
          <w:szCs w:val="22"/>
        </w:rPr>
        <w:t xml:space="preserve">This two-dimensional approach produces four confidence categories: Settled (strong support, weak challenge) where the evidence strongly supports the claim with no significant contradictions; Contested (strong support, strong challenge) where evidence exists on both sides, requiring deeper investigation; Uncertain (weak support, weak challenge) where there is insufficient evidence either way; and Doubtful (weak support, strong challenge) where more evidence opposes than supports the claim.</w:t>
      </w:r>
    </w:p>
    <w:p>
      <w:pPr>
        <w:pStyle w:val="Heading2"/>
        <w:spacing w:after="150" w:before="300" w:line="312"/>
      </w:pPr>
      <w:r>
        <w:rPr>
          <w:rFonts w:ascii="Times New Roman" w:cs="Times New Roman" w:eastAsia="Times New Roman" w:hAnsi="Times New Roman"/>
          <w:b/>
          <w:bCs/>
          <w:color w:val="020617"/>
          <w:sz w:val="28"/>
          <w:szCs w:val="28"/>
        </w:rPr>
        <w:t xml:space="preserve">7.4 Uncertainty Quantification for Hallucination Detection</w:t>
      </w:r>
    </w:p>
    <w:p>
      <w:pPr>
        <w:spacing w:after="200" w:line="312"/>
        <w:jc w:val="both"/>
      </w:pPr>
      <w:r>
        <w:rPr>
          <w:rFonts w:ascii="Times New Roman" w:cs="Times New Roman" w:eastAsia="Times New Roman" w:hAnsi="Times New Roman"/>
          <w:color w:val="1E293B"/>
          <w:sz w:val="22"/>
          <w:szCs w:val="22"/>
        </w:rPr>
        <w:t xml:space="preserve">Recent research (Nature 2024) demonstrates that uncertainty quantification can effectively detect LLM hallucinations. The approach uses entropy-based uncertainty estimators to identify when model predictions are unreliable. High uncertainty correlates with hallucinated content, enabling systems to flag potentially unreliable outputs for human review.</w:t>
      </w:r>
    </w:p>
    <w:p>
      <w:pPr>
        <w:spacing w:after="200" w:line="312"/>
        <w:jc w:val="both"/>
      </w:pPr>
      <w:r>
        <w:rPr>
          <w:rFonts w:ascii="Times New Roman" w:cs="Times New Roman" w:eastAsia="Times New Roman" w:hAnsi="Times New Roman"/>
          <w:color w:val="1E293B"/>
          <w:sz w:val="22"/>
          <w:szCs w:val="22"/>
        </w:rPr>
        <w:t xml:space="preserve">For investigation engines, uncertainty quantification provides an additional layer of quality control. When the Analyst agent derives a deduction, uncertainty estimates can signal whether the reasoning is on solid ground or speculative. Similarly, evidence extractions with high uncertainty can be flagged for verification.</w:t>
      </w:r>
    </w:p>
    <w:p>
      <w:pPr>
        <w:pStyle w:val="Heading1"/>
        <w:spacing w:after="200" w:before="400" w:line="312"/>
      </w:pPr>
      <w:r>
        <w:rPr>
          <w:rFonts w:ascii="Times New Roman" w:cs="Times New Roman" w:eastAsia="Times New Roman" w:hAnsi="Times New Roman"/>
          <w:b/>
          <w:bCs/>
          <w:color w:val="020617"/>
          <w:sz w:val="36"/>
          <w:szCs w:val="36"/>
        </w:rPr>
        <w:t xml:space="preserve">8. Retrieval-Augmented Generation and Knowledge Integration</w:t>
      </w:r>
    </w:p>
    <w:p>
      <w:pPr>
        <w:spacing w:after="200" w:line="312"/>
        <w:jc w:val="both"/>
      </w:pPr>
      <w:r>
        <w:rPr>
          <w:rFonts w:ascii="Times New Roman" w:cs="Times New Roman" w:eastAsia="Times New Roman" w:hAnsi="Times New Roman"/>
          <w:color w:val="1E293B"/>
          <w:sz w:val="22"/>
          <w:szCs w:val="22"/>
        </w:rPr>
        <w:t xml:space="preserve">Retrieval-Augmented Generation (RAG) provides the mechanism by which AI agents access and incorporate external information. For investigation engines, advanced RAG techniques enable sophisticated evidence retrieval and integration.</w:t>
      </w:r>
    </w:p>
    <w:p>
      <w:pPr>
        <w:pStyle w:val="Heading2"/>
        <w:spacing w:after="150" w:before="300" w:line="312"/>
      </w:pPr>
      <w:r>
        <w:rPr>
          <w:rFonts w:ascii="Times New Roman" w:cs="Times New Roman" w:eastAsia="Times New Roman" w:hAnsi="Times New Roman"/>
          <w:b/>
          <w:bCs/>
          <w:color w:val="020617"/>
          <w:sz w:val="28"/>
          <w:szCs w:val="28"/>
        </w:rPr>
        <w:t xml:space="preserve">8.1 GraphRAG</w:t>
      </w:r>
    </w:p>
    <w:p>
      <w:pPr>
        <w:spacing w:after="200" w:line="312"/>
        <w:jc w:val="both"/>
      </w:pPr>
      <w:r>
        <w:rPr>
          <w:rFonts w:ascii="Times New Roman" w:cs="Times New Roman" w:eastAsia="Times New Roman" w:hAnsi="Times New Roman"/>
          <w:color w:val="1E293B"/>
          <w:sz w:val="22"/>
          <w:szCs w:val="22"/>
        </w:rPr>
        <w:t xml:space="preserve">GraphRAG extends traditional vector-based RAG by incorporating knowledge graph structure into the retrieval process. Instead of retrieving semantically similar chunks, GraphRAG traverses entity relationships to find relevant information. This enables multi-hop reasoning where answers require connecting information across multiple documents.</w:t>
      </w:r>
    </w:p>
    <w:p>
      <w:pPr>
        <w:spacing w:after="200" w:line="312"/>
        <w:jc w:val="both"/>
      </w:pPr>
      <w:r>
        <w:rPr>
          <w:rFonts w:ascii="Times New Roman" w:cs="Times New Roman" w:eastAsia="Times New Roman" w:hAnsi="Times New Roman"/>
          <w:color w:val="1E293B"/>
          <w:sz w:val="22"/>
          <w:szCs w:val="22"/>
        </w:rPr>
        <w:t xml:space="preserve">StepChain GraphRAG (October 2025) unifies question decomposition with breadth-first search reasoning over knowledge graphs. The system breaks complex questions into sub-questions, retrieves relevant graph segments for each, and iteratively builds the answer through graph traversal. This approach is particularly valuable for investigation engines where answers often require synthesizing information from multiple sources.</w:t>
      </w:r>
    </w:p>
    <w:p>
      <w:pPr>
        <w:pStyle w:val="Heading2"/>
        <w:spacing w:after="150" w:before="300" w:line="312"/>
      </w:pPr>
      <w:r>
        <w:rPr>
          <w:rFonts w:ascii="Times New Roman" w:cs="Times New Roman" w:eastAsia="Times New Roman" w:hAnsi="Times New Roman"/>
          <w:b/>
          <w:bCs/>
          <w:color w:val="020617"/>
          <w:sz w:val="28"/>
          <w:szCs w:val="28"/>
        </w:rPr>
        <w:t xml:space="preserve">8.2 Agentic RAG</w:t>
      </w:r>
    </w:p>
    <w:p>
      <w:pPr>
        <w:spacing w:after="200" w:line="312"/>
        <w:jc w:val="both"/>
      </w:pPr>
      <w:r>
        <w:rPr>
          <w:rFonts w:ascii="Times New Roman" w:cs="Times New Roman" w:eastAsia="Times New Roman" w:hAnsi="Times New Roman"/>
          <w:color w:val="1E293B"/>
          <w:sz w:val="22"/>
          <w:szCs w:val="22"/>
        </w:rPr>
        <w:t xml:space="preserve">Agentic RAG (January 2025 survey) represents the convergence of RAG systems with autonomous agent capabilities. In agentic RAG, retrieval is not a single step but an iterative process guided by agent reasoning. The agent decides what to retrieve, evaluates the results, and determines whether additional retrieval is needed.</w:t>
      </w:r>
    </w:p>
    <w:p>
      <w:pPr>
        <w:spacing w:after="200" w:line="312"/>
        <w:jc w:val="both"/>
      </w:pPr>
      <w:r>
        <w:rPr>
          <w:rFonts w:ascii="Times New Roman" w:cs="Times New Roman" w:eastAsia="Times New Roman" w:hAnsi="Times New Roman"/>
          <w:color w:val="1E293B"/>
          <w:sz w:val="22"/>
          <w:szCs w:val="22"/>
        </w:rPr>
        <w:t xml:space="preserve">AirRAG (EMNLP 2025) demonstrates autonomous strategic planning and reasoning in RAG systems. The approach activates planning and reasoning capabilities to guide retrieval strategically, rather than relying on fixed retrieval policies. For investigation engines, agentic RAG enables adaptive evidence gathering where the search strategy evolves based on what has been discovered.</w:t>
      </w:r>
    </w:p>
    <w:p>
      <w:pPr>
        <w:pStyle w:val="Heading2"/>
        <w:spacing w:after="150" w:before="300" w:line="312"/>
      </w:pPr>
      <w:r>
        <w:rPr>
          <w:rFonts w:ascii="Times New Roman" w:cs="Times New Roman" w:eastAsia="Times New Roman" w:hAnsi="Times New Roman"/>
          <w:b/>
          <w:bCs/>
          <w:color w:val="020617"/>
          <w:sz w:val="28"/>
          <w:szCs w:val="28"/>
        </w:rPr>
        <w:t xml:space="preserve">8.3 Temporal Knowledge Graphs</w:t>
      </w:r>
    </w:p>
    <w:p>
      <w:pPr>
        <w:spacing w:after="200" w:line="312"/>
        <w:jc w:val="both"/>
      </w:pPr>
      <w:r>
        <w:rPr>
          <w:rFonts w:ascii="Times New Roman" w:cs="Times New Roman" w:eastAsia="Times New Roman" w:hAnsi="Times New Roman"/>
          <w:color w:val="1E293B"/>
          <w:sz w:val="22"/>
          <w:szCs w:val="22"/>
        </w:rPr>
        <w:t xml:space="preserve">Temporal Knowledge Graphs (TKGs) extend static knowledge graphs with time-aware relationships. Events and facts are annotated with temporal validity, enabling reasoning about when things happened, how long they lasted, and how information evolved over time. This temporal dimension is essential for investigation engines where timing often reveals crucial patterns.</w:t>
      </w:r>
    </w:p>
    <w:p>
      <w:pPr>
        <w:spacing w:after="200" w:line="312"/>
        <w:jc w:val="both"/>
      </w:pPr>
      <w:r>
        <w:rPr>
          <w:rFonts w:ascii="Times New Roman" w:cs="Times New Roman" w:eastAsia="Times New Roman" w:hAnsi="Times New Roman"/>
          <w:color w:val="1E293B"/>
          <w:sz w:val="22"/>
          <w:szCs w:val="22"/>
        </w:rPr>
        <w:t xml:space="preserve">OpenAI's Temporal Agents with Knowledge Graphs demonstrates how TKGs can support richer retrieval workflows including factual Q&amp;A with time constraints, reasoning about event sequences, and understanding how information evolved. For Dossier, temporal knowledge graphs enable the Analyst agent to detect temporal patterns in evidence—sequences of events that suggest causal relationships even when no source explicitly connects them.</w:t>
      </w:r>
    </w:p>
    <w:p>
      <w:pPr>
        <w:pStyle w:val="Heading1"/>
        <w:spacing w:after="200" w:before="400" w:line="312"/>
      </w:pPr>
      <w:r>
        <w:rPr>
          <w:rFonts w:ascii="Times New Roman" w:cs="Times New Roman" w:eastAsia="Times New Roman" w:hAnsi="Times New Roman"/>
          <w:b/>
          <w:bCs/>
          <w:color w:val="020617"/>
          <w:sz w:val="36"/>
          <w:szCs w:val="36"/>
        </w:rPr>
        <w:t xml:space="preserve">9. AI Agent Frameworks Comparison</w:t>
      </w:r>
    </w:p>
    <w:p>
      <w:pPr>
        <w:spacing w:after="200" w:line="312"/>
        <w:jc w:val="both"/>
      </w:pPr>
      <w:r>
        <w:rPr>
          <w:rFonts w:ascii="Times New Roman" w:cs="Times New Roman" w:eastAsia="Times New Roman" w:hAnsi="Times New Roman"/>
          <w:color w:val="1E293B"/>
          <w:sz w:val="22"/>
          <w:szCs w:val="22"/>
        </w:rPr>
        <w:t xml:space="preserve">Several open-source frameworks provide infrastructure for building multi-agent AI systems. This section compares the major frameworks relevant to investigation engine development.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340"/>
        <w:gridCol w:w="2340"/>
        <w:gridCol w:w="2340"/>
        <w:gridCol w:w="2340"/>
      </w:tblGrid>
      <w:tr>
        <w:trPr>
          <w:tblHeader/>
        </w:trPr>
        <w:tc>
          <w:tcPr>
            <w:tcW w:type="dxa" w:w="234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Framework</w:t>
            </w:r>
          </w:p>
        </w:tc>
        <w:tc>
          <w:tcPr>
            <w:tcW w:type="dxa" w:w="234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Key Features</w:t>
            </w:r>
          </w:p>
        </w:tc>
        <w:tc>
          <w:tcPr>
            <w:tcW w:type="dxa" w:w="234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Best For</w:t>
            </w:r>
          </w:p>
        </w:tc>
        <w:tc>
          <w:tcPr>
            <w:tcW w:type="dxa" w:w="234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Limitations</w:t>
            </w:r>
          </w:p>
        </w:tc>
      </w:tr>
      <w:tr>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rFonts w:ascii="Times New Roman" w:cs="Times New Roman" w:eastAsia="Times New Roman" w:hAnsi="Times New Roman"/>
                <w:color w:val="1E293B"/>
                <w:sz w:val="20"/>
                <w:szCs w:val="20"/>
              </w:rPr>
              <w:t xml:space="preserve">LangChain</w:t>
            </w:r>
          </w:p>
        </w:tc>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rFonts w:ascii="Times New Roman" w:cs="Times New Roman" w:eastAsia="Times New Roman" w:hAnsi="Times New Roman"/>
                <w:color w:val="1E293B"/>
                <w:sz w:val="20"/>
                <w:szCs w:val="20"/>
              </w:rPr>
              <w:t xml:space="preserve">Extensive tool ecosystem, RAG support, memory systems</w:t>
            </w:r>
          </w:p>
        </w:tc>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rFonts w:ascii="Times New Roman" w:cs="Times New Roman" w:eastAsia="Times New Roman" w:hAnsi="Times New Roman"/>
                <w:color w:val="1E293B"/>
                <w:sz w:val="20"/>
                <w:szCs w:val="20"/>
              </w:rPr>
              <w:t xml:space="preserve">General-purpose agent development</w:t>
            </w:r>
          </w:p>
        </w:tc>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rFonts w:ascii="Times New Roman" w:cs="Times New Roman" w:eastAsia="Times New Roman" w:hAnsi="Times New Roman"/>
                <w:color w:val="1E293B"/>
                <w:sz w:val="20"/>
                <w:szCs w:val="20"/>
              </w:rPr>
              <w:t xml:space="preserve">Complexity, learning curve</w:t>
            </w:r>
          </w:p>
        </w:tc>
      </w:tr>
      <w:tr>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rFonts w:ascii="Times New Roman" w:cs="Times New Roman" w:eastAsia="Times New Roman" w:hAnsi="Times New Roman"/>
                <w:color w:val="1E293B"/>
                <w:sz w:val="20"/>
                <w:szCs w:val="20"/>
              </w:rPr>
              <w:t xml:space="preserve">AutoGen</w:t>
            </w:r>
          </w:p>
        </w:tc>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rFonts w:ascii="Times New Roman" w:cs="Times New Roman" w:eastAsia="Times New Roman" w:hAnsi="Times New Roman"/>
                <w:color w:val="1E293B"/>
                <w:sz w:val="20"/>
                <w:szCs w:val="20"/>
              </w:rPr>
              <w:t xml:space="preserve">Multi-agent conversations, human-in-loop, code execution</w:t>
            </w:r>
          </w:p>
        </w:tc>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rFonts w:ascii="Times New Roman" w:cs="Times New Roman" w:eastAsia="Times New Roman" w:hAnsi="Times New Roman"/>
                <w:color w:val="1E293B"/>
                <w:sz w:val="20"/>
                <w:szCs w:val="20"/>
              </w:rPr>
              <w:t xml:space="preserve">Collaborative multi-agent systems</w:t>
            </w:r>
          </w:p>
        </w:tc>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rFonts w:ascii="Times New Roman" w:cs="Times New Roman" w:eastAsia="Times New Roman" w:hAnsi="Times New Roman"/>
                <w:color w:val="1E293B"/>
                <w:sz w:val="20"/>
                <w:szCs w:val="20"/>
              </w:rPr>
              <w:t xml:space="preserve">Microsoft-specific focus</w:t>
            </w:r>
          </w:p>
        </w:tc>
      </w:tr>
      <w:tr>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rFonts w:ascii="Times New Roman" w:cs="Times New Roman" w:eastAsia="Times New Roman" w:hAnsi="Times New Roman"/>
                <w:color w:val="1E293B"/>
                <w:sz w:val="20"/>
                <w:szCs w:val="20"/>
              </w:rPr>
              <w:t xml:space="preserve">CrewAI</w:t>
            </w:r>
          </w:p>
        </w:tc>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rFonts w:ascii="Times New Roman" w:cs="Times New Roman" w:eastAsia="Times New Roman" w:hAnsi="Times New Roman"/>
                <w:color w:val="1E293B"/>
                <w:sz w:val="20"/>
                <w:szCs w:val="20"/>
              </w:rPr>
              <w:t xml:space="preserve">Role-based agents, sequential processes, clean API</w:t>
            </w:r>
          </w:p>
        </w:tc>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rFonts w:ascii="Times New Roman" w:cs="Times New Roman" w:eastAsia="Times New Roman" w:hAnsi="Times New Roman"/>
                <w:color w:val="1E293B"/>
                <w:sz w:val="20"/>
                <w:szCs w:val="20"/>
              </w:rPr>
              <w:t xml:space="preserve">Production multi-agent workflows</w:t>
            </w:r>
          </w:p>
        </w:tc>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rFonts w:ascii="Times New Roman" w:cs="Times New Roman" w:eastAsia="Times New Roman" w:hAnsi="Times New Roman"/>
                <w:color w:val="1E293B"/>
                <w:sz w:val="20"/>
                <w:szCs w:val="20"/>
              </w:rPr>
              <w:t xml:space="preserve">Newer ecosystem</w:t>
            </w:r>
          </w:p>
        </w:tc>
      </w:tr>
      <w:tr>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rFonts w:ascii="Times New Roman" w:cs="Times New Roman" w:eastAsia="Times New Roman" w:hAnsi="Times New Roman"/>
                <w:color w:val="1E293B"/>
                <w:sz w:val="20"/>
                <w:szCs w:val="20"/>
              </w:rPr>
              <w:t xml:space="preserve">MetaGPT</w:t>
            </w:r>
          </w:p>
        </w:tc>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rFonts w:ascii="Times New Roman" w:cs="Times New Roman" w:eastAsia="Times New Roman" w:hAnsi="Times New Roman"/>
                <w:color w:val="1E293B"/>
                <w:sz w:val="20"/>
                <w:szCs w:val="20"/>
              </w:rPr>
              <w:t xml:space="preserve">Software development agents, SOPs, structured output</w:t>
            </w:r>
          </w:p>
        </w:tc>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rFonts w:ascii="Times New Roman" w:cs="Times New Roman" w:eastAsia="Times New Roman" w:hAnsi="Times New Roman"/>
                <w:color w:val="1E293B"/>
                <w:sz w:val="20"/>
                <w:szCs w:val="20"/>
              </w:rPr>
              <w:t xml:space="preserve">Software engineering tasks</w:t>
            </w:r>
          </w:p>
        </w:tc>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rFonts w:ascii="Times New Roman" w:cs="Times New Roman" w:eastAsia="Times New Roman" w:hAnsi="Times New Roman"/>
                <w:color w:val="1E293B"/>
                <w:sz w:val="20"/>
                <w:szCs w:val="20"/>
              </w:rPr>
              <w:t xml:space="preserve">Narrower scope</w:t>
            </w:r>
          </w:p>
        </w:tc>
      </w:tr>
      <w:tr>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rFonts w:ascii="Times New Roman" w:cs="Times New Roman" w:eastAsia="Times New Roman" w:hAnsi="Times New Roman"/>
                <w:color w:val="1E293B"/>
                <w:sz w:val="20"/>
                <w:szCs w:val="20"/>
              </w:rPr>
              <w:t xml:space="preserve">LangGraph</w:t>
            </w:r>
          </w:p>
        </w:tc>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rFonts w:ascii="Times New Roman" w:cs="Times New Roman" w:eastAsia="Times New Roman" w:hAnsi="Times New Roman"/>
                <w:color w:val="1E293B"/>
                <w:sz w:val="20"/>
                <w:szCs w:val="20"/>
              </w:rPr>
              <w:t xml:space="preserve">State machines, cycles, persistent state</w:t>
            </w:r>
          </w:p>
        </w:tc>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rFonts w:ascii="Times New Roman" w:cs="Times New Roman" w:eastAsia="Times New Roman" w:hAnsi="Times New Roman"/>
                <w:color w:val="1E293B"/>
                <w:sz w:val="20"/>
                <w:szCs w:val="20"/>
              </w:rPr>
              <w:t xml:space="preserve">Complex agent workflows</w:t>
            </w:r>
          </w:p>
        </w:tc>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rFonts w:ascii="Times New Roman" w:cs="Times New Roman" w:eastAsia="Times New Roman" w:hAnsi="Times New Roman"/>
                <w:color w:val="1E293B"/>
                <w:sz w:val="20"/>
                <w:szCs w:val="20"/>
              </w:rPr>
              <w:t xml:space="preserve">Lower-level abstraction</w:t>
            </w:r>
          </w:p>
        </w:tc>
      </w:tr>
      <w:tr>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rFonts w:ascii="Times New Roman" w:cs="Times New Roman" w:eastAsia="Times New Roman" w:hAnsi="Times New Roman"/>
                <w:color w:val="1E293B"/>
                <w:sz w:val="20"/>
                <w:szCs w:val="20"/>
              </w:rPr>
              <w:t xml:space="preserve">Smolagents</w:t>
            </w:r>
          </w:p>
        </w:tc>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rFonts w:ascii="Times New Roman" w:cs="Times New Roman" w:eastAsia="Times New Roman" w:hAnsi="Times New Roman"/>
                <w:color w:val="1E293B"/>
                <w:sz w:val="20"/>
                <w:szCs w:val="20"/>
              </w:rPr>
              <w:t xml:space="preserve">Lightweight, minimal dependencies</w:t>
            </w:r>
          </w:p>
        </w:tc>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rFonts w:ascii="Times New Roman" w:cs="Times New Roman" w:eastAsia="Times New Roman" w:hAnsi="Times New Roman"/>
                <w:color w:val="1E293B"/>
                <w:sz w:val="20"/>
                <w:szCs w:val="20"/>
              </w:rPr>
              <w:t xml:space="preserve">Simple agent applications</w:t>
            </w:r>
          </w:p>
        </w:tc>
        <w:tc>
          <w:tcPr>
            <w:tcW w:type="dxa" w:w="2340"/>
            <w:tcBorders>
              <w:top w:val="single" w:color="94A3B8" w:sz="1"/>
              <w:left w:val="single" w:color="94A3B8" w:sz="1"/>
              <w:bottom w:val="single" w:color="94A3B8" w:sz="1"/>
              <w:right w:val="single" w:color="94A3B8" w:sz="1"/>
            </w:tcBorders>
            <w:shd w:fill="F8FAFC" w:val="clear"/>
            <w:vAlign w:val="center"/>
          </w:tcPr>
          <w:p>
            <w:pPr>
              <w:jc w:val="left"/>
            </w:pPr>
            <w:r>
              <w:rPr>
                <w:rFonts w:ascii="Times New Roman" w:cs="Times New Roman" w:eastAsia="Times New Roman" w:hAnsi="Times New Roman"/>
                <w:color w:val="1E293B"/>
                <w:sz w:val="20"/>
                <w:szCs w:val="20"/>
              </w:rPr>
              <w:t xml:space="preserve">Limited features</w:t>
            </w:r>
          </w:p>
        </w:tc>
      </w:tr>
    </w:tbl>
    <w:p>
      <w:pPr>
        <w:spacing w:after="200"/>
      </w:pPr>
    </w:p>
    <w:p>
      <w:pPr>
        <w:spacing w:after="200" w:line="312"/>
        <w:jc w:val="both"/>
      </w:pPr>
      <w:r>
        <w:rPr>
          <w:rFonts w:ascii="Times New Roman" w:cs="Times New Roman" w:eastAsia="Times New Roman" w:hAnsi="Times New Roman"/>
          <w:color w:val="1E293B"/>
          <w:sz w:val="22"/>
          <w:szCs w:val="22"/>
        </w:rPr>
        <w:t xml:space="preserve">For the Dossier investigation engine, the framework choice should prioritize: support for multi-agent orchestration with clear role separation; ability to implement custom state machines for investigation lifecycle; tool integration for search, fetch, and extraction operations; memory systems for evidence storage and retrieval; and local deployment capability aligning with the BYOK model. LangGraph's state machine approach or CrewAI's role-based design appear most aligned with Dossier's requirements.</w:t>
      </w:r>
    </w:p>
    <w:p>
      <w:pPr>
        <w:pStyle w:val="Heading1"/>
        <w:spacing w:after="200" w:before="400" w:line="312"/>
      </w:pPr>
      <w:r>
        <w:rPr>
          <w:rFonts w:ascii="Times New Roman" w:cs="Times New Roman" w:eastAsia="Times New Roman" w:hAnsi="Times New Roman"/>
          <w:b/>
          <w:bCs/>
          <w:color w:val="020617"/>
          <w:sz w:val="36"/>
          <w:szCs w:val="36"/>
        </w:rPr>
        <w:t xml:space="preserve">10. Novel Algorithm Proposal: Adversarial Evidence-Reasoning Graph (AERG)</w:t>
      </w:r>
    </w:p>
    <w:p>
      <w:pPr>
        <w:spacing w:after="200" w:line="312"/>
        <w:jc w:val="both"/>
      </w:pPr>
      <w:r>
        <w:rPr>
          <w:rFonts w:ascii="Times New Roman" w:cs="Times New Roman" w:eastAsia="Times New Roman" w:hAnsi="Times New Roman"/>
          <w:color w:val="1E293B"/>
          <w:sz w:val="22"/>
          <w:szCs w:val="22"/>
        </w:rPr>
        <w:t xml:space="preserve">Based on the comprehensive analysis of existing algorithms and the specific requirements of the Dossier investigation engine, this section proposes a novel integrated algorithm: the Adversarial Evidence-Reasoning Graph (AERG).</w:t>
      </w:r>
    </w:p>
    <w:p>
      <w:pPr>
        <w:pStyle w:val="Heading2"/>
        <w:spacing w:after="150" w:before="300" w:line="312"/>
      </w:pPr>
      <w:r>
        <w:rPr>
          <w:rFonts w:ascii="Times New Roman" w:cs="Times New Roman" w:eastAsia="Times New Roman" w:hAnsi="Times New Roman"/>
          <w:b/>
          <w:bCs/>
          <w:color w:val="020617"/>
          <w:sz w:val="28"/>
          <w:szCs w:val="28"/>
        </w:rPr>
        <w:t xml:space="preserve">10.1 Design Principles</w:t>
      </w:r>
    </w:p>
    <w:p>
      <w:pPr>
        <w:spacing w:after="200" w:line="312"/>
        <w:jc w:val="both"/>
      </w:pPr>
      <w:r>
        <w:rPr>
          <w:rFonts w:ascii="Times New Roman" w:cs="Times New Roman" w:eastAsia="Times New Roman" w:hAnsi="Times New Roman"/>
          <w:color w:val="1E293B"/>
          <w:sz w:val="22"/>
          <w:szCs w:val="22"/>
        </w:rPr>
        <w:t xml:space="preserve">The AERG framework is designed around five core principles derived from the research analysis. First, the evidence graph is primary, meaning all reasoning is grounded in a structured evidence graph that maintains full provenance. Second, adversarial integration is built-in, where challenge mechanisms are not post-hoc additions but integral to the reasoning process. Third, reasoning is graph-structured rather than chain- or tree-structured, enabling complex cross-evidence connections. Fourth, the system implements bounded iteration with explicit convergence criteria to prevent infinite loops while ensuring adequate investigation depth. Fifth, deduction transparency requires that all derived conclusions include explicit derivation chains that can be inspected and challenged.</w:t>
      </w:r>
    </w:p>
    <w:p>
      <w:pPr>
        <w:pStyle w:val="Heading2"/>
        <w:spacing w:after="150" w:before="300" w:line="312"/>
      </w:pPr>
      <w:r>
        <w:rPr>
          <w:rFonts w:ascii="Times New Roman" w:cs="Times New Roman" w:eastAsia="Times New Roman" w:hAnsi="Times New Roman"/>
          <w:b/>
          <w:bCs/>
          <w:color w:val="020617"/>
          <w:sz w:val="28"/>
          <w:szCs w:val="28"/>
        </w:rPr>
        <w:t xml:space="preserve">10.2 Core Architecture</w:t>
      </w:r>
    </w:p>
    <w:p>
      <w:pPr>
        <w:spacing w:after="200" w:line="312"/>
        <w:jc w:val="both"/>
      </w:pPr>
      <w:r>
        <w:rPr>
          <w:rFonts w:ascii="Times New Roman" w:cs="Times New Roman" w:eastAsia="Times New Roman" w:hAnsi="Times New Roman"/>
          <w:color w:val="1E293B"/>
          <w:sz w:val="22"/>
          <w:szCs w:val="22"/>
        </w:rPr>
        <w:t xml:space="preserve">The AERG framework consists of four interconnected layers that work together to process investigations from question to dossier.</w:t>
      </w:r>
    </w:p>
    <w:p>
      <w:pPr>
        <w:pStyle w:val="Heading3"/>
        <w:spacing w:after="100" w:before="200" w:line="312"/>
      </w:pPr>
      <w:r>
        <w:rPr>
          <w:rFonts w:ascii="Times New Roman" w:cs="Times New Roman" w:eastAsia="Times New Roman" w:hAnsi="Times New Roman"/>
          <w:b/>
          <w:bCs/>
          <w:color w:val="64748B"/>
          <w:sz w:val="24"/>
          <w:szCs w:val="24"/>
        </w:rPr>
        <w:t xml:space="preserve">Evidence Graph Layer</w:t>
      </w:r>
    </w:p>
    <w:p>
      <w:pPr>
        <w:spacing w:after="200" w:line="312"/>
        <w:jc w:val="both"/>
      </w:pPr>
      <w:r>
        <w:rPr>
          <w:rFonts w:ascii="Times New Roman" w:cs="Times New Roman" w:eastAsia="Times New Roman" w:hAnsi="Times New Roman"/>
          <w:color w:val="1E293B"/>
          <w:sz w:val="22"/>
          <w:szCs w:val="22"/>
        </w:rPr>
        <w:t xml:space="preserve">The foundation is a directed graph where nodes represent evidence items, claims, and deductions, while edges represent relationships including support, contradiction, derivation, and temporal sequence. Each node carries complete provenance metadata including source, extraction context, and confidence assessment. The graph structure enables efficient queries for supporting evidence, contradictory evidence, and cross-evidence patterns.</w:t>
      </w:r>
    </w:p>
    <w:p>
      <w:pPr>
        <w:pStyle w:val="Heading3"/>
        <w:spacing w:after="100" w:before="200" w:line="312"/>
      </w:pPr>
      <w:r>
        <w:rPr>
          <w:rFonts w:ascii="Times New Roman" w:cs="Times New Roman" w:eastAsia="Times New Roman" w:hAnsi="Times New Roman"/>
          <w:b/>
          <w:bCs/>
          <w:color w:val="64748B"/>
          <w:sz w:val="24"/>
          <w:szCs w:val="24"/>
        </w:rPr>
        <w:t xml:space="preserve">Adversarial Layer</w:t>
      </w:r>
    </w:p>
    <w:p>
      <w:pPr>
        <w:spacing w:after="200" w:line="312"/>
        <w:jc w:val="both"/>
      </w:pPr>
      <w:r>
        <w:rPr>
          <w:rFonts w:ascii="Times New Roman" w:cs="Times New Roman" w:eastAsia="Times New Roman" w:hAnsi="Times New Roman"/>
          <w:color w:val="1E293B"/>
          <w:sz w:val="22"/>
          <w:szCs w:val="22"/>
        </w:rPr>
        <w:t xml:space="preserve">The adversarial layer implements continuous challenge through mechanisms integrated at multiple stages. Hypothesis challenge occurs during planning, where alternative hypotheses are generated alongside primary hypotheses. Source challenge happens during evidence gathering, where the Adversary agent actively searches for contradictory sources. Inference challenge takes place during deduction, where the Adversary critiques reasoning chains for logical validity. Output challenge happens before publication, where the final dossier undergoes systematic review for unsupported claims.</w:t>
      </w:r>
    </w:p>
    <w:p>
      <w:pPr>
        <w:pStyle w:val="Heading3"/>
        <w:spacing w:after="100" w:before="200" w:line="312"/>
      </w:pPr>
      <w:r>
        <w:rPr>
          <w:rFonts w:ascii="Times New Roman" w:cs="Times New Roman" w:eastAsia="Times New Roman" w:hAnsi="Times New Roman"/>
          <w:b/>
          <w:bCs/>
          <w:color w:val="64748B"/>
          <w:sz w:val="24"/>
          <w:szCs w:val="24"/>
        </w:rPr>
        <w:t xml:space="preserve">Reasoning Layer</w:t>
      </w:r>
    </w:p>
    <w:p>
      <w:pPr>
        <w:spacing w:after="200" w:line="312"/>
        <w:jc w:val="both"/>
      </w:pPr>
      <w:r>
        <w:rPr>
          <w:rFonts w:ascii="Times New Roman" w:cs="Times New Roman" w:eastAsia="Times New Roman" w:hAnsi="Times New Roman"/>
          <w:color w:val="1E293B"/>
          <w:sz w:val="22"/>
          <w:szCs w:val="22"/>
        </w:rPr>
        <w:t xml:space="preserve">The reasoning layer implements Graph of Thoughts-style reasoning over the evidence graph. The reasoning process involves expansion of candidate deductions by the Analyst agent, evaluation of each deduction against evidence, pruning of deductions that fail evaluation criteria, and synthesis of surviving deductions into coherent conclusions. This process iterates until convergence criteria are met or budget is exhausted.</w:t>
      </w:r>
    </w:p>
    <w:p>
      <w:pPr>
        <w:pStyle w:val="Heading3"/>
        <w:spacing w:after="100" w:before="200" w:line="312"/>
      </w:pPr>
      <w:r>
        <w:rPr>
          <w:rFonts w:ascii="Times New Roman" w:cs="Times New Roman" w:eastAsia="Times New Roman" w:hAnsi="Times New Roman"/>
          <w:b/>
          <w:bCs/>
          <w:color w:val="64748B"/>
          <w:sz w:val="24"/>
          <w:szCs w:val="24"/>
        </w:rPr>
        <w:t xml:space="preserve">Orchestration Layer</w:t>
      </w:r>
    </w:p>
    <w:p>
      <w:pPr>
        <w:spacing w:after="200" w:line="312"/>
        <w:jc w:val="both"/>
      </w:pPr>
      <w:r>
        <w:rPr>
          <w:rFonts w:ascii="Times New Roman" w:cs="Times New Roman" w:eastAsia="Times New Roman" w:hAnsi="Times New Roman"/>
          <w:color w:val="1E293B"/>
          <w:sz w:val="22"/>
          <w:szCs w:val="22"/>
        </w:rPr>
        <w:t xml:space="preserve">The orchestration layer manages the investigation lifecycle as a state machine. States include Intake, Scoping, Evidence Gathering, Adversarial Review, Gap Filling (optional), Second Review (optional), Deduction, Deduction Review, Assembly, and Publication. Transitions are determined by quality gates that assess whether sufficient evidence has been gathered and whether identified gaps have been addressed.</w:t>
      </w:r>
    </w:p>
    <w:p>
      <w:pPr>
        <w:pStyle w:val="Heading2"/>
        <w:spacing w:after="150" w:before="300" w:line="312"/>
      </w:pPr>
      <w:r>
        <w:rPr>
          <w:rFonts w:ascii="Times New Roman" w:cs="Times New Roman" w:eastAsia="Times New Roman" w:hAnsi="Times New Roman"/>
          <w:b/>
          <w:bCs/>
          <w:color w:val="020617"/>
          <w:sz w:val="28"/>
          <w:szCs w:val="28"/>
        </w:rPr>
        <w:t xml:space="preserve">10.3 Key Algorithms</w:t>
      </w:r>
    </w:p>
    <w:p>
      <w:pPr>
        <w:pStyle w:val="Heading3"/>
        <w:spacing w:after="100" w:before="200" w:line="312"/>
      </w:pPr>
      <w:r>
        <w:rPr>
          <w:rFonts w:ascii="Times New Roman" w:cs="Times New Roman" w:eastAsia="Times New Roman" w:hAnsi="Times New Roman"/>
          <w:b/>
          <w:bCs/>
          <w:color w:val="64748B"/>
          <w:sz w:val="24"/>
          <w:szCs w:val="24"/>
        </w:rPr>
        <w:t xml:space="preserve">Independence-Aware Evidence Aggregation</w:t>
      </w:r>
    </w:p>
    <w:p>
      <w:pPr>
        <w:spacing w:after="200" w:line="312"/>
        <w:jc w:val="both"/>
      </w:pPr>
      <w:r>
        <w:rPr>
          <w:rFonts w:ascii="Times New Roman" w:cs="Times New Roman" w:eastAsia="Times New Roman" w:hAnsi="Times New Roman"/>
          <w:color w:val="1E293B"/>
          <w:sz w:val="22"/>
          <w:szCs w:val="22"/>
        </w:rPr>
        <w:t xml:space="preserve">When multiple sources support a claim, the system computes effective support strength accounting for source independence. The algorithm involves constructing a citation graph from source documents, identifying primary sources and derivative chains, computing independence scores for each source cluster, weighting evidence by independence score, and calculating aggregate support strength with appropriate discounting for dependence.</w:t>
      </w:r>
    </w:p>
    <w:p>
      <w:pPr>
        <w:pStyle w:val="Heading3"/>
        <w:spacing w:after="100" w:before="200" w:line="312"/>
      </w:pPr>
      <w:r>
        <w:rPr>
          <w:rFonts w:ascii="Times New Roman" w:cs="Times New Roman" w:eastAsia="Times New Roman" w:hAnsi="Times New Roman"/>
          <w:b/>
          <w:bCs/>
          <w:color w:val="64748B"/>
          <w:sz w:val="24"/>
          <w:szCs w:val="24"/>
        </w:rPr>
        <w:t xml:space="preserve">Adversarial Hypothesis Generation</w:t>
      </w:r>
    </w:p>
    <w:p>
      <w:pPr>
        <w:spacing w:after="200" w:line="312"/>
        <w:jc w:val="both"/>
      </w:pPr>
      <w:r>
        <w:rPr>
          <w:rFonts w:ascii="Times New Roman" w:cs="Times New Roman" w:eastAsia="Times New Roman" w:hAnsi="Times New Roman"/>
          <w:color w:val="1E293B"/>
          <w:sz w:val="22"/>
          <w:szCs w:val="22"/>
        </w:rPr>
        <w:t xml:space="preserve">Rather than gathering evidence for a single hypothesis, the system generates and tracks competing hypotheses. For each primary hypothesis, the system generates a counter-hypothesis, allocates research effort to both hypotheses proportionally, compares evidence strength for competing hypotheses, and determines which hypothesis is better supported or whether the evidence is inconclusive.</w:t>
      </w:r>
    </w:p>
    <w:p>
      <w:pPr>
        <w:pStyle w:val="Heading3"/>
        <w:spacing w:after="100" w:before="200" w:line="312"/>
      </w:pPr>
      <w:r>
        <w:rPr>
          <w:rFonts w:ascii="Times New Roman" w:cs="Times New Roman" w:eastAsia="Times New Roman" w:hAnsi="Times New Roman"/>
          <w:b/>
          <w:bCs/>
          <w:color w:val="64748B"/>
          <w:sz w:val="24"/>
          <w:szCs w:val="24"/>
        </w:rPr>
        <w:t xml:space="preserve">Cross-Evidence Deduction</w:t>
      </w:r>
    </w:p>
    <w:p>
      <w:pPr>
        <w:spacing w:after="200" w:line="312"/>
        <w:jc w:val="both"/>
      </w:pPr>
      <w:r>
        <w:rPr>
          <w:rFonts w:ascii="Times New Roman" w:cs="Times New Roman" w:eastAsia="Times New Roman" w:hAnsi="Times New Roman"/>
          <w:color w:val="1E293B"/>
          <w:sz w:val="22"/>
          <w:szCs w:val="22"/>
        </w:rPr>
        <w:t xml:space="preserve">The Analyst agent performs cross-evidence reasoning through a systematic process. The system extracts temporal patterns by identifying events with suspicious temporal proximity. It detects cross-source contradictions where evidence conflicts across research lanes. It identifies absence patterns where expected evidence is missing. It connects cross-lane findings where evidence from different lanes relates. It extracts implications by reasoning about what must be true given established facts.</w:t>
      </w:r>
    </w:p>
    <w:p>
      <w:pPr>
        <w:pStyle w:val="Heading3"/>
        <w:spacing w:after="100" w:before="200" w:line="312"/>
      </w:pPr>
      <w:r>
        <w:rPr>
          <w:rFonts w:ascii="Times New Roman" w:cs="Times New Roman" w:eastAsia="Times New Roman" w:hAnsi="Times New Roman"/>
          <w:b/>
          <w:bCs/>
          <w:color w:val="64748B"/>
          <w:sz w:val="24"/>
          <w:szCs w:val="24"/>
        </w:rPr>
        <w:t xml:space="preserve">Derivation Chain Generation</w:t>
      </w:r>
    </w:p>
    <w:p>
      <w:pPr>
        <w:spacing w:after="200" w:line="312"/>
        <w:jc w:val="both"/>
      </w:pPr>
      <w:r>
        <w:rPr>
          <w:rFonts w:ascii="Times New Roman" w:cs="Times New Roman" w:eastAsia="Times New Roman" w:hAnsi="Times New Roman"/>
          <w:color w:val="1E293B"/>
          <w:sz w:val="22"/>
          <w:szCs w:val="22"/>
        </w:rPr>
        <w:t xml:space="preserve">Every deduction includes a machine-readable derivation chain identifying contributing evidence items, the reasoning operations applied, intermediate conclusions, the final deduction statement, confidence assessment with justification, and falsification conditions specifying what evidence would disprove the deduction.</w:t>
      </w:r>
    </w:p>
    <w:p>
      <w:pPr>
        <w:pStyle w:val="Heading2"/>
        <w:spacing w:after="150" w:before="300" w:line="312"/>
      </w:pPr>
      <w:r>
        <w:rPr>
          <w:rFonts w:ascii="Times New Roman" w:cs="Times New Roman" w:eastAsia="Times New Roman" w:hAnsi="Times New Roman"/>
          <w:b/>
          <w:bCs/>
          <w:color w:val="020617"/>
          <w:sz w:val="28"/>
          <w:szCs w:val="28"/>
        </w:rPr>
        <w:t xml:space="preserve">10.4 Implementation Recommendations</w:t>
      </w:r>
    </w:p>
    <w:p>
      <w:pPr>
        <w:spacing w:after="200" w:line="312"/>
        <w:jc w:val="both"/>
      </w:pPr>
      <w:r>
        <w:rPr>
          <w:rFonts w:ascii="Times New Roman" w:cs="Times New Roman" w:eastAsia="Times New Roman" w:hAnsi="Times New Roman"/>
          <w:color w:val="1E293B"/>
          <w:sz w:val="22"/>
          <w:szCs w:val="22"/>
        </w:rPr>
        <w:t xml:space="preserve">Implementation of AERG should follow a phased approach. Phase 1 establishes the evidence graph infrastructure with provenance tracking and basic retrieval. Phase 2 implements the five agent types with appropriate system prompts and tool access. Phase 3 integrates the adversarial review mechanisms at each stage. Phase 4 develops the cross-evidence deduction capabilities of the Analyst agent. Phase 5 refines confidence scoring and output formatting. Phase 6 optimizes performance and adds advanced features like temporal reasoning and living dossiers.</w:t>
      </w:r>
    </w:p>
    <w:p>
      <w:pPr>
        <w:pStyle w:val="Heading2"/>
        <w:spacing w:after="150" w:before="300" w:line="312"/>
      </w:pPr>
      <w:r>
        <w:rPr>
          <w:rFonts w:ascii="Times New Roman" w:cs="Times New Roman" w:eastAsia="Times New Roman" w:hAnsi="Times New Roman"/>
          <w:b/>
          <w:bCs/>
          <w:color w:val="020617"/>
          <w:sz w:val="28"/>
          <w:szCs w:val="28"/>
        </w:rPr>
        <w:t xml:space="preserve">10.5 Advantages Over Existing Approaches</w:t>
      </w:r>
    </w:p>
    <w:p>
      <w:pPr>
        <w:spacing w:after="200" w:line="312"/>
        <w:jc w:val="both"/>
      </w:pPr>
      <w:r>
        <w:rPr>
          <w:rFonts w:ascii="Times New Roman" w:cs="Times New Roman" w:eastAsia="Times New Roman" w:hAnsi="Times New Roman"/>
          <w:color w:val="1E293B"/>
          <w:sz w:val="22"/>
          <w:szCs w:val="22"/>
        </w:rPr>
        <w:t xml:space="preserve">The AERG framework offers several advantages over existing multi-agent and reasoning approaches. Unlike standard multi-agent systems, AERG grounds all reasoning in a persistent evidence graph rather than transient agent states. Unlike standard RAG systems, AERG implements agentic retrieval with adversarial challenge rather than passive retrieval. Unlike standard reasoning systems, AERG integrates source independence detection into the reasoning process. Unlike standard debate systems, AERG uses role-based adversarial review with specific responsibility for challenging conclusions. The framework is specifically designed for the investigation use case rather than adapted from general-purpose agent architectures.</w:t>
      </w:r>
    </w:p>
    <w:p>
      <w:pPr>
        <w:pStyle w:val="Heading1"/>
        <w:spacing w:after="200" w:before="400" w:line="312"/>
      </w:pPr>
      <w:r>
        <w:rPr>
          <w:rFonts w:ascii="Times New Roman" w:cs="Times New Roman" w:eastAsia="Times New Roman" w:hAnsi="Times New Roman"/>
          <w:b/>
          <w:bCs/>
          <w:color w:val="020617"/>
          <w:sz w:val="36"/>
          <w:szCs w:val="36"/>
        </w:rPr>
        <w:t xml:space="preserve">11. Conclusion and Recommendations</w:t>
      </w:r>
    </w:p>
    <w:p>
      <w:pPr>
        <w:spacing w:after="200" w:line="312"/>
        <w:jc w:val="both"/>
      </w:pPr>
      <w:r>
        <w:rPr>
          <w:rFonts w:ascii="Times New Roman" w:cs="Times New Roman" w:eastAsia="Times New Roman" w:hAnsi="Times New Roman"/>
          <w:color w:val="1E293B"/>
          <w:sz w:val="22"/>
          <w:szCs w:val="22"/>
        </w:rPr>
        <w:t xml:space="preserve">This comprehensive research report has cataloged and analyzed the state-of-the-art in AI agent algorithms relevant to building investigation engines like Dossier. The analysis reveals a rich ecosystem of algorithms, frameworks, and techniques that can be integrated to create sophisticated investigation capabilities.</w:t>
      </w:r>
    </w:p>
    <w:p>
      <w:pPr>
        <w:pStyle w:val="Heading2"/>
        <w:spacing w:after="150" w:before="300" w:line="312"/>
      </w:pPr>
      <w:r>
        <w:rPr>
          <w:rFonts w:ascii="Times New Roman" w:cs="Times New Roman" w:eastAsia="Times New Roman" w:hAnsi="Times New Roman"/>
          <w:b/>
          <w:bCs/>
          <w:color w:val="020617"/>
          <w:sz w:val="28"/>
          <w:szCs w:val="28"/>
        </w:rPr>
        <w:t xml:space="preserve">11.1 Key Findings</w:t>
      </w:r>
    </w:p>
    <w:p>
      <w:pPr>
        <w:pStyle w:val="ListParagraph"/>
        <w:numPr>
          <w:ilvl w:val="0"/>
          <w:numId w:val="2"/>
        </w:numPr>
        <w:spacing w:after="100" w:line="312"/>
      </w:pPr>
      <w:r>
        <w:rPr>
          <w:rFonts w:ascii="Times New Roman" w:cs="Times New Roman" w:eastAsia="Times New Roman" w:hAnsi="Times New Roman"/>
          <w:color w:val="1E293B"/>
          <w:sz w:val="22"/>
          <w:szCs w:val="22"/>
        </w:rPr>
        <w:t xml:space="preserve">Reasoning algorithms have evolved from linear Chain-of-Thought to graph-structured reasoning that can model complex relationships between pieces of evidence. The Graph of Thoughts paradigm is most aligned with investigation engine requirements.</w:t>
      </w:r>
    </w:p>
    <w:p>
      <w:pPr>
        <w:pStyle w:val="ListParagraph"/>
        <w:numPr>
          <w:ilvl w:val="0"/>
          <w:numId w:val="2"/>
        </w:numPr>
        <w:spacing w:after="100" w:line="312"/>
      </w:pPr>
      <w:r>
        <w:rPr>
          <w:rFonts w:ascii="Times New Roman" w:cs="Times New Roman" w:eastAsia="Times New Roman" w:hAnsi="Times New Roman"/>
          <w:color w:val="1E293B"/>
          <w:sz w:val="22"/>
          <w:szCs w:val="22"/>
        </w:rPr>
        <w:t xml:space="preserve">Planning algorithms enable systematic decomposition of investigation questions into researchable components. HTN planning with LLM integration provides a natural fit for investigation scoping.</w:t>
      </w:r>
    </w:p>
    <w:p>
      <w:pPr>
        <w:pStyle w:val="ListParagraph"/>
        <w:numPr>
          <w:ilvl w:val="0"/>
          <w:numId w:val="2"/>
        </w:numPr>
        <w:spacing w:after="100" w:line="312"/>
      </w:pPr>
      <w:r>
        <w:rPr>
          <w:rFonts w:ascii="Times New Roman" w:cs="Times New Roman" w:eastAsia="Times New Roman" w:hAnsi="Times New Roman"/>
          <w:color w:val="1E293B"/>
          <w:sz w:val="22"/>
          <w:szCs w:val="22"/>
        </w:rPr>
        <w:t xml:space="preserve">Self-correction mechanisms are essential for maintaining accuracy in autonomous systems. The Reflexion framework and multi-agent critique approaches provide complementary mechanisms for error detection and correction.</w:t>
      </w:r>
    </w:p>
    <w:p>
      <w:pPr>
        <w:pStyle w:val="ListParagraph"/>
        <w:numPr>
          <w:ilvl w:val="0"/>
          <w:numId w:val="2"/>
        </w:numPr>
        <w:spacing w:after="100" w:line="312"/>
      </w:pPr>
      <w:r>
        <w:rPr>
          <w:rFonts w:ascii="Times New Roman" w:cs="Times New Roman" w:eastAsia="Times New Roman" w:hAnsi="Times New Roman"/>
          <w:color w:val="1E293B"/>
          <w:sz w:val="22"/>
          <w:szCs w:val="22"/>
        </w:rPr>
        <w:t xml:space="preserve">Multi-agent coordination through role specialization enables clean separation of concerns. The Planner-Researcher-Adversary-Analyst-Writer architecture aligns with investigation best practices.</w:t>
      </w:r>
    </w:p>
    <w:p>
      <w:pPr>
        <w:pStyle w:val="ListParagraph"/>
        <w:numPr>
          <w:ilvl w:val="0"/>
          <w:numId w:val="2"/>
        </w:numPr>
        <w:spacing w:after="100" w:line="312"/>
      </w:pPr>
      <w:r>
        <w:rPr>
          <w:rFonts w:ascii="Times New Roman" w:cs="Times New Roman" w:eastAsia="Times New Roman" w:hAnsi="Times New Roman"/>
          <w:color w:val="1E293B"/>
          <w:sz w:val="22"/>
          <w:szCs w:val="22"/>
        </w:rPr>
        <w:t xml:space="preserve">Evidence management algorithms for provenance tracking and independence detection are critical for trustworthy investigations. These mechanisms are notably absent from most existing AI research tools.</w:t>
      </w:r>
    </w:p>
    <w:p>
      <w:pPr>
        <w:pStyle w:val="ListParagraph"/>
        <w:numPr>
          <w:ilvl w:val="0"/>
          <w:numId w:val="2"/>
        </w:numPr>
        <w:spacing w:after="100" w:line="312"/>
      </w:pPr>
      <w:r>
        <w:rPr>
          <w:rFonts w:ascii="Times New Roman" w:cs="Times New Roman" w:eastAsia="Times New Roman" w:hAnsi="Times New Roman"/>
          <w:color w:val="1E293B"/>
          <w:sz w:val="22"/>
          <w:szCs w:val="22"/>
        </w:rPr>
        <w:t xml:space="preserve">Advanced RAG techniques including GraphRAG and agentic RAG enable sophisticated evidence retrieval. Temporal knowledge graphs add time-awareness crucial for investigation contexts.</w:t>
      </w:r>
    </w:p>
    <w:p>
      <w:pPr>
        <w:pStyle w:val="Heading2"/>
        <w:spacing w:after="150" w:before="300" w:line="312"/>
      </w:pPr>
      <w:r>
        <w:rPr>
          <w:rFonts w:ascii="Times New Roman" w:cs="Times New Roman" w:eastAsia="Times New Roman" w:hAnsi="Times New Roman"/>
          <w:b/>
          <w:bCs/>
          <w:color w:val="020617"/>
          <w:sz w:val="28"/>
          <w:szCs w:val="28"/>
        </w:rPr>
        <w:t xml:space="preserve">11.2 Recommendations for Dossier Implementation</w:t>
      </w:r>
    </w:p>
    <w:p>
      <w:pPr>
        <w:spacing w:after="200" w:line="312"/>
        <w:jc w:val="both"/>
      </w:pPr>
      <w:r>
        <w:rPr>
          <w:rFonts w:ascii="Times New Roman" w:cs="Times New Roman" w:eastAsia="Times New Roman" w:hAnsi="Times New Roman"/>
          <w:color w:val="1E293B"/>
          <w:sz w:val="22"/>
          <w:szCs w:val="22"/>
        </w:rPr>
        <w:t xml:space="preserve">Based on this research, we recommend the following approach for implementing the Dossier investigation engine:</w:t>
      </w:r>
    </w:p>
    <w:p>
      <w:pPr>
        <w:pStyle w:val="ListParagraph"/>
        <w:numPr>
          <w:ilvl w:val="0"/>
          <w:numId w:val="3"/>
        </w:numPr>
        <w:spacing w:after="100" w:line="312"/>
      </w:pPr>
      <w:r>
        <w:rPr>
          <w:rFonts w:ascii="Times New Roman" w:cs="Times New Roman" w:eastAsia="Times New Roman" w:hAnsi="Times New Roman"/>
          <w:color w:val="1E293B"/>
          <w:sz w:val="22"/>
          <w:szCs w:val="22"/>
        </w:rPr>
        <w:t xml:space="preserve">Adopt the proposed AERG framework as the conceptual architecture, integrating the evidence graph, adversarial, reasoning, and orchestration layers as described.</w:t>
      </w:r>
    </w:p>
    <w:p>
      <w:pPr>
        <w:pStyle w:val="ListParagraph"/>
        <w:numPr>
          <w:ilvl w:val="0"/>
          <w:numId w:val="3"/>
        </w:numPr>
        <w:spacing w:after="100" w:line="312"/>
      </w:pPr>
      <w:r>
        <w:rPr>
          <w:rFonts w:ascii="Times New Roman" w:cs="Times New Roman" w:eastAsia="Times New Roman" w:hAnsi="Times New Roman"/>
          <w:color w:val="1E293B"/>
          <w:sz w:val="22"/>
          <w:szCs w:val="22"/>
        </w:rPr>
        <w:t xml:space="preserve">Implement the five-agent architecture (Planner, Researcher, Adversary, Analyst, Writer) using either LangGraph for state machine control or CrewAI for role-based orchestration.</w:t>
      </w:r>
    </w:p>
    <w:p>
      <w:pPr>
        <w:pStyle w:val="ListParagraph"/>
        <w:numPr>
          <w:ilvl w:val="0"/>
          <w:numId w:val="3"/>
        </w:numPr>
        <w:spacing w:after="100" w:line="312"/>
      </w:pPr>
      <w:r>
        <w:rPr>
          <w:rFonts w:ascii="Times New Roman" w:cs="Times New Roman" w:eastAsia="Times New Roman" w:hAnsi="Times New Roman"/>
          <w:color w:val="1E293B"/>
          <w:sz w:val="22"/>
          <w:szCs w:val="22"/>
        </w:rPr>
        <w:t xml:space="preserve">Implement source independence detection as a core feature of the Evidence Engine, making it a differentiating capability versus existing research tools.</w:t>
      </w:r>
    </w:p>
    <w:p>
      <w:pPr>
        <w:pStyle w:val="ListParagraph"/>
        <w:numPr>
          <w:ilvl w:val="0"/>
          <w:numId w:val="3"/>
        </w:numPr>
        <w:spacing w:after="100" w:line="312"/>
      </w:pPr>
      <w:r>
        <w:rPr>
          <w:rFonts w:ascii="Times New Roman" w:cs="Times New Roman" w:eastAsia="Times New Roman" w:hAnsi="Times New Roman"/>
          <w:color w:val="1E293B"/>
          <w:sz w:val="22"/>
          <w:szCs w:val="22"/>
        </w:rPr>
        <w:t xml:space="preserve">Develop the Analyst agent's cross-evidence deduction capabilities using Graph of Thoughts techniques extended for the evidence graph context.</w:t>
      </w:r>
    </w:p>
    <w:p>
      <w:pPr>
        <w:pStyle w:val="ListParagraph"/>
        <w:numPr>
          <w:ilvl w:val="0"/>
          <w:numId w:val="3"/>
        </w:numPr>
        <w:spacing w:after="100" w:line="312"/>
      </w:pPr>
      <w:r>
        <w:rPr>
          <w:rFonts w:ascii="Times New Roman" w:cs="Times New Roman" w:eastAsia="Times New Roman" w:hAnsi="Times New Roman"/>
          <w:color w:val="1E293B"/>
          <w:sz w:val="22"/>
          <w:szCs w:val="22"/>
        </w:rPr>
        <w:t xml:space="preserve">Implement adversarial confidence scoring using the two-dimensional support/challenge model rather than single-point confidence estimates.</w:t>
      </w:r>
    </w:p>
    <w:p>
      <w:pPr>
        <w:pStyle w:val="ListParagraph"/>
        <w:numPr>
          <w:ilvl w:val="0"/>
          <w:numId w:val="3"/>
        </w:numPr>
        <w:spacing w:after="100" w:line="312"/>
      </w:pPr>
      <w:r>
        <w:rPr>
          <w:rFonts w:ascii="Times New Roman" w:cs="Times New Roman" w:eastAsia="Times New Roman" w:hAnsi="Times New Roman"/>
          <w:color w:val="1E293B"/>
          <w:sz w:val="22"/>
          <w:szCs w:val="22"/>
        </w:rPr>
        <w:t xml:space="preserve">Build the provenance tracking system from the start, ensuring every claim can be traced to its sources through a verifiable chain.</w:t>
      </w:r>
    </w:p>
    <w:p>
      <w:pPr>
        <w:pStyle w:val="Heading2"/>
        <w:spacing w:after="150" w:before="300" w:line="312"/>
      </w:pPr>
      <w:r>
        <w:rPr>
          <w:rFonts w:ascii="Times New Roman" w:cs="Times New Roman" w:eastAsia="Times New Roman" w:hAnsi="Times New Roman"/>
          <w:b/>
          <w:bCs/>
          <w:color w:val="020617"/>
          <w:sz w:val="28"/>
          <w:szCs w:val="28"/>
        </w:rPr>
        <w:t xml:space="preserve">11.3 Future Research Directions</w:t>
      </w:r>
    </w:p>
    <w:p>
      <w:pPr>
        <w:spacing w:after="200" w:line="312"/>
        <w:jc w:val="both"/>
      </w:pPr>
      <w:r>
        <w:rPr>
          <w:rFonts w:ascii="Times New Roman" w:cs="Times New Roman" w:eastAsia="Times New Roman" w:hAnsi="Times New Roman"/>
          <w:color w:val="1E293B"/>
          <w:sz w:val="22"/>
          <w:szCs w:val="22"/>
        </w:rPr>
        <w:t xml:space="preserve">Several areas merit continued research and development as the Dossier project matures. These include temporal reasoning capabilities for detecting event sequences and patterns, living dossier functionality for updating investigations as new information becomes available, domain-specific templates for particular investigation types such as due diligence or medical research, uncertainty quantification for signaling when deductions are speculative, and human-in-the-loop mechanisms for expert review and guidance.</w:t>
      </w:r>
    </w:p>
    <w:p>
      <w:pPr>
        <w:pStyle w:val="Heading1"/>
        <w:spacing w:after="200" w:before="400" w:line="312"/>
      </w:pPr>
      <w:r>
        <w:rPr>
          <w:rFonts w:ascii="Times New Roman" w:cs="Times New Roman" w:eastAsia="Times New Roman" w:hAnsi="Times New Roman"/>
          <w:b/>
          <w:bCs/>
          <w:color w:val="020617"/>
          <w:sz w:val="36"/>
          <w:szCs w:val="36"/>
        </w:rPr>
        <w:t xml:space="preserve">12. Key References</w:t>
      </w:r>
    </w:p>
    <w:p>
      <w:pPr>
        <w:spacing w:after="200" w:line="312"/>
        <w:jc w:val="both"/>
      </w:pPr>
      <w:r>
        <w:rPr>
          <w:rFonts w:ascii="Times New Roman" w:cs="Times New Roman" w:eastAsia="Times New Roman" w:hAnsi="Times New Roman"/>
          <w:color w:val="1E293B"/>
          <w:sz w:val="22"/>
          <w:szCs w:val="22"/>
        </w:rPr>
        <w:t xml:space="preserve">This section provides a curated list of the most important references for each algorithm category.</w:t>
      </w:r>
    </w:p>
    <w:p>
      <w:pPr>
        <w:pStyle w:val="Heading2"/>
        <w:spacing w:after="150" w:before="300" w:line="312"/>
      </w:pPr>
      <w:r>
        <w:rPr>
          <w:rFonts w:ascii="Times New Roman" w:cs="Times New Roman" w:eastAsia="Times New Roman" w:hAnsi="Times New Roman"/>
          <w:b/>
          <w:bCs/>
          <w:color w:val="020617"/>
          <w:sz w:val="28"/>
          <w:szCs w:val="28"/>
        </w:rPr>
        <w:t xml:space="preserve">12.1 Reasoning Algorithms</w:t>
      </w:r>
    </w:p>
    <w:p>
      <w:pPr>
        <w:pStyle w:val="ListParagraph"/>
        <w:numPr>
          <w:ilvl w:val="0"/>
          <w:numId w:val="4"/>
        </w:numPr>
        <w:spacing w:after="100" w:line="312"/>
      </w:pPr>
      <w:r>
        <w:rPr>
          <w:rFonts w:ascii="Times New Roman" w:cs="Times New Roman" w:eastAsia="Times New Roman" w:hAnsi="Times New Roman"/>
          <w:color w:val="1E293B"/>
          <w:sz w:val="22"/>
          <w:szCs w:val="22"/>
        </w:rPr>
        <w:t xml:space="preserve">Wei et al. (2022). Chain-of-Thought Prompting Elicits Reasoning in Large Language Models. arXiv:2201.11903.</w:t>
      </w:r>
    </w:p>
    <w:p>
      <w:pPr>
        <w:pStyle w:val="ListParagraph"/>
        <w:numPr>
          <w:ilvl w:val="0"/>
          <w:numId w:val="4"/>
        </w:numPr>
        <w:spacing w:after="100" w:line="312"/>
      </w:pPr>
      <w:r>
        <w:rPr>
          <w:rFonts w:ascii="Times New Roman" w:cs="Times New Roman" w:eastAsia="Times New Roman" w:hAnsi="Times New Roman"/>
          <w:color w:val="1E293B"/>
          <w:sz w:val="22"/>
          <w:szCs w:val="22"/>
        </w:rPr>
        <w:t xml:space="preserve">Yao et al. (2023). Tree of Thoughts: Deliberate Problem Solving with Large Language Models. arXiv:2305.10601. [Cited by 6045]</w:t>
      </w:r>
    </w:p>
    <w:p>
      <w:pPr>
        <w:pStyle w:val="ListParagraph"/>
        <w:numPr>
          <w:ilvl w:val="0"/>
          <w:numId w:val="4"/>
        </w:numPr>
        <w:spacing w:after="100" w:line="312"/>
      </w:pPr>
      <w:r>
        <w:rPr>
          <w:rFonts w:ascii="Times New Roman" w:cs="Times New Roman" w:eastAsia="Times New Roman" w:hAnsi="Times New Roman"/>
          <w:color w:val="1E293B"/>
          <w:sz w:val="22"/>
          <w:szCs w:val="22"/>
        </w:rPr>
        <w:t xml:space="preserve">Besta et al. (2023). Graph of Thoughts: Solving Elaborate Problems with Large Language Models. arXiv:2308.09687. [Cited by 1823]</w:t>
      </w:r>
    </w:p>
    <w:p>
      <w:pPr>
        <w:pStyle w:val="ListParagraph"/>
        <w:numPr>
          <w:ilvl w:val="0"/>
          <w:numId w:val="4"/>
        </w:numPr>
        <w:spacing w:after="100" w:line="312"/>
      </w:pPr>
      <w:r>
        <w:rPr>
          <w:rFonts w:ascii="Times New Roman" w:cs="Times New Roman" w:eastAsia="Times New Roman" w:hAnsi="Times New Roman"/>
          <w:color w:val="1E293B"/>
          <w:sz w:val="22"/>
          <w:szCs w:val="22"/>
        </w:rPr>
        <w:t xml:space="preserve">Yao et al. (2022). ReAct: Synergizing Reasoning and Acting in Language Models. ICLR 2023.</w:t>
      </w:r>
    </w:p>
    <w:p>
      <w:pPr>
        <w:pStyle w:val="Heading2"/>
        <w:spacing w:after="150" w:before="300" w:line="312"/>
      </w:pPr>
      <w:r>
        <w:rPr>
          <w:rFonts w:ascii="Times New Roman" w:cs="Times New Roman" w:eastAsia="Times New Roman" w:hAnsi="Times New Roman"/>
          <w:b/>
          <w:bCs/>
          <w:color w:val="020617"/>
          <w:sz w:val="28"/>
          <w:szCs w:val="28"/>
        </w:rPr>
        <w:t xml:space="preserve">12.2 Planning Algorithms</w:t>
      </w:r>
    </w:p>
    <w:p>
      <w:pPr>
        <w:pStyle w:val="ListParagraph"/>
        <w:numPr>
          <w:ilvl w:val="0"/>
          <w:numId w:val="4"/>
        </w:numPr>
        <w:spacing w:after="100" w:line="312"/>
      </w:pPr>
      <w:r>
        <w:rPr>
          <w:rFonts w:ascii="Times New Roman" w:cs="Times New Roman" w:eastAsia="Times New Roman" w:hAnsi="Times New Roman"/>
          <w:color w:val="1E293B"/>
          <w:sz w:val="22"/>
          <w:szCs w:val="22"/>
        </w:rPr>
        <w:t xml:space="preserve">Munoz-Avila et al. (2025). ChatHTN: Interleaving Approximate (LLM) and Symbolic HTN Planning. ML Research.</w:t>
      </w:r>
    </w:p>
    <w:p>
      <w:pPr>
        <w:pStyle w:val="ListParagraph"/>
        <w:numPr>
          <w:ilvl w:val="0"/>
          <w:numId w:val="4"/>
        </w:numPr>
        <w:spacing w:after="100" w:line="312"/>
      </w:pPr>
      <w:r>
        <w:rPr>
          <w:rFonts w:ascii="Times New Roman" w:cs="Times New Roman" w:eastAsia="Times New Roman" w:hAnsi="Times New Roman"/>
          <w:color w:val="1E293B"/>
          <w:sz w:val="22"/>
          <w:szCs w:val="22"/>
        </w:rPr>
        <w:t xml:space="preserve">Zhou et al. (2023). TS-LLM: AlphaZero-like Tree-Search can Guide Large Language Model Decoding. arXiv:2309.17179.</w:t>
      </w:r>
    </w:p>
    <w:p>
      <w:pPr>
        <w:pStyle w:val="ListParagraph"/>
        <w:numPr>
          <w:ilvl w:val="0"/>
          <w:numId w:val="4"/>
        </w:numPr>
        <w:spacing w:after="100" w:line="312"/>
      </w:pPr>
      <w:r>
        <w:rPr>
          <w:rFonts w:ascii="Times New Roman" w:cs="Times New Roman" w:eastAsia="Times New Roman" w:hAnsi="Times New Roman"/>
          <w:color w:val="1E293B"/>
          <w:sz w:val="22"/>
          <w:szCs w:val="22"/>
        </w:rPr>
        <w:t xml:space="preserve">Zhou et al. (2023). LATS: Language Agent Tree Search Unifies Reasoning, Acting, and Planning. arXiv:2310.04406.</w:t>
      </w:r>
    </w:p>
    <w:p>
      <w:pPr>
        <w:pStyle w:val="Heading2"/>
        <w:spacing w:after="150" w:before="300" w:line="312"/>
      </w:pPr>
      <w:r>
        <w:rPr>
          <w:rFonts w:ascii="Times New Roman" w:cs="Times New Roman" w:eastAsia="Times New Roman" w:hAnsi="Times New Roman"/>
          <w:b/>
          <w:bCs/>
          <w:color w:val="020617"/>
          <w:sz w:val="28"/>
          <w:szCs w:val="28"/>
        </w:rPr>
        <w:t xml:space="preserve">12.3 Self-Correction Mechanisms</w:t>
      </w:r>
    </w:p>
    <w:p>
      <w:pPr>
        <w:pStyle w:val="ListParagraph"/>
        <w:numPr>
          <w:ilvl w:val="0"/>
          <w:numId w:val="4"/>
        </w:numPr>
        <w:spacing w:after="100" w:line="312"/>
      </w:pPr>
      <w:r>
        <w:rPr>
          <w:rFonts w:ascii="Times New Roman" w:cs="Times New Roman" w:eastAsia="Times New Roman" w:hAnsi="Times New Roman"/>
          <w:color w:val="1E293B"/>
          <w:sz w:val="22"/>
          <w:szCs w:val="22"/>
        </w:rPr>
        <w:t xml:space="preserve">Shinn et al. (2023). Reflexion: Language Agents with Verbal Reinforcement Learning. NeurIPS 2023.</w:t>
      </w:r>
    </w:p>
    <w:p>
      <w:pPr>
        <w:pStyle w:val="ListParagraph"/>
        <w:numPr>
          <w:ilvl w:val="0"/>
          <w:numId w:val="4"/>
        </w:numPr>
        <w:spacing w:after="100" w:line="312"/>
      </w:pPr>
      <w:r>
        <w:rPr>
          <w:rFonts w:ascii="Times New Roman" w:cs="Times New Roman" w:eastAsia="Times New Roman" w:hAnsi="Times New Roman"/>
          <w:color w:val="1E293B"/>
          <w:sz w:val="22"/>
          <w:szCs w:val="22"/>
        </w:rPr>
        <w:t xml:space="preserve">Kadavath et al. (2022). Language Models (Mostly) Know What They Know. arXiv:2207.05221.</w:t>
      </w:r>
    </w:p>
    <w:p>
      <w:pPr>
        <w:pStyle w:val="ListParagraph"/>
        <w:numPr>
          <w:ilvl w:val="0"/>
          <w:numId w:val="4"/>
        </w:numPr>
        <w:spacing w:after="100" w:line="312"/>
      </w:pPr>
      <w:r>
        <w:rPr>
          <w:rFonts w:ascii="Times New Roman" w:cs="Times New Roman" w:eastAsia="Times New Roman" w:hAnsi="Times New Roman"/>
          <w:color w:val="1E293B"/>
          <w:sz w:val="22"/>
          <w:szCs w:val="22"/>
        </w:rPr>
        <w:t xml:space="preserve">Huang et al. (2024). Large Language Models Can Self-Improve. EMNLP 2023.</w:t>
      </w:r>
    </w:p>
    <w:p>
      <w:pPr>
        <w:pStyle w:val="Heading2"/>
        <w:spacing w:after="150" w:before="300" w:line="312"/>
      </w:pPr>
      <w:r>
        <w:rPr>
          <w:rFonts w:ascii="Times New Roman" w:cs="Times New Roman" w:eastAsia="Times New Roman" w:hAnsi="Times New Roman"/>
          <w:b/>
          <w:bCs/>
          <w:color w:val="020617"/>
          <w:sz w:val="28"/>
          <w:szCs w:val="28"/>
        </w:rPr>
        <w:t xml:space="preserve">12.4 Multi-Agent Systems</w:t>
      </w:r>
    </w:p>
    <w:p>
      <w:pPr>
        <w:pStyle w:val="ListParagraph"/>
        <w:numPr>
          <w:ilvl w:val="0"/>
          <w:numId w:val="4"/>
        </w:numPr>
        <w:spacing w:after="100" w:line="312"/>
      </w:pPr>
      <w:r>
        <w:rPr>
          <w:rFonts w:ascii="Times New Roman" w:cs="Times New Roman" w:eastAsia="Times New Roman" w:hAnsi="Times New Roman"/>
          <w:color w:val="1E293B"/>
          <w:sz w:val="22"/>
          <w:szCs w:val="22"/>
        </w:rPr>
        <w:t xml:space="preserve">Du et al. (2023). Improving Factuality and Reasoning in Language Models through Multiagent Debate. arXiv:2305.14325.</w:t>
      </w:r>
    </w:p>
    <w:p>
      <w:pPr>
        <w:pStyle w:val="ListParagraph"/>
        <w:numPr>
          <w:ilvl w:val="0"/>
          <w:numId w:val="4"/>
        </w:numPr>
        <w:spacing w:after="100" w:line="312"/>
      </w:pPr>
      <w:r>
        <w:rPr>
          <w:rFonts w:ascii="Times New Roman" w:cs="Times New Roman" w:eastAsia="Times New Roman" w:hAnsi="Times New Roman"/>
          <w:color w:val="1E293B"/>
          <w:sz w:val="22"/>
          <w:szCs w:val="22"/>
        </w:rPr>
        <w:t xml:space="preserve">Wu et al. (2023). AutoGen: Enabling Next-Gen LLM Applications. arXiv:2308.08155.</w:t>
      </w:r>
    </w:p>
    <w:p>
      <w:pPr>
        <w:pStyle w:val="ListParagraph"/>
        <w:numPr>
          <w:ilvl w:val="0"/>
          <w:numId w:val="4"/>
        </w:numPr>
        <w:spacing w:after="100" w:line="312"/>
      </w:pPr>
      <w:r>
        <w:rPr>
          <w:rFonts w:ascii="Times New Roman" w:cs="Times New Roman" w:eastAsia="Times New Roman" w:hAnsi="Times New Roman"/>
          <w:color w:val="1E293B"/>
          <w:sz w:val="22"/>
          <w:szCs w:val="22"/>
        </w:rPr>
        <w:t xml:space="preserve">Chan et al. (2024). ChatEval: Towards Better LLM-based Evaluators through Multi-Agent Debate. ICLR 2024.</w:t>
      </w:r>
    </w:p>
    <w:p>
      <w:pPr>
        <w:pStyle w:val="Heading2"/>
        <w:spacing w:after="150" w:before="300" w:line="312"/>
      </w:pPr>
      <w:r>
        <w:rPr>
          <w:rFonts w:ascii="Times New Roman" w:cs="Times New Roman" w:eastAsia="Times New Roman" w:hAnsi="Times New Roman"/>
          <w:b/>
          <w:bCs/>
          <w:color w:val="020617"/>
          <w:sz w:val="28"/>
          <w:szCs w:val="28"/>
        </w:rPr>
        <w:t xml:space="preserve">12.5 Evidence Management</w:t>
      </w:r>
    </w:p>
    <w:p>
      <w:pPr>
        <w:pStyle w:val="ListParagraph"/>
        <w:numPr>
          <w:ilvl w:val="0"/>
          <w:numId w:val="4"/>
        </w:numPr>
        <w:spacing w:after="100" w:line="312"/>
      </w:pPr>
      <w:r>
        <w:rPr>
          <w:rFonts w:ascii="Times New Roman" w:cs="Times New Roman" w:eastAsia="Times New Roman" w:hAnsi="Times New Roman"/>
          <w:color w:val="1E293B"/>
          <w:sz w:val="22"/>
          <w:szCs w:val="22"/>
        </w:rPr>
        <w:t xml:space="preserve">Vaz et al. (2024). Uncertainty Quantification for Hallucination Detection in Large Language Models. arXiv:2510.12040.</w:t>
      </w:r>
    </w:p>
    <w:p>
      <w:pPr>
        <w:pStyle w:val="ListParagraph"/>
        <w:numPr>
          <w:ilvl w:val="0"/>
          <w:numId w:val="4"/>
        </w:numPr>
        <w:spacing w:after="100" w:line="312"/>
      </w:pPr>
      <w:r>
        <w:rPr>
          <w:rFonts w:ascii="Times New Roman" w:cs="Times New Roman" w:eastAsia="Times New Roman" w:hAnsi="Times New Roman"/>
          <w:color w:val="1E293B"/>
          <w:sz w:val="22"/>
          <w:szCs w:val="22"/>
        </w:rPr>
        <w:t xml:space="preserve">Farquhar et al. (2024). Detecting Hallucinations in Large Language Models Using Semantic Entropy. Nature.</w:t>
      </w:r>
    </w:p>
    <w:p>
      <w:pPr>
        <w:pStyle w:val="ListParagraph"/>
        <w:numPr>
          <w:ilvl w:val="0"/>
          <w:numId w:val="4"/>
        </w:numPr>
        <w:spacing w:after="100" w:line="312"/>
      </w:pPr>
      <w:r>
        <w:rPr>
          <w:rFonts w:ascii="Times New Roman" w:cs="Times New Roman" w:eastAsia="Times New Roman" w:hAnsi="Times New Roman"/>
          <w:color w:val="1E293B"/>
          <w:sz w:val="22"/>
          <w:szCs w:val="22"/>
        </w:rPr>
        <w:t xml:space="preserve">Wu et al. (2024). Automated Fact-Checking Resources. GitHub Repository.</w:t>
      </w:r>
    </w:p>
    <w:p>
      <w:pPr>
        <w:pStyle w:val="Heading2"/>
        <w:spacing w:after="150" w:before="300" w:line="312"/>
      </w:pPr>
      <w:r>
        <w:rPr>
          <w:rFonts w:ascii="Times New Roman" w:cs="Times New Roman" w:eastAsia="Times New Roman" w:hAnsi="Times New Roman"/>
          <w:b/>
          <w:bCs/>
          <w:color w:val="020617"/>
          <w:sz w:val="28"/>
          <w:szCs w:val="28"/>
        </w:rPr>
        <w:t xml:space="preserve">12.6 RAG and Knowledge Integration</w:t>
      </w:r>
    </w:p>
    <w:p>
      <w:pPr>
        <w:pStyle w:val="ListParagraph"/>
        <w:numPr>
          <w:ilvl w:val="0"/>
          <w:numId w:val="4"/>
        </w:numPr>
        <w:spacing w:after="100" w:line="312"/>
      </w:pPr>
      <w:r>
        <w:rPr>
          <w:rFonts w:ascii="Times New Roman" w:cs="Times New Roman" w:eastAsia="Times New Roman" w:hAnsi="Times New Roman"/>
          <w:color w:val="1E293B"/>
          <w:sz w:val="22"/>
          <w:szCs w:val="22"/>
        </w:rPr>
        <w:t xml:space="preserve">Edge et al. (2024). From Local to Global: A Graph RAG Approach to Query-Focused Summarization. arXiv:2404.16130.</w:t>
      </w:r>
    </w:p>
    <w:p>
      <w:pPr>
        <w:pStyle w:val="ListParagraph"/>
        <w:numPr>
          <w:ilvl w:val="0"/>
          <w:numId w:val="4"/>
        </w:numPr>
        <w:spacing w:after="100" w:line="312"/>
      </w:pPr>
      <w:r>
        <w:rPr>
          <w:rFonts w:ascii="Times New Roman" w:cs="Times New Roman" w:eastAsia="Times New Roman" w:hAnsi="Times New Roman"/>
          <w:color w:val="1E293B"/>
          <w:sz w:val="22"/>
          <w:szCs w:val="22"/>
        </w:rPr>
        <w:t xml:space="preserve">Singh et al. (2025). Agentic Retrieval-Augmented Generation: A Survey. arXiv:2501.09136.</w:t>
      </w:r>
    </w:p>
    <w:p>
      <w:pPr>
        <w:pStyle w:val="ListParagraph"/>
        <w:numPr>
          <w:ilvl w:val="0"/>
          <w:numId w:val="4"/>
        </w:numPr>
        <w:spacing w:after="100" w:line="312"/>
      </w:pPr>
      <w:r>
        <w:rPr>
          <w:rFonts w:ascii="Times New Roman" w:cs="Times New Roman" w:eastAsia="Times New Roman" w:hAnsi="Times New Roman"/>
          <w:color w:val="1E293B"/>
          <w:sz w:val="22"/>
          <w:szCs w:val="22"/>
        </w:rPr>
        <w:t xml:space="preserve">OpenAI (2025). Temporal Agents with Knowledge Graphs. OpenAI Cookbook.</w:t>
      </w:r>
    </w:p>
    <w:p>
      <w:pPr>
        <w:spacing w:before="400"/>
      </w:pPr>
    </w:p>
    <w:p>
      <w:pPr>
        <w:spacing w:after="200" w:line="312"/>
        <w:jc w:val="both"/>
      </w:pPr>
      <w:r>
        <w:rPr>
          <w:rFonts w:ascii="Times New Roman" w:cs="Times New Roman" w:eastAsia="Times New Roman" w:hAnsi="Times New Roman"/>
          <w:color w:val="1E293B"/>
          <w:sz w:val="22"/>
          <w:szCs w:val="22"/>
        </w:rPr>
        <w:t xml:space="preserve">This research report provides the algorithmic foundation for building the Dossier investigation engine. The integration of these techniques, organized through the proposed AERG framework, positions Dossier to deliver on its promise of producing traceable, adversarially-reviewed investigation dossiers with evidence-backed deductions that no existing tool can provide.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20"/>
        <w:szCs w:val="20"/>
      </w:rPr>
      <w:t xml:space="preserve">Page </w:t>
    </w:r>
    <w:r>
      <w:rPr>
        <w:rFonts w:ascii="Times New Roman" w:cs="Times New Roman" w:eastAsia="Times New Roman" w:hAnsi="Times New Roman"/>
        <w:color w:val="64748B"/>
        <w:sz w:val="20"/>
        <w:szCs w:val="20"/>
      </w:rPr>
      <w:fldChar w:fldCharType="begin"/>
      <w:instrText xml:space="preserve">PAGE</w:instrText>
      <w:fldChar w:fldCharType="separate"/>
      <w:fldChar w:fldCharType="end"/>
    </w:r>
    <w:r>
      <w:rPr>
        <w:rFonts w:ascii="Times New Roman" w:cs="Times New Roman" w:eastAsia="Times New Roman" w:hAnsi="Times New Roman"/>
        <w:color w:val="64748B"/>
        <w:sz w:val="20"/>
        <w:szCs w:val="20"/>
      </w:rPr>
      <w:t xml:space="preserve"> of </w:t>
    </w:r>
    <w:r>
      <w:rPr>
        <w:rFonts w:ascii="Times New Roman" w:cs="Times New Roman" w:eastAsia="Times New Roman" w:hAnsi="Times New Roman"/>
        <w:color w:val="64748B"/>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20"/>
        <w:szCs w:val="20"/>
      </w:rPr>
      <w:t xml:space="preserve">AI Agent Algorithms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020617"/>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2026-03-10T14:43:32.269Z</dcterms:created>
  <dcterms:modified xsi:type="dcterms:W3CDTF">2026-03-10T14:43:32.269Z</dcterms:modified>
</cp:coreProperties>
</file>

<file path=docProps/custom.xml><?xml version="1.0" encoding="utf-8"?>
<Properties xmlns="http://schemas.openxmlformats.org/officeDocument/2006/custom-properties" xmlns:vt="http://schemas.openxmlformats.org/officeDocument/2006/docPropsVTypes"/>
</file>