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92E72" w14:textId="77777777" w:rsidR="003A2759" w:rsidRPr="003A2759" w:rsidRDefault="003A2759" w:rsidP="003A2759">
      <w:pPr>
        <w:spacing w:before="100" w:beforeAutospacing="1" w:after="100" w:afterAutospacing="1" w:line="240" w:lineRule="auto"/>
        <w:outlineLvl w:val="0"/>
        <w:rPr>
          <w:rFonts w:ascii="Calibri" w:eastAsia="Times New Roman" w:hAnsi="Calibri" w:cs="Calibri"/>
          <w:b/>
          <w:bCs/>
          <w:color w:val="000000"/>
          <w:kern w:val="36"/>
          <w:sz w:val="48"/>
          <w:szCs w:val="48"/>
          <w14:ligatures w14:val="none"/>
        </w:rPr>
      </w:pPr>
      <w:r w:rsidRPr="003A2759">
        <w:rPr>
          <w:rFonts w:ascii="Calibri" w:eastAsia="Times New Roman" w:hAnsi="Calibri" w:cs="Calibri"/>
          <w:b/>
          <w:bCs/>
          <w:color w:val="000000"/>
          <w:kern w:val="36"/>
          <w:sz w:val="48"/>
          <w:szCs w:val="48"/>
          <w14:ligatures w14:val="none"/>
        </w:rPr>
        <w:t>PROPOSAL: Repurposing "Data Observer" as the Enterprise Shared Services Sandbox</w:t>
      </w:r>
    </w:p>
    <w:p w14:paraId="53AF1A01" w14:textId="77777777" w:rsidR="003A2759" w:rsidRPr="003A2759" w:rsidRDefault="003A2759" w:rsidP="003A2759">
      <w:pPr>
        <w:spacing w:before="100" w:beforeAutospacing="1" w:after="100" w:afterAutospacing="1" w:line="240" w:lineRule="auto"/>
        <w:outlineLvl w:val="1"/>
        <w:rPr>
          <w:rFonts w:ascii="Calibri" w:eastAsia="Times New Roman" w:hAnsi="Calibri" w:cs="Calibri"/>
          <w:b/>
          <w:bCs/>
          <w:color w:val="000000"/>
          <w:kern w:val="0"/>
          <w:sz w:val="36"/>
          <w:szCs w:val="36"/>
          <w14:ligatures w14:val="none"/>
        </w:rPr>
      </w:pPr>
      <w:r w:rsidRPr="003A2759">
        <w:rPr>
          <w:rFonts w:ascii="Calibri" w:eastAsia="Times New Roman" w:hAnsi="Calibri" w:cs="Calibri"/>
          <w:b/>
          <w:bCs/>
          <w:color w:val="000000"/>
          <w:kern w:val="0"/>
          <w:sz w:val="36"/>
          <w:szCs w:val="36"/>
          <w14:ligatures w14:val="none"/>
        </w:rPr>
        <w:t>1. Executive Summary</w:t>
      </w:r>
    </w:p>
    <w:p w14:paraId="7F858754" w14:textId="43FC94E9" w:rsidR="003A2759" w:rsidRPr="003A2759" w:rsidRDefault="003A2759" w:rsidP="003A2759">
      <w:p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color w:val="000000"/>
          <w:kern w:val="0"/>
          <w14:ligatures w14:val="none"/>
        </w:rPr>
        <w:t>The Group's current architectural landscape faces a critical resource gap: the lack of a unified, governed environment where technical teams can access on</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 xml:space="preserve">demand compute and storage for experimentation without compromising production stability. Presently, innovation is stifled by long procurement cycles, leading to fragmented "Shadow IT" where </w:t>
      </w:r>
      <w:r>
        <w:rPr>
          <w:rFonts w:ascii="Calibri" w:eastAsia="Times New Roman" w:hAnsi="Calibri" w:cs="Calibri"/>
          <w:color w:val="000000"/>
          <w:kern w:val="0"/>
          <w14:ligatures w14:val="none"/>
        </w:rPr>
        <w:t>business</w:t>
      </w:r>
      <w:r w:rsidRPr="003A2759">
        <w:rPr>
          <w:rFonts w:ascii="Calibri" w:eastAsia="Times New Roman" w:hAnsi="Calibri" w:cs="Calibri"/>
          <w:color w:val="000000"/>
          <w:kern w:val="0"/>
          <w14:ligatures w14:val="none"/>
        </w:rPr>
        <w:t xml:space="preserve"> spin up resources </w:t>
      </w:r>
      <w:r>
        <w:rPr>
          <w:rFonts w:ascii="Calibri" w:eastAsia="Times New Roman" w:hAnsi="Calibri" w:cs="Calibri"/>
          <w:color w:val="000000"/>
          <w:kern w:val="0"/>
          <w14:ligatures w14:val="none"/>
        </w:rPr>
        <w:t>on local systems or rely on IT for any PoC</w:t>
      </w:r>
    </w:p>
    <w:p w14:paraId="40A5A218" w14:textId="77777777" w:rsidR="003A2759" w:rsidRPr="003A2759" w:rsidRDefault="003A2759" w:rsidP="003A2759">
      <w:p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color w:val="000000"/>
          <w:kern w:val="0"/>
          <w14:ligatures w14:val="none"/>
        </w:rPr>
        <w:t>This proposal submits that the existing Google Cloud Platform (GCP) project, </w:t>
      </w:r>
      <w:r w:rsidRPr="003A2759">
        <w:rPr>
          <w:rFonts w:ascii="Calibri" w:eastAsia="Times New Roman" w:hAnsi="Calibri" w:cs="Calibri"/>
          <w:b/>
          <w:bCs/>
          <w:color w:val="000000"/>
          <w:kern w:val="0"/>
          <w14:ligatures w14:val="none"/>
        </w:rPr>
        <w:t>"Data Observer,"</w:t>
      </w:r>
      <w:r w:rsidRPr="003A2759">
        <w:rPr>
          <w:rFonts w:ascii="Calibri" w:eastAsia="Times New Roman" w:hAnsi="Calibri" w:cs="Calibri"/>
          <w:color w:val="000000"/>
          <w:kern w:val="0"/>
          <w14:ligatures w14:val="none"/>
        </w:rPr>
        <w:t> be strategically repurposed to resolve this tension. We propose shifting its mandate from its historical role of passive data monitoring to a new function as the Group's primary </w:t>
      </w:r>
      <w:r w:rsidRPr="003A2759">
        <w:rPr>
          <w:rFonts w:ascii="Calibri" w:eastAsia="Times New Roman" w:hAnsi="Calibri" w:cs="Calibri"/>
          <w:b/>
          <w:bCs/>
          <w:color w:val="000000"/>
          <w:kern w:val="0"/>
          <w14:ligatures w14:val="none"/>
        </w:rPr>
        <w:t>Shared Services Innovation Platform</w:t>
      </w:r>
      <w:r w:rsidRPr="003A2759">
        <w:rPr>
          <w:rFonts w:ascii="Calibri" w:eastAsia="Times New Roman" w:hAnsi="Calibri" w:cs="Calibri"/>
          <w:color w:val="000000"/>
          <w:kern w:val="0"/>
          <w14:ligatures w14:val="none"/>
        </w:rPr>
        <w:t>.</w:t>
      </w:r>
    </w:p>
    <w:p w14:paraId="2D4840DF" w14:textId="226F04BC" w:rsidR="003A2759" w:rsidRPr="003A2759" w:rsidRDefault="003A2759" w:rsidP="003A2759">
      <w:p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color w:val="000000"/>
          <w:kern w:val="0"/>
          <w14:ligatures w14:val="none"/>
        </w:rPr>
        <w:t>This document outlines the transformation of the Data Observer infrastructure into a fully managed, "Dev</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only" ecosystem. Its primary deliverable is </w:t>
      </w:r>
      <w:r w:rsidRPr="003A2759">
        <w:rPr>
          <w:rFonts w:ascii="Calibri" w:eastAsia="Times New Roman" w:hAnsi="Calibri" w:cs="Calibri"/>
          <w:b/>
          <w:bCs/>
          <w:color w:val="000000"/>
          <w:kern w:val="0"/>
          <w14:ligatures w14:val="none"/>
        </w:rPr>
        <w:t>agile infrastructure</w:t>
      </w:r>
      <w:r w:rsidRPr="003A2759">
        <w:rPr>
          <w:rFonts w:ascii="Calibri" w:eastAsia="Times New Roman" w:hAnsi="Calibri" w:cs="Calibri"/>
          <w:color w:val="000000"/>
          <w:kern w:val="0"/>
          <w14:ligatures w14:val="none"/>
        </w:rPr>
        <w:t>: providing Architects, Developers, and Data Scientists with immediate, budget</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governed access to </w:t>
      </w:r>
      <w:r w:rsidRPr="003A2759">
        <w:rPr>
          <w:rFonts w:ascii="Calibri" w:eastAsia="Times New Roman" w:hAnsi="Calibri" w:cs="Calibri"/>
          <w:b/>
          <w:bCs/>
          <w:color w:val="000000"/>
          <w:kern w:val="0"/>
          <w14:ligatures w14:val="none"/>
        </w:rPr>
        <w:t>Virtual Machines (VMs), Virtual Private Clouds (VPCs), and managed Database services</w:t>
      </w:r>
      <w:r w:rsidRPr="003A2759">
        <w:rPr>
          <w:rFonts w:ascii="Calibri" w:eastAsia="Times New Roman" w:hAnsi="Calibri" w:cs="Calibri"/>
          <w:color w:val="000000"/>
          <w:kern w:val="0"/>
          <w14:ligatures w14:val="none"/>
        </w:rPr>
        <w:t>. This shared foundation allows for rapid prototyping of any architectural concept</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from microservices to AI models</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in a secure sandbox that is air</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gapped from production data.</w:t>
      </w:r>
    </w:p>
    <w:p w14:paraId="47ED6FCC" w14:textId="05F39C54" w:rsidR="003A2759" w:rsidRPr="003A2759" w:rsidRDefault="003A2759" w:rsidP="003A2759">
      <w:p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color w:val="000000"/>
          <w:kern w:val="0"/>
          <w14:ligatures w14:val="none"/>
        </w:rPr>
        <w:t>While this infrastructure is designed to support diverse architectural pilots, its first major deployment will be the </w:t>
      </w:r>
      <w:r w:rsidRPr="003A2759">
        <w:rPr>
          <w:rFonts w:ascii="Calibri" w:eastAsia="Times New Roman" w:hAnsi="Calibri" w:cs="Calibri"/>
          <w:b/>
          <w:bCs/>
          <w:color w:val="000000"/>
          <w:kern w:val="0"/>
          <w14:ligatures w14:val="none"/>
        </w:rPr>
        <w:t>Enterprise Semantic Utility</w:t>
      </w:r>
      <w:r w:rsidRPr="003A2759">
        <w:rPr>
          <w:rFonts w:ascii="Calibri" w:eastAsia="Times New Roman" w:hAnsi="Calibri" w:cs="Calibri"/>
          <w:color w:val="000000"/>
          <w:kern w:val="0"/>
          <w14:ligatures w14:val="none"/>
        </w:rPr>
        <w:t>. This graph</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native initiative will serve as the flagship use case, demonstrating how shared compute and storage can be leveraged to solve complex data modeling challenges using a hybrid RDF and Property Graph approach.</w:t>
      </w:r>
    </w:p>
    <w:p w14:paraId="7AE6B534" w14:textId="77777777" w:rsidR="003A2759" w:rsidRPr="003A2759" w:rsidRDefault="003A2759" w:rsidP="003A2759">
      <w:pPr>
        <w:spacing w:before="100" w:beforeAutospacing="1" w:after="100" w:afterAutospacing="1" w:line="240" w:lineRule="auto"/>
        <w:outlineLvl w:val="1"/>
        <w:rPr>
          <w:rFonts w:ascii="Calibri" w:eastAsia="Times New Roman" w:hAnsi="Calibri" w:cs="Calibri"/>
          <w:b/>
          <w:bCs/>
          <w:color w:val="000000"/>
          <w:kern w:val="0"/>
          <w:sz w:val="36"/>
          <w:szCs w:val="36"/>
          <w14:ligatures w14:val="none"/>
        </w:rPr>
      </w:pPr>
      <w:r w:rsidRPr="003A2759">
        <w:rPr>
          <w:rFonts w:ascii="Calibri" w:eastAsia="Times New Roman" w:hAnsi="Calibri" w:cs="Calibri"/>
          <w:b/>
          <w:bCs/>
          <w:color w:val="000000"/>
          <w:kern w:val="0"/>
          <w:sz w:val="36"/>
          <w:szCs w:val="36"/>
          <w14:ligatures w14:val="none"/>
        </w:rPr>
        <w:t>2. Strategic Rationale for Resource Utilization</w:t>
      </w:r>
    </w:p>
    <w:p w14:paraId="7FC292C2" w14:textId="77777777" w:rsidR="003A2759" w:rsidRPr="003A2759" w:rsidRDefault="003A2759" w:rsidP="003A2759">
      <w:p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color w:val="000000"/>
          <w:kern w:val="0"/>
          <w14:ligatures w14:val="none"/>
        </w:rPr>
        <w:t>The "Data Observer" project currently maintains the requisite cloud infrastructure, including verified network paths and security baselines, which are essential for advanced data handling. To build such an environment from "greenfield" status would incur significant lead times for security review and provisioning. Rather than decommissioning this asset or allowing it to remain underutilized, its mission may be advantageously upgraded to serve an immediate enterprise need.</w:t>
      </w:r>
    </w:p>
    <w:p w14:paraId="66851AE1" w14:textId="1F509B72" w:rsidR="003A2759" w:rsidRDefault="003A2759" w:rsidP="003A2759">
      <w:pPr>
        <w:numPr>
          <w:ilvl w:val="0"/>
          <w:numId w:val="13"/>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Transition from Passive Observation:</w:t>
      </w:r>
      <w:r w:rsidRPr="003A2759">
        <w:rPr>
          <w:rFonts w:ascii="Calibri" w:eastAsia="Times New Roman" w:hAnsi="Calibri" w:cs="Calibri"/>
          <w:color w:val="000000"/>
          <w:kern w:val="0"/>
          <w14:ligatures w14:val="none"/>
        </w:rPr>
        <w:t> Historically, this project was utilized for the read</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only monitoring of data states and quality metrics.</w:t>
      </w:r>
    </w:p>
    <w:p w14:paraId="0F599EE4" w14:textId="77777777" w:rsidR="003A2759" w:rsidRPr="003A2759" w:rsidRDefault="003A2759" w:rsidP="003A2759">
      <w:pPr>
        <w:spacing w:before="100" w:beforeAutospacing="1" w:after="100" w:afterAutospacing="1" w:line="240" w:lineRule="auto"/>
        <w:ind w:left="720"/>
        <w:rPr>
          <w:rFonts w:ascii="Calibri" w:eastAsia="Times New Roman" w:hAnsi="Calibri" w:cs="Calibri"/>
          <w:color w:val="000000"/>
          <w:kern w:val="0"/>
          <w14:ligatures w14:val="none"/>
        </w:rPr>
      </w:pPr>
    </w:p>
    <w:p w14:paraId="1B651410" w14:textId="77777777" w:rsidR="003A2759" w:rsidRPr="003A2759" w:rsidRDefault="003A2759" w:rsidP="003A2759">
      <w:pPr>
        <w:numPr>
          <w:ilvl w:val="0"/>
          <w:numId w:val="13"/>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lastRenderedPageBreak/>
        <w:t>Transition to Active Experimentation:</w:t>
      </w:r>
      <w:r w:rsidRPr="003A2759">
        <w:rPr>
          <w:rFonts w:ascii="Calibri" w:eastAsia="Times New Roman" w:hAnsi="Calibri" w:cs="Calibri"/>
          <w:color w:val="000000"/>
          <w:kern w:val="0"/>
          <w14:ligatures w14:val="none"/>
        </w:rPr>
        <w:t> The new mandate utilizes the environment to "observe" the behavior of novel data models, semantic standards, and integration patterns within a controlled laboratory setting. It transforms "observation" from a passive logging activity to an active testing of hypotheses.</w:t>
      </w:r>
    </w:p>
    <w:p w14:paraId="0FBF79FD" w14:textId="77777777" w:rsidR="003A2759" w:rsidRPr="003A2759" w:rsidRDefault="003A2759" w:rsidP="003A2759">
      <w:p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Justification for Leveraging the Existing GCP Project:</w:t>
      </w:r>
    </w:p>
    <w:p w14:paraId="3FB7A006" w14:textId="22C4A553" w:rsidR="003A2759" w:rsidRPr="003A2759" w:rsidRDefault="003A2759" w:rsidP="003A2759">
      <w:pPr>
        <w:numPr>
          <w:ilvl w:val="0"/>
          <w:numId w:val="14"/>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Established Security Baseline:</w:t>
      </w:r>
      <w:r w:rsidRPr="003A2759">
        <w:rPr>
          <w:rFonts w:ascii="Calibri" w:eastAsia="Times New Roman" w:hAnsi="Calibri" w:cs="Calibri"/>
          <w:color w:val="000000"/>
          <w:kern w:val="0"/>
          <w14:ligatures w14:val="none"/>
        </w:rPr>
        <w:t> The project possesses pre</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configured Identity and Access Management (IAM) roles, VPC service controls, and network isolation protocols. These are suitable for handling complex, anonymized data structures without the risk of impacting production pipelines or leaking data to the public internet.</w:t>
      </w:r>
    </w:p>
    <w:p w14:paraId="0282DA1A" w14:textId="457561BA" w:rsidR="003A2759" w:rsidRPr="003A2759" w:rsidRDefault="003A2759" w:rsidP="003A2759">
      <w:pPr>
        <w:numPr>
          <w:ilvl w:val="0"/>
          <w:numId w:val="14"/>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Cost Containment and Legacy Mitigation:</w:t>
      </w:r>
      <w:r w:rsidRPr="003A2759">
        <w:rPr>
          <w:rFonts w:ascii="Calibri" w:eastAsia="Times New Roman" w:hAnsi="Calibri" w:cs="Calibri"/>
          <w:color w:val="000000"/>
          <w:kern w:val="0"/>
          <w14:ligatures w14:val="none"/>
        </w:rPr>
        <w:t> As a finite resource with established billing cycles, the environment enforces operational discipline. By utilizing an existing container, we avoid the sprawl of "zombie infrastructure"</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 xml:space="preserve">cloud resources that are provisioned for a temporary project but forgotten and left billable indefinitely. </w:t>
      </w:r>
      <w:proofErr w:type="spellStart"/>
      <w:r w:rsidRPr="003A2759">
        <w:rPr>
          <w:rFonts w:ascii="Calibri" w:eastAsia="Times New Roman" w:hAnsi="Calibri" w:cs="Calibri"/>
          <w:color w:val="000000"/>
          <w:kern w:val="0"/>
          <w14:ligatures w14:val="none"/>
        </w:rPr>
        <w:t>PoCs</w:t>
      </w:r>
      <w:proofErr w:type="spellEnd"/>
      <w:r w:rsidRPr="003A2759">
        <w:rPr>
          <w:rFonts w:ascii="Calibri" w:eastAsia="Times New Roman" w:hAnsi="Calibri" w:cs="Calibri"/>
          <w:color w:val="000000"/>
          <w:kern w:val="0"/>
          <w14:ligatures w14:val="none"/>
        </w:rPr>
        <w:t xml:space="preserve"> in this environment are initiated, evaluated, and efficiently terminated.</w:t>
      </w:r>
    </w:p>
    <w:p w14:paraId="70F5DBB4" w14:textId="77777777" w:rsidR="003A2759" w:rsidRPr="003A2759" w:rsidRDefault="003A2759" w:rsidP="003A2759">
      <w:pPr>
        <w:spacing w:before="100" w:beforeAutospacing="1" w:after="100" w:afterAutospacing="1" w:line="240" w:lineRule="auto"/>
        <w:outlineLvl w:val="1"/>
        <w:rPr>
          <w:rFonts w:ascii="Calibri" w:eastAsia="Times New Roman" w:hAnsi="Calibri" w:cs="Calibri"/>
          <w:b/>
          <w:bCs/>
          <w:color w:val="000000"/>
          <w:kern w:val="0"/>
          <w:sz w:val="36"/>
          <w:szCs w:val="36"/>
          <w14:ligatures w14:val="none"/>
        </w:rPr>
      </w:pPr>
      <w:r w:rsidRPr="003A2759">
        <w:rPr>
          <w:rFonts w:ascii="Calibri" w:eastAsia="Times New Roman" w:hAnsi="Calibri" w:cs="Calibri"/>
          <w:b/>
          <w:bCs/>
          <w:color w:val="000000"/>
          <w:kern w:val="0"/>
          <w:sz w:val="36"/>
          <w:szCs w:val="36"/>
          <w14:ligatures w14:val="none"/>
        </w:rPr>
        <w:t>3. Core Philosophy: A Shared Service Architecture</w:t>
      </w:r>
    </w:p>
    <w:p w14:paraId="22FA7471" w14:textId="153AEAC9" w:rsidR="003A2759" w:rsidRPr="003A2759" w:rsidRDefault="003A2759" w:rsidP="003A2759">
      <w:p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color w:val="000000"/>
          <w:kern w:val="0"/>
          <w14:ligatures w14:val="none"/>
        </w:rPr>
        <w:t>To construct a sustainable ecosystem, the Group must move away from the paradigm of isolated, single</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tenant instances for every experiment. The Data Observer platform will operate on a </w:t>
      </w:r>
      <w:r w:rsidRPr="003A2759">
        <w:rPr>
          <w:rFonts w:ascii="Calibri" w:eastAsia="Times New Roman" w:hAnsi="Calibri" w:cs="Calibri"/>
          <w:b/>
          <w:bCs/>
          <w:color w:val="000000"/>
          <w:kern w:val="0"/>
          <w14:ligatures w14:val="none"/>
        </w:rPr>
        <w:t>Shared Services</w:t>
      </w:r>
      <w:r w:rsidRPr="003A2759">
        <w:rPr>
          <w:rFonts w:ascii="Calibri" w:eastAsia="Times New Roman" w:hAnsi="Calibri" w:cs="Calibri"/>
          <w:color w:val="000000"/>
          <w:kern w:val="0"/>
          <w14:ligatures w14:val="none"/>
        </w:rPr>
        <w:t> model to maximize efficiency, reduce maintenance overhead, and afford individual computational flexibility.</w:t>
      </w:r>
    </w:p>
    <w:p w14:paraId="7D51DA9B" w14:textId="77777777" w:rsidR="003A2759" w:rsidRPr="003A2759" w:rsidRDefault="003A2759" w:rsidP="003A2759">
      <w:pPr>
        <w:spacing w:before="100" w:beforeAutospacing="1" w:after="100" w:afterAutospacing="1" w:line="240" w:lineRule="auto"/>
        <w:outlineLvl w:val="2"/>
        <w:rPr>
          <w:rFonts w:ascii="Calibri" w:eastAsia="Times New Roman" w:hAnsi="Calibri" w:cs="Calibri"/>
          <w:b/>
          <w:bCs/>
          <w:color w:val="000000"/>
          <w:kern w:val="0"/>
          <w:sz w:val="27"/>
          <w:szCs w:val="27"/>
          <w14:ligatures w14:val="none"/>
        </w:rPr>
      </w:pPr>
      <w:r w:rsidRPr="003A2759">
        <w:rPr>
          <w:rFonts w:ascii="Calibri" w:eastAsia="Times New Roman" w:hAnsi="Calibri" w:cs="Calibri"/>
          <w:b/>
          <w:bCs/>
          <w:color w:val="000000"/>
          <w:kern w:val="0"/>
          <w:sz w:val="27"/>
          <w:szCs w:val="27"/>
          <w14:ligatures w14:val="none"/>
        </w:rPr>
        <w:t>A. Centralized Shared Services</w:t>
      </w:r>
    </w:p>
    <w:p w14:paraId="483C580E" w14:textId="61DDEBB1" w:rsidR="003A2759" w:rsidRPr="003A2759" w:rsidRDefault="003A2759" w:rsidP="003A2759">
      <w:p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color w:val="000000"/>
          <w:kern w:val="0"/>
          <w14:ligatures w14:val="none"/>
        </w:rPr>
        <w:t>The core data engines will be hosted as multi</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tenant, managed services accessible to all sandbox users via internal APIs and connection strings. This approach minimizes administrative overhead</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developers do not need to patch their own database servers</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and ensures toolset consistency across the Group.</w:t>
      </w:r>
    </w:p>
    <w:p w14:paraId="4E0AF291" w14:textId="56B25357" w:rsidR="003A2759" w:rsidRPr="003A2759" w:rsidRDefault="003A2759" w:rsidP="003A2759">
      <w:pPr>
        <w:numPr>
          <w:ilvl w:val="0"/>
          <w:numId w:val="15"/>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Compute Infrastructure (VMs &amp; VPCs):</w:t>
      </w:r>
      <w:r w:rsidRPr="003A2759">
        <w:rPr>
          <w:rFonts w:ascii="Calibri" w:eastAsia="Times New Roman" w:hAnsi="Calibri" w:cs="Calibri"/>
          <w:color w:val="000000"/>
          <w:kern w:val="0"/>
          <w14:ligatures w14:val="none"/>
        </w:rPr>
        <w:t> A pool of pre</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configured Virtual Machines available on demand.</w:t>
      </w:r>
    </w:p>
    <w:p w14:paraId="15088A95" w14:textId="77777777" w:rsidR="003A2759" w:rsidRPr="003A2759" w:rsidRDefault="003A2759" w:rsidP="003A2759">
      <w:pPr>
        <w:numPr>
          <w:ilvl w:val="0"/>
          <w:numId w:val="15"/>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Graph Engine Service:</w:t>
      </w:r>
      <w:r w:rsidRPr="003A2759">
        <w:rPr>
          <w:rFonts w:ascii="Calibri" w:eastAsia="Times New Roman" w:hAnsi="Calibri" w:cs="Calibri"/>
          <w:color w:val="000000"/>
          <w:kern w:val="0"/>
          <w14:ligatures w14:val="none"/>
        </w:rPr>
        <w:t> A robust, scalable, hybrid RDF/Property Graph cluster shared across the platform. This service will be partitioned logically to ensure that one PoC's intensive query does not degrade the performance of another.</w:t>
      </w:r>
    </w:p>
    <w:p w14:paraId="03B92ACF" w14:textId="71FD2386" w:rsidR="003A2759" w:rsidRPr="003A2759" w:rsidRDefault="003A2759" w:rsidP="003A2759">
      <w:pPr>
        <w:numPr>
          <w:ilvl w:val="0"/>
          <w:numId w:val="15"/>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Cloud SQL Service:</w:t>
      </w:r>
      <w:r w:rsidRPr="003A2759">
        <w:rPr>
          <w:rFonts w:ascii="Calibri" w:eastAsia="Times New Roman" w:hAnsi="Calibri" w:cs="Calibri"/>
          <w:color w:val="000000"/>
          <w:kern w:val="0"/>
          <w14:ligatures w14:val="none"/>
        </w:rPr>
        <w:t> A shared relational database service addressing standard structured data requirements. It serves as a reliable backing store for application state, enabling developers to focus on the graph</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based data modeling without neglecting standard transactional needs.</w:t>
      </w:r>
    </w:p>
    <w:p w14:paraId="71ABEEE9" w14:textId="77777777" w:rsidR="003A2759" w:rsidRPr="003A2759" w:rsidRDefault="003A2759" w:rsidP="003A2759">
      <w:pPr>
        <w:spacing w:before="100" w:beforeAutospacing="1" w:after="100" w:afterAutospacing="1" w:line="240" w:lineRule="auto"/>
        <w:outlineLvl w:val="2"/>
        <w:rPr>
          <w:rFonts w:ascii="Calibri" w:eastAsia="Times New Roman" w:hAnsi="Calibri" w:cs="Calibri"/>
          <w:b/>
          <w:bCs/>
          <w:color w:val="000000"/>
          <w:kern w:val="0"/>
          <w:sz w:val="27"/>
          <w:szCs w:val="27"/>
          <w14:ligatures w14:val="none"/>
        </w:rPr>
      </w:pPr>
      <w:r w:rsidRPr="003A2759">
        <w:rPr>
          <w:rFonts w:ascii="Calibri" w:eastAsia="Times New Roman" w:hAnsi="Calibri" w:cs="Calibri"/>
          <w:b/>
          <w:bCs/>
          <w:color w:val="000000"/>
          <w:kern w:val="0"/>
          <w:sz w:val="27"/>
          <w:szCs w:val="27"/>
          <w14:ligatures w14:val="none"/>
        </w:rPr>
        <w:t>B. A Synergistic Hybrid Graph Paradigm</w:t>
      </w:r>
    </w:p>
    <w:p w14:paraId="6BF944D2" w14:textId="77777777" w:rsidR="003A2759" w:rsidRPr="003A2759" w:rsidRDefault="003A2759" w:rsidP="003A2759">
      <w:p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color w:val="000000"/>
          <w:kern w:val="0"/>
          <w14:ligatures w14:val="none"/>
        </w:rPr>
        <w:lastRenderedPageBreak/>
        <w:t>The platform’s distinguishing technical feature is its refusal to compromise between semantic precision and application performance. It employs a "Best of Both Worlds" approach:</w:t>
      </w:r>
    </w:p>
    <w:p w14:paraId="54D226F2" w14:textId="77777777" w:rsidR="003A2759" w:rsidRPr="003A2759" w:rsidRDefault="003A2759" w:rsidP="003A2759">
      <w:pPr>
        <w:numPr>
          <w:ilvl w:val="0"/>
          <w:numId w:val="16"/>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Resource Description Framework (RDF) – The Governance Layer:</w:t>
      </w:r>
    </w:p>
    <w:p w14:paraId="1D2CF918" w14:textId="77777777" w:rsidR="003A2759" w:rsidRPr="003A2759" w:rsidRDefault="003A2759" w:rsidP="003A2759">
      <w:pPr>
        <w:numPr>
          <w:ilvl w:val="1"/>
          <w:numId w:val="16"/>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i/>
          <w:iCs/>
          <w:color w:val="000000"/>
          <w:kern w:val="0"/>
          <w14:ligatures w14:val="none"/>
        </w:rPr>
        <w:t>Function:</w:t>
      </w:r>
      <w:r w:rsidRPr="003A2759">
        <w:rPr>
          <w:rFonts w:ascii="Calibri" w:eastAsia="Times New Roman" w:hAnsi="Calibri" w:cs="Calibri"/>
          <w:color w:val="000000"/>
          <w:kern w:val="0"/>
          <w14:ligatures w14:val="none"/>
        </w:rPr>
        <w:t> Utilized for defining the Enterprise Ontology, Taxonomy, and Global Identifiers (URIs).</w:t>
      </w:r>
    </w:p>
    <w:p w14:paraId="615CC5C3" w14:textId="77777777" w:rsidR="003A2759" w:rsidRPr="003A2759" w:rsidRDefault="003A2759" w:rsidP="003A2759">
      <w:pPr>
        <w:numPr>
          <w:ilvl w:val="1"/>
          <w:numId w:val="16"/>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i/>
          <w:iCs/>
          <w:color w:val="000000"/>
          <w:kern w:val="0"/>
          <w14:ligatures w14:val="none"/>
        </w:rPr>
        <w:t>Application:</w:t>
      </w:r>
      <w:r w:rsidRPr="003A2759">
        <w:rPr>
          <w:rFonts w:ascii="Calibri" w:eastAsia="Times New Roman" w:hAnsi="Calibri" w:cs="Calibri"/>
          <w:color w:val="000000"/>
          <w:kern w:val="0"/>
          <w14:ligatures w14:val="none"/>
        </w:rPr>
        <w:t> This layer handles the "Truth." It ensures that data classes (e.g., "Counterparty," "Instrument") are rigorously defined using W3C standards (OWL, SKOS). It allows for inference and logical consistency checking.</w:t>
      </w:r>
    </w:p>
    <w:p w14:paraId="3F1BC4F3" w14:textId="5B21F88B" w:rsidR="003A2759" w:rsidRPr="003A2759" w:rsidRDefault="003A2759" w:rsidP="003A2759">
      <w:pPr>
        <w:numPr>
          <w:ilvl w:val="1"/>
          <w:numId w:val="16"/>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i/>
          <w:iCs/>
          <w:color w:val="000000"/>
          <w:kern w:val="0"/>
          <w14:ligatures w14:val="none"/>
        </w:rPr>
        <w:t>Benefit:</w:t>
      </w:r>
      <w:r w:rsidRPr="003A2759">
        <w:rPr>
          <w:rFonts w:ascii="Calibri" w:eastAsia="Times New Roman" w:hAnsi="Calibri" w:cs="Calibri"/>
          <w:color w:val="000000"/>
          <w:kern w:val="0"/>
          <w14:ligatures w14:val="none"/>
        </w:rPr>
        <w:t> Facilitates machine</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readable semantics and standardized data exchange, ensuring that a "Loan" in the risk system means the same as a "Loan" in the finance system.</w:t>
      </w:r>
    </w:p>
    <w:p w14:paraId="275F6277" w14:textId="77777777" w:rsidR="003A2759" w:rsidRPr="003A2759" w:rsidRDefault="003A2759" w:rsidP="003A2759">
      <w:pPr>
        <w:numPr>
          <w:ilvl w:val="0"/>
          <w:numId w:val="16"/>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Property Graph (LPG) – The Application Layer:</w:t>
      </w:r>
    </w:p>
    <w:p w14:paraId="11512DF3" w14:textId="77777777" w:rsidR="003A2759" w:rsidRPr="003A2759" w:rsidRDefault="003A2759" w:rsidP="003A2759">
      <w:pPr>
        <w:numPr>
          <w:ilvl w:val="1"/>
          <w:numId w:val="16"/>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i/>
          <w:iCs/>
          <w:color w:val="000000"/>
          <w:kern w:val="0"/>
          <w14:ligatures w14:val="none"/>
        </w:rPr>
        <w:t>Function:</w:t>
      </w:r>
      <w:r w:rsidRPr="003A2759">
        <w:rPr>
          <w:rFonts w:ascii="Calibri" w:eastAsia="Times New Roman" w:hAnsi="Calibri" w:cs="Calibri"/>
          <w:color w:val="000000"/>
          <w:kern w:val="0"/>
          <w14:ligatures w14:val="none"/>
        </w:rPr>
        <w:t> Utilized for the operational instantiation of data.</w:t>
      </w:r>
    </w:p>
    <w:p w14:paraId="725C7806" w14:textId="23DE9586" w:rsidR="003A2759" w:rsidRPr="003A2759" w:rsidRDefault="003A2759" w:rsidP="003A2759">
      <w:pPr>
        <w:numPr>
          <w:ilvl w:val="1"/>
          <w:numId w:val="16"/>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i/>
          <w:iCs/>
          <w:color w:val="000000"/>
          <w:kern w:val="0"/>
          <w14:ligatures w14:val="none"/>
        </w:rPr>
        <w:t>Application:</w:t>
      </w:r>
      <w:r w:rsidRPr="003A2759">
        <w:rPr>
          <w:rFonts w:ascii="Calibri" w:eastAsia="Times New Roman" w:hAnsi="Calibri" w:cs="Calibri"/>
          <w:color w:val="000000"/>
          <w:kern w:val="0"/>
          <w14:ligatures w14:val="none"/>
        </w:rPr>
        <w:t> Developers access this layer for high</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performance traversals, pathfinding algorithms, and intuitive application modeling (Nodes and Edges). It is optimized for speed and developer ergonomics.</w:t>
      </w:r>
    </w:p>
    <w:p w14:paraId="60757996" w14:textId="77777777" w:rsidR="003A2759" w:rsidRPr="003A2759" w:rsidRDefault="003A2759" w:rsidP="003A2759">
      <w:pPr>
        <w:numPr>
          <w:ilvl w:val="1"/>
          <w:numId w:val="16"/>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i/>
          <w:iCs/>
          <w:color w:val="000000"/>
          <w:kern w:val="0"/>
          <w14:ligatures w14:val="none"/>
        </w:rPr>
        <w:t>Benefit:</w:t>
      </w:r>
      <w:r w:rsidRPr="003A2759">
        <w:rPr>
          <w:rFonts w:ascii="Calibri" w:eastAsia="Times New Roman" w:hAnsi="Calibri" w:cs="Calibri"/>
          <w:color w:val="000000"/>
          <w:kern w:val="0"/>
          <w14:ligatures w14:val="none"/>
        </w:rPr>
        <w:t> Enhances processing speed, flexibility, and ease of adoption for engineering teams who may be less familiar with academic semantic standards.</w:t>
      </w:r>
    </w:p>
    <w:p w14:paraId="15C64FA1" w14:textId="77777777" w:rsidR="003A2759" w:rsidRPr="003A2759" w:rsidRDefault="003A2759" w:rsidP="003A2759">
      <w:p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The Semantic Bridge:</w:t>
      </w:r>
      <w:r w:rsidRPr="003A2759">
        <w:rPr>
          <w:rFonts w:ascii="Calibri" w:eastAsia="Times New Roman" w:hAnsi="Calibri" w:cs="Calibri"/>
          <w:color w:val="000000"/>
          <w:kern w:val="0"/>
          <w14:ligatures w14:val="none"/>
        </w:rPr>
        <w:t> The platform provides the tooling to map the rigorous RDF definitions into the flexible LPG structures, effectively translating "Governance" into "Code" automatically.</w:t>
      </w:r>
    </w:p>
    <w:p w14:paraId="73E988AF" w14:textId="77777777" w:rsidR="003A2759" w:rsidRPr="003A2759" w:rsidRDefault="003A2759" w:rsidP="003A2759">
      <w:pPr>
        <w:spacing w:before="100" w:beforeAutospacing="1" w:after="100" w:afterAutospacing="1" w:line="240" w:lineRule="auto"/>
        <w:outlineLvl w:val="1"/>
        <w:rPr>
          <w:rFonts w:ascii="Calibri" w:eastAsia="Times New Roman" w:hAnsi="Calibri" w:cs="Calibri"/>
          <w:b/>
          <w:bCs/>
          <w:color w:val="000000"/>
          <w:kern w:val="0"/>
          <w:sz w:val="36"/>
          <w:szCs w:val="36"/>
          <w14:ligatures w14:val="none"/>
        </w:rPr>
      </w:pPr>
      <w:r w:rsidRPr="003A2759">
        <w:rPr>
          <w:rFonts w:ascii="Calibri" w:eastAsia="Times New Roman" w:hAnsi="Calibri" w:cs="Calibri"/>
          <w:b/>
          <w:bCs/>
          <w:color w:val="000000"/>
          <w:kern w:val="0"/>
          <w:sz w:val="36"/>
          <w:szCs w:val="36"/>
          <w14:ligatures w14:val="none"/>
        </w:rPr>
        <w:t>4. Resource Allocation and Budgetary Governance</w:t>
      </w:r>
    </w:p>
    <w:p w14:paraId="612DA06D" w14:textId="7E104273" w:rsidR="003A2759" w:rsidRPr="003A2759" w:rsidRDefault="003A2759" w:rsidP="003A2759">
      <w:p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color w:val="000000"/>
          <w:kern w:val="0"/>
          <w14:ligatures w14:val="none"/>
        </w:rPr>
        <w:t>In stark contrast to traditional, unrestricted sandbox environments which often lead to spiraling cloud costs, the Data Observer platform will implement a strict, wallet</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based resource model. This </w:t>
      </w:r>
      <w:r w:rsidRPr="003A2759">
        <w:rPr>
          <w:rFonts w:ascii="Calibri" w:eastAsia="Times New Roman" w:hAnsi="Calibri" w:cs="Calibri"/>
          <w:b/>
          <w:bCs/>
          <w:color w:val="000000"/>
          <w:kern w:val="0"/>
          <w14:ligatures w14:val="none"/>
        </w:rPr>
        <w:t>"Innovation Wallet"</w:t>
      </w:r>
      <w:r w:rsidRPr="003A2759">
        <w:rPr>
          <w:rFonts w:ascii="Calibri" w:eastAsia="Times New Roman" w:hAnsi="Calibri" w:cs="Calibri"/>
          <w:color w:val="000000"/>
          <w:kern w:val="0"/>
          <w14:ligatures w14:val="none"/>
        </w:rPr>
        <w:t> introduces a level of gamification and fiscal responsibility to the development process.</w:t>
      </w:r>
    </w:p>
    <w:p w14:paraId="2E70635E" w14:textId="77777777" w:rsidR="003A2759" w:rsidRPr="003A2759" w:rsidRDefault="003A2759" w:rsidP="003A2759">
      <w:pPr>
        <w:spacing w:before="100" w:beforeAutospacing="1" w:after="100" w:afterAutospacing="1" w:line="240" w:lineRule="auto"/>
        <w:outlineLvl w:val="2"/>
        <w:rPr>
          <w:rFonts w:ascii="Calibri" w:eastAsia="Times New Roman" w:hAnsi="Calibri" w:cs="Calibri"/>
          <w:b/>
          <w:bCs/>
          <w:color w:val="000000"/>
          <w:kern w:val="0"/>
          <w:sz w:val="27"/>
          <w:szCs w:val="27"/>
          <w14:ligatures w14:val="none"/>
        </w:rPr>
      </w:pPr>
      <w:r w:rsidRPr="003A2759">
        <w:rPr>
          <w:rFonts w:ascii="Calibri" w:eastAsia="Times New Roman" w:hAnsi="Calibri" w:cs="Calibri"/>
          <w:b/>
          <w:bCs/>
          <w:color w:val="000000"/>
          <w:kern w:val="0"/>
          <w:sz w:val="27"/>
          <w:szCs w:val="27"/>
          <w14:ligatures w14:val="none"/>
        </w:rPr>
        <w:t>The "Innovation Wallet" Allocation Model</w:t>
      </w:r>
    </w:p>
    <w:p w14:paraId="28A0EAF6" w14:textId="77777777" w:rsidR="003A2759" w:rsidRPr="003A2759" w:rsidRDefault="003A2759" w:rsidP="003A2759">
      <w:pPr>
        <w:numPr>
          <w:ilvl w:val="0"/>
          <w:numId w:val="17"/>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Initial Provisioning:</w:t>
      </w:r>
      <w:r w:rsidRPr="003A2759">
        <w:rPr>
          <w:rFonts w:ascii="Calibri" w:eastAsia="Times New Roman" w:hAnsi="Calibri" w:cs="Calibri"/>
          <w:color w:val="000000"/>
          <w:kern w:val="0"/>
          <w14:ligatures w14:val="none"/>
        </w:rPr>
        <w:t> Upon successful onboarding and security clearance, every authorized Architect, Developer, and Data Scientist will be allocated a fixed, renewable budget (e.g., $X credits).</w:t>
      </w:r>
    </w:p>
    <w:p w14:paraId="4062A2BA" w14:textId="77777777" w:rsidR="003A2759" w:rsidRPr="003A2759" w:rsidRDefault="003A2759" w:rsidP="003A2759">
      <w:pPr>
        <w:numPr>
          <w:ilvl w:val="0"/>
          <w:numId w:val="17"/>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Scope of Usage:</w:t>
      </w:r>
      <w:r w:rsidRPr="003A2759">
        <w:rPr>
          <w:rFonts w:ascii="Calibri" w:eastAsia="Times New Roman" w:hAnsi="Calibri" w:cs="Calibri"/>
          <w:color w:val="000000"/>
          <w:kern w:val="0"/>
          <w14:ligatures w14:val="none"/>
        </w:rPr>
        <w:t> This budget is comprehensive. It encompasses the consumption of shared compute and storage resources, including Virtual Private Cloud (VPC) data egress, Virtual Machine (VM) uptime, Storage IOPS, and query costs on the shared graph service.</w:t>
      </w:r>
    </w:p>
    <w:p w14:paraId="23099EBA" w14:textId="059B1479" w:rsidR="003A2759" w:rsidRPr="003A2759" w:rsidRDefault="003A2759" w:rsidP="003A2759">
      <w:pPr>
        <w:numPr>
          <w:ilvl w:val="0"/>
          <w:numId w:val="17"/>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Service Expansion and Accountability:</w:t>
      </w:r>
      <w:r w:rsidRPr="003A2759">
        <w:rPr>
          <w:rFonts w:ascii="Calibri" w:eastAsia="Times New Roman" w:hAnsi="Calibri" w:cs="Calibri"/>
          <w:color w:val="000000"/>
          <w:kern w:val="0"/>
          <w14:ligatures w14:val="none"/>
        </w:rPr>
        <w:t> Should a user require additional, specialized GCP services (e.g., a specific Vertex AI API or a high</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throughput Pub/Sub queue), the associated costs will be deducted directly from their allocated wallet. This forces architects to design cost</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aware solutions from the very first prototype.</w:t>
      </w:r>
    </w:p>
    <w:p w14:paraId="431B014A" w14:textId="77777777" w:rsidR="003A2759" w:rsidRPr="003A2759" w:rsidRDefault="003A2759" w:rsidP="003A2759">
      <w:pPr>
        <w:spacing w:before="100" w:beforeAutospacing="1" w:after="100" w:afterAutospacing="1" w:line="240" w:lineRule="auto"/>
        <w:outlineLvl w:val="2"/>
        <w:rPr>
          <w:rFonts w:ascii="Calibri" w:eastAsia="Times New Roman" w:hAnsi="Calibri" w:cs="Calibri"/>
          <w:b/>
          <w:bCs/>
          <w:color w:val="000000"/>
          <w:kern w:val="0"/>
          <w:sz w:val="27"/>
          <w:szCs w:val="27"/>
          <w14:ligatures w14:val="none"/>
        </w:rPr>
      </w:pPr>
      <w:r w:rsidRPr="003A2759">
        <w:rPr>
          <w:rFonts w:ascii="Calibri" w:eastAsia="Times New Roman" w:hAnsi="Calibri" w:cs="Calibri"/>
          <w:b/>
          <w:bCs/>
          <w:color w:val="000000"/>
          <w:kern w:val="0"/>
          <w:sz w:val="27"/>
          <w:szCs w:val="27"/>
          <w14:ligatures w14:val="none"/>
        </w:rPr>
        <w:lastRenderedPageBreak/>
        <w:t>Computational Flexibility (VM Provisioning)</w:t>
      </w:r>
    </w:p>
    <w:p w14:paraId="7E0D44CD" w14:textId="77777777" w:rsidR="003A2759" w:rsidRPr="003A2759" w:rsidRDefault="003A2759" w:rsidP="003A2759">
      <w:p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color w:val="000000"/>
          <w:kern w:val="0"/>
          <w14:ligatures w14:val="none"/>
        </w:rPr>
        <w:t>Users retain the autonomy to provision ephemeral Virtual Machines tailored to specific PoC requirements, with costs debited from their respective wallets. To maintain security standards and reduce the attack surface, the platform provides two approved, hardened "Golden Images":</w:t>
      </w:r>
    </w:p>
    <w:p w14:paraId="5E157344" w14:textId="5AF9A30A" w:rsidR="003A2759" w:rsidRPr="003A2759" w:rsidRDefault="003A2759" w:rsidP="003A2759">
      <w:pPr>
        <w:numPr>
          <w:ilvl w:val="0"/>
          <w:numId w:val="18"/>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Red Hat Linux (RHEL):</w:t>
      </w:r>
      <w:r w:rsidRPr="003A2759">
        <w:rPr>
          <w:rFonts w:ascii="Calibri" w:eastAsia="Times New Roman" w:hAnsi="Calibri" w:cs="Calibri"/>
          <w:color w:val="000000"/>
          <w:kern w:val="0"/>
          <w14:ligatures w14:val="none"/>
        </w:rPr>
        <w:t> Optimized for standard backend development, container orchestration (Docker/</w:t>
      </w:r>
      <w:proofErr w:type="spellStart"/>
      <w:r w:rsidRPr="003A2759">
        <w:rPr>
          <w:rFonts w:ascii="Calibri" w:eastAsia="Times New Roman" w:hAnsi="Calibri" w:cs="Calibri"/>
          <w:color w:val="000000"/>
          <w:kern w:val="0"/>
          <w14:ligatures w14:val="none"/>
        </w:rPr>
        <w:t>Podman</w:t>
      </w:r>
      <w:proofErr w:type="spellEnd"/>
      <w:r w:rsidRPr="003A2759">
        <w:rPr>
          <w:rFonts w:ascii="Calibri" w:eastAsia="Times New Roman" w:hAnsi="Calibri" w:cs="Calibri"/>
          <w:color w:val="000000"/>
          <w:kern w:val="0"/>
          <w14:ligatures w14:val="none"/>
        </w:rPr>
        <w:t>), and Python</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based data science workloads.</w:t>
      </w:r>
    </w:p>
    <w:p w14:paraId="77F3EF36" w14:textId="68213C65" w:rsidR="003A2759" w:rsidRPr="003A2759" w:rsidRDefault="003A2759" w:rsidP="003A2759">
      <w:pPr>
        <w:numPr>
          <w:ilvl w:val="0"/>
          <w:numId w:val="18"/>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Windows Server:</w:t>
      </w:r>
      <w:r w:rsidRPr="003A2759">
        <w:rPr>
          <w:rFonts w:ascii="Calibri" w:eastAsia="Times New Roman" w:hAnsi="Calibri" w:cs="Calibri"/>
          <w:color w:val="000000"/>
          <w:kern w:val="0"/>
          <w14:ligatures w14:val="none"/>
        </w:rPr>
        <w:t> Designated specifically for .NET Core applications, PowerShell automation testing, and legacy integration scenarios requiring Windows</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native dependencies.</w:t>
      </w:r>
    </w:p>
    <w:p w14:paraId="642CDFF4" w14:textId="77777777" w:rsidR="003A2759" w:rsidRPr="003A2759" w:rsidRDefault="003A2759" w:rsidP="003A2759">
      <w:pPr>
        <w:spacing w:before="100" w:beforeAutospacing="1" w:after="100" w:afterAutospacing="1" w:line="240" w:lineRule="auto"/>
        <w:outlineLvl w:val="2"/>
        <w:rPr>
          <w:rFonts w:ascii="Calibri" w:eastAsia="Times New Roman" w:hAnsi="Calibri" w:cs="Calibri"/>
          <w:b/>
          <w:bCs/>
          <w:color w:val="000000"/>
          <w:kern w:val="0"/>
          <w:sz w:val="27"/>
          <w:szCs w:val="27"/>
          <w14:ligatures w14:val="none"/>
        </w:rPr>
      </w:pPr>
      <w:r w:rsidRPr="003A2759">
        <w:rPr>
          <w:rFonts w:ascii="Calibri" w:eastAsia="Times New Roman" w:hAnsi="Calibri" w:cs="Calibri"/>
          <w:b/>
          <w:bCs/>
          <w:color w:val="000000"/>
          <w:kern w:val="0"/>
          <w:sz w:val="27"/>
          <w:szCs w:val="27"/>
          <w14:ligatures w14:val="none"/>
        </w:rPr>
        <w:t>Budgetary Supplementation and Approval Protocol</w:t>
      </w:r>
    </w:p>
    <w:p w14:paraId="28987EB7" w14:textId="77777777" w:rsidR="003A2759" w:rsidRPr="003A2759" w:rsidRDefault="003A2759" w:rsidP="003A2759">
      <w:p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color w:val="000000"/>
          <w:kern w:val="0"/>
          <w14:ligatures w14:val="none"/>
        </w:rPr>
        <w:t>To prevent fiscal overruns and ensure alignment with business priorities, budget caps will be strictly enforced via automated quotas.</w:t>
      </w:r>
    </w:p>
    <w:p w14:paraId="7D41FB9B" w14:textId="77777777" w:rsidR="003A2759" w:rsidRPr="003A2759" w:rsidRDefault="003A2759" w:rsidP="003A2759">
      <w:pPr>
        <w:numPr>
          <w:ilvl w:val="0"/>
          <w:numId w:val="19"/>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Request Initiation:</w:t>
      </w:r>
      <w:r w:rsidRPr="003A2759">
        <w:rPr>
          <w:rFonts w:ascii="Calibri" w:eastAsia="Times New Roman" w:hAnsi="Calibri" w:cs="Calibri"/>
          <w:color w:val="000000"/>
          <w:kern w:val="0"/>
          <w14:ligatures w14:val="none"/>
        </w:rPr>
        <w:t> Upon depletion of the allocated wallet (reaching &lt;10% remaining), the user must submit a formal request for supplementation via the platform portal, detailing the justification for the extension.</w:t>
      </w:r>
    </w:p>
    <w:p w14:paraId="675E744C" w14:textId="77777777" w:rsidR="003A2759" w:rsidRPr="003A2759" w:rsidRDefault="003A2759" w:rsidP="003A2759">
      <w:pPr>
        <w:numPr>
          <w:ilvl w:val="0"/>
          <w:numId w:val="19"/>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Authorization:</w:t>
      </w:r>
      <w:r w:rsidRPr="003A2759">
        <w:rPr>
          <w:rFonts w:ascii="Calibri" w:eastAsia="Times New Roman" w:hAnsi="Calibri" w:cs="Calibri"/>
          <w:color w:val="000000"/>
          <w:kern w:val="0"/>
          <w14:ligatures w14:val="none"/>
        </w:rPr>
        <w:t> Approval is mandatory from a Business Line Manager at </w:t>
      </w:r>
      <w:r w:rsidRPr="003A2759">
        <w:rPr>
          <w:rFonts w:ascii="Calibri" w:eastAsia="Times New Roman" w:hAnsi="Calibri" w:cs="Calibri"/>
          <w:b/>
          <w:bCs/>
          <w:color w:val="000000"/>
          <w:kern w:val="0"/>
          <w14:ligatures w14:val="none"/>
        </w:rPr>
        <w:t>GCB 3 level or above</w:t>
      </w:r>
      <w:r w:rsidRPr="003A2759">
        <w:rPr>
          <w:rFonts w:ascii="Calibri" w:eastAsia="Times New Roman" w:hAnsi="Calibri" w:cs="Calibri"/>
          <w:color w:val="000000"/>
          <w:kern w:val="0"/>
          <w14:ligatures w14:val="none"/>
        </w:rPr>
        <w:t>. This ensures that senior leadership is aware of and sanctions the resource investment in the specific PoC.</w:t>
      </w:r>
    </w:p>
    <w:p w14:paraId="2DA085B7" w14:textId="77777777" w:rsidR="003A2759" w:rsidRPr="003A2759" w:rsidRDefault="003A2759" w:rsidP="003A2759">
      <w:pPr>
        <w:numPr>
          <w:ilvl w:val="0"/>
          <w:numId w:val="19"/>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Execution:</w:t>
      </w:r>
      <w:r w:rsidRPr="003A2759">
        <w:rPr>
          <w:rFonts w:ascii="Calibri" w:eastAsia="Times New Roman" w:hAnsi="Calibri" w:cs="Calibri"/>
          <w:color w:val="000000"/>
          <w:kern w:val="0"/>
          <w14:ligatures w14:val="none"/>
        </w:rPr>
        <w:t> Upon receipt of digital approval, the Platform Administrator will manually adjust the wallet limit, logging the transaction for audit purposes.</w:t>
      </w:r>
    </w:p>
    <w:p w14:paraId="02368BDC" w14:textId="77777777" w:rsidR="003A2759" w:rsidRPr="003A2759" w:rsidRDefault="003A2759" w:rsidP="003A2759">
      <w:pPr>
        <w:spacing w:before="100" w:beforeAutospacing="1" w:after="100" w:afterAutospacing="1" w:line="240" w:lineRule="auto"/>
        <w:outlineLvl w:val="2"/>
        <w:rPr>
          <w:rFonts w:ascii="Calibri" w:eastAsia="Times New Roman" w:hAnsi="Calibri" w:cs="Calibri"/>
          <w:b/>
          <w:bCs/>
          <w:color w:val="000000"/>
          <w:kern w:val="0"/>
          <w:sz w:val="27"/>
          <w:szCs w:val="27"/>
          <w14:ligatures w14:val="none"/>
        </w:rPr>
      </w:pPr>
      <w:r w:rsidRPr="003A2759">
        <w:rPr>
          <w:rFonts w:ascii="Calibri" w:eastAsia="Times New Roman" w:hAnsi="Calibri" w:cs="Calibri"/>
          <w:b/>
          <w:bCs/>
          <w:color w:val="000000"/>
          <w:kern w:val="0"/>
          <w:sz w:val="27"/>
          <w:szCs w:val="27"/>
          <w14:ligatures w14:val="none"/>
        </w:rPr>
        <w:t>Monitoring and Alert Mechanisms</w:t>
      </w:r>
    </w:p>
    <w:p w14:paraId="01A02A40" w14:textId="77777777" w:rsidR="003A2759" w:rsidRPr="003A2759" w:rsidRDefault="003A2759" w:rsidP="003A2759">
      <w:p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color w:val="000000"/>
          <w:kern w:val="0"/>
          <w14:ligatures w14:val="none"/>
        </w:rPr>
        <w:t>The Platform Administrator will retain comprehensive oversight via an automated governance dashboard:</w:t>
      </w:r>
    </w:p>
    <w:p w14:paraId="78819CFC" w14:textId="4EC25886" w:rsidR="003A2759" w:rsidRPr="003A2759" w:rsidRDefault="003A2759" w:rsidP="003A2759">
      <w:pPr>
        <w:numPr>
          <w:ilvl w:val="0"/>
          <w:numId w:val="20"/>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Anomaly Detection:</w:t>
      </w:r>
      <w:r w:rsidRPr="003A2759">
        <w:rPr>
          <w:rFonts w:ascii="Calibri" w:eastAsia="Times New Roman" w:hAnsi="Calibri" w:cs="Calibri"/>
          <w:color w:val="000000"/>
          <w:kern w:val="0"/>
          <w14:ligatures w14:val="none"/>
        </w:rPr>
        <w:t> Real</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time alerts triggered by irregular computational patterns (e.g., signatures indicative of crypto</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mining, unauthorized port scanning, or infinite loops consuming CPU).</w:t>
      </w:r>
    </w:p>
    <w:p w14:paraId="1F70682E" w14:textId="77777777" w:rsidR="003A2759" w:rsidRPr="003A2759" w:rsidRDefault="003A2759" w:rsidP="003A2759">
      <w:pPr>
        <w:numPr>
          <w:ilvl w:val="0"/>
          <w:numId w:val="20"/>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High Consumption Indicators:</w:t>
      </w:r>
      <w:r w:rsidRPr="003A2759">
        <w:rPr>
          <w:rFonts w:ascii="Calibri" w:eastAsia="Times New Roman" w:hAnsi="Calibri" w:cs="Calibri"/>
          <w:color w:val="000000"/>
          <w:kern w:val="0"/>
          <w14:ligatures w14:val="none"/>
        </w:rPr>
        <w:t> "Burn rate" alerts triggered when a user consumes greater than 80% of their budget in less than 20% of the projected PoC duration, indicating a potential design flaw or resource leak.</w:t>
      </w:r>
    </w:p>
    <w:p w14:paraId="36595DF1" w14:textId="77777777" w:rsidR="003A2759" w:rsidRPr="003A2759" w:rsidRDefault="003A2759" w:rsidP="003A2759">
      <w:pPr>
        <w:numPr>
          <w:ilvl w:val="0"/>
          <w:numId w:val="20"/>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Reporting:</w:t>
      </w:r>
      <w:r w:rsidRPr="003A2759">
        <w:rPr>
          <w:rFonts w:ascii="Calibri" w:eastAsia="Times New Roman" w:hAnsi="Calibri" w:cs="Calibri"/>
          <w:color w:val="000000"/>
          <w:kern w:val="0"/>
          <w14:ligatures w14:val="none"/>
        </w:rPr>
        <w:t> The solution will generate automated monthly management reports, tracking actual expenditure against technical progress. This provides the Group with a transparent ROI metric for its innovation spend.</w:t>
      </w:r>
    </w:p>
    <w:p w14:paraId="1D75A6FE" w14:textId="77777777" w:rsidR="003A2759" w:rsidRPr="003A2759" w:rsidRDefault="003A2759" w:rsidP="003A2759">
      <w:pPr>
        <w:spacing w:before="100" w:beforeAutospacing="1" w:after="100" w:afterAutospacing="1" w:line="240" w:lineRule="auto"/>
        <w:outlineLvl w:val="1"/>
        <w:rPr>
          <w:rFonts w:ascii="Calibri" w:eastAsia="Times New Roman" w:hAnsi="Calibri" w:cs="Calibri"/>
          <w:b/>
          <w:bCs/>
          <w:color w:val="000000"/>
          <w:kern w:val="0"/>
          <w:sz w:val="36"/>
          <w:szCs w:val="36"/>
          <w14:ligatures w14:val="none"/>
        </w:rPr>
      </w:pPr>
      <w:r w:rsidRPr="003A2759">
        <w:rPr>
          <w:rFonts w:ascii="Calibri" w:eastAsia="Times New Roman" w:hAnsi="Calibri" w:cs="Calibri"/>
          <w:b/>
          <w:bCs/>
          <w:color w:val="000000"/>
          <w:kern w:val="0"/>
          <w:sz w:val="36"/>
          <w:szCs w:val="36"/>
          <w14:ligatures w14:val="none"/>
        </w:rPr>
        <w:t>5. Flagship Use Case: The Semantic Utility &amp; Data Manifest</w:t>
      </w:r>
    </w:p>
    <w:p w14:paraId="459419D7" w14:textId="77777777" w:rsidR="003A2759" w:rsidRPr="003A2759" w:rsidRDefault="003A2759" w:rsidP="003A2759">
      <w:p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color w:val="000000"/>
          <w:kern w:val="0"/>
          <w14:ligatures w14:val="none"/>
        </w:rPr>
        <w:lastRenderedPageBreak/>
        <w:t>While the platform supports various initiatives, the </w:t>
      </w:r>
      <w:r w:rsidRPr="003A2759">
        <w:rPr>
          <w:rFonts w:ascii="Calibri" w:eastAsia="Times New Roman" w:hAnsi="Calibri" w:cs="Calibri"/>
          <w:b/>
          <w:bCs/>
          <w:color w:val="000000"/>
          <w:kern w:val="0"/>
          <w14:ligatures w14:val="none"/>
        </w:rPr>
        <w:t>Semantic Utility</w:t>
      </w:r>
      <w:r w:rsidRPr="003A2759">
        <w:rPr>
          <w:rFonts w:ascii="Calibri" w:eastAsia="Times New Roman" w:hAnsi="Calibri" w:cs="Calibri"/>
          <w:color w:val="000000"/>
          <w:kern w:val="0"/>
          <w14:ligatures w14:val="none"/>
        </w:rPr>
        <w:t> serves as the exemplar of its capabilities and the first mandatory service to be built upon it.</w:t>
      </w:r>
    </w:p>
    <w:p w14:paraId="5DB03674" w14:textId="53A9A619" w:rsidR="003A2759" w:rsidRPr="003A2759" w:rsidRDefault="003A2759" w:rsidP="003A2759">
      <w:p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color w:val="000000"/>
          <w:kern w:val="0"/>
          <w14:ligatures w14:val="none"/>
        </w:rPr>
        <w:t>The platform will host a centralized service for the resolution of data meaning. Rather than re</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engineering the schema for common entities such as a "Transaction" or "Client" for each individual project, teams will retrieve the approved semantic definition from the Utility.</w:t>
      </w:r>
    </w:p>
    <w:p w14:paraId="4C25E8D1" w14:textId="77777777" w:rsidR="003A2759" w:rsidRPr="003A2759" w:rsidRDefault="003A2759" w:rsidP="003A2759">
      <w:pPr>
        <w:numPr>
          <w:ilvl w:val="0"/>
          <w:numId w:val="21"/>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Objective:</w:t>
      </w:r>
      <w:r w:rsidRPr="003A2759">
        <w:rPr>
          <w:rFonts w:ascii="Calibri" w:eastAsia="Times New Roman" w:hAnsi="Calibri" w:cs="Calibri"/>
          <w:color w:val="000000"/>
          <w:kern w:val="0"/>
          <w14:ligatures w14:val="none"/>
        </w:rPr>
        <w:t> The Semantic Utility guarantees that concepts maintain a consistent definition across all systems. It acts as the "Source of Meaning" for the enterprise.</w:t>
      </w:r>
    </w:p>
    <w:p w14:paraId="65616A3F" w14:textId="77777777" w:rsidR="003A2759" w:rsidRPr="003A2759" w:rsidRDefault="003A2759" w:rsidP="003A2759">
      <w:pPr>
        <w:numPr>
          <w:ilvl w:val="0"/>
          <w:numId w:val="21"/>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Mechanism:</w:t>
      </w:r>
      <w:r w:rsidRPr="003A2759">
        <w:rPr>
          <w:rFonts w:ascii="Calibri" w:eastAsia="Times New Roman" w:hAnsi="Calibri" w:cs="Calibri"/>
          <w:color w:val="000000"/>
          <w:kern w:val="0"/>
          <w14:ligatures w14:val="none"/>
        </w:rPr>
        <w:t> Architects define the rules and relationships in RDF. The platform exposes these definitions via API to Developers working in Property Graphs.</w:t>
      </w:r>
    </w:p>
    <w:p w14:paraId="6535E84C" w14:textId="3309C091" w:rsidR="003A2759" w:rsidRPr="003A2759" w:rsidRDefault="003A2759" w:rsidP="003A2759">
      <w:pPr>
        <w:numPr>
          <w:ilvl w:val="0"/>
          <w:numId w:val="21"/>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The Data Manifest:</w:t>
      </w:r>
      <w:r w:rsidRPr="003A2759">
        <w:rPr>
          <w:rFonts w:ascii="Calibri" w:eastAsia="Times New Roman" w:hAnsi="Calibri" w:cs="Calibri"/>
          <w:color w:val="000000"/>
          <w:kern w:val="0"/>
          <w14:ligatures w14:val="none"/>
        </w:rPr>
        <w:t> A critical output of this utility is the "Data Manifest." Any data product or microservice developed within the sandbox must generate this manifest</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a metadata artifact describing the data's lineage, its quality constraints, and its specific mapping to the Enterprise Ontology. This ensures that no data leaves the sandbox without a "passport" describing exactly what it is.</w:t>
      </w:r>
    </w:p>
    <w:p w14:paraId="198E8DEF" w14:textId="22E0A17A" w:rsidR="003A2759" w:rsidRPr="003A2759" w:rsidRDefault="003A2759" w:rsidP="003A2759">
      <w:pPr>
        <w:spacing w:before="100" w:beforeAutospacing="1" w:after="100" w:afterAutospacing="1" w:line="240" w:lineRule="auto"/>
        <w:outlineLvl w:val="1"/>
        <w:rPr>
          <w:rFonts w:ascii="Calibri" w:eastAsia="Times New Roman" w:hAnsi="Calibri" w:cs="Calibri"/>
          <w:b/>
          <w:bCs/>
          <w:color w:val="000000"/>
          <w:kern w:val="0"/>
          <w:sz w:val="36"/>
          <w:szCs w:val="36"/>
          <w14:ligatures w14:val="none"/>
        </w:rPr>
      </w:pPr>
      <w:r>
        <w:rPr>
          <w:rFonts w:ascii="Calibri" w:eastAsia="Times New Roman" w:hAnsi="Calibri" w:cs="Calibri"/>
          <w:b/>
          <w:bCs/>
          <w:color w:val="000000"/>
          <w:kern w:val="0"/>
          <w:sz w:val="36"/>
          <w:szCs w:val="36"/>
          <w14:ligatures w14:val="none"/>
        </w:rPr>
        <w:t>6</w:t>
      </w:r>
      <w:r w:rsidRPr="003A2759">
        <w:rPr>
          <w:rFonts w:ascii="Calibri" w:eastAsia="Times New Roman" w:hAnsi="Calibri" w:cs="Calibri"/>
          <w:b/>
          <w:bCs/>
          <w:color w:val="000000"/>
          <w:kern w:val="0"/>
          <w:sz w:val="36"/>
          <w:szCs w:val="36"/>
          <w14:ligatures w14:val="none"/>
        </w:rPr>
        <w:t>. Strategic Value Proposition</w:t>
      </w:r>
    </w:p>
    <w:p w14:paraId="0CE7C984" w14:textId="77777777" w:rsidR="003A2759" w:rsidRPr="003A2759" w:rsidRDefault="003A2759" w:rsidP="003A2759">
      <w:pPr>
        <w:spacing w:before="100" w:beforeAutospacing="1" w:after="100" w:afterAutospacing="1" w:line="240" w:lineRule="auto"/>
        <w:outlineLvl w:val="2"/>
        <w:rPr>
          <w:rFonts w:ascii="Calibri" w:eastAsia="Times New Roman" w:hAnsi="Calibri" w:cs="Calibri"/>
          <w:b/>
          <w:bCs/>
          <w:color w:val="000000"/>
          <w:kern w:val="0"/>
          <w:sz w:val="27"/>
          <w:szCs w:val="27"/>
          <w14:ligatures w14:val="none"/>
        </w:rPr>
      </w:pPr>
      <w:r w:rsidRPr="003A2759">
        <w:rPr>
          <w:rFonts w:ascii="Calibri" w:eastAsia="Times New Roman" w:hAnsi="Calibri" w:cs="Calibri"/>
          <w:b/>
          <w:bCs/>
          <w:color w:val="000000"/>
          <w:kern w:val="0"/>
          <w:sz w:val="27"/>
          <w:szCs w:val="27"/>
          <w14:ligatures w14:val="none"/>
        </w:rPr>
        <w:t>For Enterprise Architects</w:t>
      </w:r>
    </w:p>
    <w:p w14:paraId="332A8F91" w14:textId="77777777" w:rsidR="003A2759" w:rsidRPr="003A2759" w:rsidRDefault="003A2759" w:rsidP="003A2759">
      <w:pPr>
        <w:numPr>
          <w:ilvl w:val="0"/>
          <w:numId w:val="22"/>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Enforceable Governance:</w:t>
      </w:r>
      <w:r w:rsidRPr="003A2759">
        <w:rPr>
          <w:rFonts w:ascii="Calibri" w:eastAsia="Times New Roman" w:hAnsi="Calibri" w:cs="Calibri"/>
          <w:color w:val="000000"/>
          <w:kern w:val="0"/>
          <w14:ligatures w14:val="none"/>
        </w:rPr>
        <w:t> The platform moves governance from "Paper Policy" to "Platform Physics." It automatically enforces ontology rules (SHACL validation), while the budget model mandates fiscal responsibility.</w:t>
      </w:r>
    </w:p>
    <w:p w14:paraId="02D27383" w14:textId="77777777" w:rsidR="003A2759" w:rsidRPr="003A2759" w:rsidRDefault="003A2759" w:rsidP="003A2759">
      <w:pPr>
        <w:numPr>
          <w:ilvl w:val="0"/>
          <w:numId w:val="22"/>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Operational Visibility:</w:t>
      </w:r>
      <w:r w:rsidRPr="003A2759">
        <w:rPr>
          <w:rFonts w:ascii="Calibri" w:eastAsia="Times New Roman" w:hAnsi="Calibri" w:cs="Calibri"/>
          <w:color w:val="000000"/>
          <w:kern w:val="0"/>
          <w14:ligatures w14:val="none"/>
        </w:rPr>
        <w:t> Monthly progress reports provide a comprehensive view of all active architectural experiments, allowing architects to spot redundant efforts or opportunities for synergy across business lines.</w:t>
      </w:r>
    </w:p>
    <w:p w14:paraId="5EA62727" w14:textId="77777777" w:rsidR="003A2759" w:rsidRPr="003A2759" w:rsidRDefault="003A2759" w:rsidP="003A2759">
      <w:pPr>
        <w:spacing w:before="100" w:beforeAutospacing="1" w:after="100" w:afterAutospacing="1" w:line="240" w:lineRule="auto"/>
        <w:outlineLvl w:val="2"/>
        <w:rPr>
          <w:rFonts w:ascii="Calibri" w:eastAsia="Times New Roman" w:hAnsi="Calibri" w:cs="Calibri"/>
          <w:b/>
          <w:bCs/>
          <w:color w:val="000000"/>
          <w:kern w:val="0"/>
          <w:sz w:val="27"/>
          <w:szCs w:val="27"/>
          <w14:ligatures w14:val="none"/>
        </w:rPr>
      </w:pPr>
      <w:r w:rsidRPr="003A2759">
        <w:rPr>
          <w:rFonts w:ascii="Calibri" w:eastAsia="Times New Roman" w:hAnsi="Calibri" w:cs="Calibri"/>
          <w:b/>
          <w:bCs/>
          <w:color w:val="000000"/>
          <w:kern w:val="0"/>
          <w:sz w:val="27"/>
          <w:szCs w:val="27"/>
          <w14:ligatures w14:val="none"/>
        </w:rPr>
        <w:t>For Developers</w:t>
      </w:r>
    </w:p>
    <w:p w14:paraId="2738F6B6" w14:textId="49F455A0" w:rsidR="003A2759" w:rsidRPr="003A2759" w:rsidRDefault="003A2759" w:rsidP="003A2759">
      <w:pPr>
        <w:numPr>
          <w:ilvl w:val="0"/>
          <w:numId w:val="23"/>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Self</w:t>
      </w:r>
      <w:r>
        <w:rPr>
          <w:rFonts w:ascii="Calibri" w:eastAsia="Times New Roman" w:hAnsi="Calibri" w:cs="Calibri"/>
          <w:b/>
          <w:bCs/>
          <w:color w:val="000000"/>
          <w:kern w:val="0"/>
          <w14:ligatures w14:val="none"/>
        </w:rPr>
        <w:t xml:space="preserve"> - </w:t>
      </w:r>
      <w:r w:rsidRPr="003A2759">
        <w:rPr>
          <w:rFonts w:ascii="Calibri" w:eastAsia="Times New Roman" w:hAnsi="Calibri" w:cs="Calibri"/>
          <w:b/>
          <w:bCs/>
          <w:color w:val="000000"/>
          <w:kern w:val="0"/>
          <w14:ligatures w14:val="none"/>
        </w:rPr>
        <w:t>Service Autonomy:</w:t>
      </w:r>
      <w:r w:rsidRPr="003A2759">
        <w:rPr>
          <w:rFonts w:ascii="Calibri" w:eastAsia="Times New Roman" w:hAnsi="Calibri" w:cs="Calibri"/>
          <w:color w:val="000000"/>
          <w:kern w:val="0"/>
          <w14:ligatures w14:val="none"/>
        </w:rPr>
        <w:t> Developers are liberated from the IT procurement queue. They are afforded a budget and a choice of Operating Systems (Windows/RHEL). This eliminates the need for individual ticketing for VM provisioning, provided operations remain within the allocated budget.</w:t>
      </w:r>
    </w:p>
    <w:p w14:paraId="4F5D720B" w14:textId="5A43E7FD" w:rsidR="003A2759" w:rsidRPr="003A2759" w:rsidRDefault="003A2759" w:rsidP="003A2759">
      <w:pPr>
        <w:numPr>
          <w:ilvl w:val="0"/>
          <w:numId w:val="23"/>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Accelerated Deployment:</w:t>
      </w:r>
      <w:r w:rsidRPr="003A2759">
        <w:rPr>
          <w:rFonts w:ascii="Calibri" w:eastAsia="Times New Roman" w:hAnsi="Calibri" w:cs="Calibri"/>
          <w:color w:val="000000"/>
          <w:kern w:val="0"/>
          <w14:ligatures w14:val="none"/>
        </w:rPr>
        <w:t xml:space="preserve"> Access to shared Graph and Cloud SQL services negates the need for installing, patching, and securing local databases. Developers can simply connect and build, significantly reducing </w:t>
      </w:r>
      <w:r>
        <w:rPr>
          <w:rFonts w:ascii="Calibri" w:eastAsia="Times New Roman" w:hAnsi="Calibri" w:cs="Calibri"/>
          <w:color w:val="000000"/>
          <w:kern w:val="0"/>
          <w14:ligatures w14:val="none"/>
        </w:rPr>
        <w:t>time.</w:t>
      </w:r>
    </w:p>
    <w:p w14:paraId="4EECE63D" w14:textId="77777777" w:rsidR="003A2759" w:rsidRPr="003A2759" w:rsidRDefault="003A2759" w:rsidP="003A2759">
      <w:pPr>
        <w:spacing w:before="100" w:beforeAutospacing="1" w:after="100" w:afterAutospacing="1" w:line="240" w:lineRule="auto"/>
        <w:outlineLvl w:val="2"/>
        <w:rPr>
          <w:rFonts w:ascii="Calibri" w:eastAsia="Times New Roman" w:hAnsi="Calibri" w:cs="Calibri"/>
          <w:b/>
          <w:bCs/>
          <w:color w:val="000000"/>
          <w:kern w:val="0"/>
          <w:sz w:val="27"/>
          <w:szCs w:val="27"/>
          <w14:ligatures w14:val="none"/>
        </w:rPr>
      </w:pPr>
      <w:r w:rsidRPr="003A2759">
        <w:rPr>
          <w:rFonts w:ascii="Calibri" w:eastAsia="Times New Roman" w:hAnsi="Calibri" w:cs="Calibri"/>
          <w:b/>
          <w:bCs/>
          <w:color w:val="000000"/>
          <w:kern w:val="0"/>
          <w:sz w:val="27"/>
          <w:szCs w:val="27"/>
          <w14:ligatures w14:val="none"/>
        </w:rPr>
        <w:t>For Data Scientists</w:t>
      </w:r>
    </w:p>
    <w:p w14:paraId="71498E9E" w14:textId="0C843CD3" w:rsidR="003A2759" w:rsidRPr="003A2759" w:rsidRDefault="003A2759" w:rsidP="003A2759">
      <w:pPr>
        <w:numPr>
          <w:ilvl w:val="0"/>
          <w:numId w:val="24"/>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Scalable Experimentation:</w:t>
      </w:r>
      <w:r w:rsidRPr="003A2759">
        <w:rPr>
          <w:rFonts w:ascii="Calibri" w:eastAsia="Times New Roman" w:hAnsi="Calibri" w:cs="Calibri"/>
          <w:color w:val="000000"/>
          <w:kern w:val="0"/>
          <w14:ligatures w14:val="none"/>
        </w:rPr>
        <w:t> The budget may be utilized to secure high</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memory VMs for intensive processing.</w:t>
      </w:r>
    </w:p>
    <w:p w14:paraId="2DF14926" w14:textId="77777777" w:rsidR="003A2759" w:rsidRPr="003A2759" w:rsidRDefault="003A2759" w:rsidP="003A2759">
      <w:pPr>
        <w:numPr>
          <w:ilvl w:val="0"/>
          <w:numId w:val="24"/>
        </w:num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lastRenderedPageBreak/>
        <w:t>Graph Data Science:</w:t>
      </w:r>
      <w:r w:rsidRPr="003A2759">
        <w:rPr>
          <w:rFonts w:ascii="Calibri" w:eastAsia="Times New Roman" w:hAnsi="Calibri" w:cs="Calibri"/>
          <w:color w:val="000000"/>
          <w:kern w:val="0"/>
          <w14:ligatures w14:val="none"/>
        </w:rPr>
        <w:t> By leveraging the shared graph, scientists can perform feature engineering based on relationship dynamics (network effects, centrality, community detection) which are impossible to detect in traditional tabular environments.</w:t>
      </w:r>
    </w:p>
    <w:p w14:paraId="1C8FF320" w14:textId="77777777" w:rsidR="003A2759" w:rsidRPr="003A2759" w:rsidRDefault="003A2759" w:rsidP="003A2759">
      <w:pPr>
        <w:spacing w:before="100" w:beforeAutospacing="1" w:after="100" w:afterAutospacing="1" w:line="240" w:lineRule="auto"/>
        <w:outlineLvl w:val="1"/>
        <w:rPr>
          <w:rFonts w:ascii="Calibri" w:eastAsia="Times New Roman" w:hAnsi="Calibri" w:cs="Calibri"/>
          <w:b/>
          <w:bCs/>
          <w:color w:val="000000"/>
          <w:kern w:val="0"/>
          <w:sz w:val="36"/>
          <w:szCs w:val="36"/>
          <w14:ligatures w14:val="none"/>
        </w:rPr>
      </w:pPr>
      <w:r w:rsidRPr="003A2759">
        <w:rPr>
          <w:rFonts w:ascii="Calibri" w:eastAsia="Times New Roman" w:hAnsi="Calibri" w:cs="Calibri"/>
          <w:b/>
          <w:bCs/>
          <w:color w:val="000000"/>
          <w:kern w:val="0"/>
          <w:sz w:val="36"/>
          <w:szCs w:val="36"/>
          <w14:ligatures w14:val="none"/>
        </w:rPr>
        <w:t>8. Conclusion</w:t>
      </w:r>
    </w:p>
    <w:p w14:paraId="596ECE91" w14:textId="76A6A64B" w:rsidR="003A2759" w:rsidRPr="003A2759" w:rsidRDefault="003A2759" w:rsidP="003A2759">
      <w:p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color w:val="000000"/>
          <w:kern w:val="0"/>
          <w14:ligatures w14:val="none"/>
        </w:rPr>
        <w:t>Repurposing the </w:t>
      </w:r>
      <w:r w:rsidRPr="003A2759">
        <w:rPr>
          <w:rFonts w:ascii="Calibri" w:eastAsia="Times New Roman" w:hAnsi="Calibri" w:cs="Calibri"/>
          <w:b/>
          <w:bCs/>
          <w:color w:val="000000"/>
          <w:kern w:val="0"/>
          <w14:ligatures w14:val="none"/>
        </w:rPr>
        <w:t>Data Observer</w:t>
      </w:r>
      <w:r w:rsidRPr="003A2759">
        <w:rPr>
          <w:rFonts w:ascii="Calibri" w:eastAsia="Times New Roman" w:hAnsi="Calibri" w:cs="Calibri"/>
          <w:color w:val="000000"/>
          <w:kern w:val="0"/>
          <w14:ligatures w14:val="none"/>
        </w:rPr>
        <w:t> project transforms a passive monitoring tool into a dynamic, cost</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aware innovation engine. By providing a graph</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native foundation with shared services and a rigorous "wallet</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based" governance model, the organization empowers technical teams to experiment without risk.</w:t>
      </w:r>
    </w:p>
    <w:p w14:paraId="0AF77682" w14:textId="13BD366E" w:rsidR="003A2759" w:rsidRPr="003A2759" w:rsidRDefault="003A2759" w:rsidP="003A2759">
      <w:p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color w:val="000000"/>
          <w:kern w:val="0"/>
          <w14:ligatures w14:val="none"/>
        </w:rPr>
        <w:t>This platform functions not merely as a repository for code, but as a facilitator of a disciplined culture of innovation, wherein architectural freedom is balanced with financial accountability. It represents a mature step forward in how the Group manages the lifecycle of new ideas</w:t>
      </w:r>
      <w:r>
        <w:rPr>
          <w:rFonts w:ascii="Calibri" w:eastAsia="Times New Roman" w:hAnsi="Calibri" w:cs="Calibri"/>
          <w:color w:val="000000"/>
          <w:kern w:val="0"/>
          <w14:ligatures w14:val="none"/>
        </w:rPr>
        <w:t xml:space="preserve"> - </w:t>
      </w:r>
      <w:r w:rsidRPr="003A2759">
        <w:rPr>
          <w:rFonts w:ascii="Calibri" w:eastAsia="Times New Roman" w:hAnsi="Calibri" w:cs="Calibri"/>
          <w:color w:val="000000"/>
          <w:kern w:val="0"/>
          <w14:ligatures w14:val="none"/>
        </w:rPr>
        <w:t>from semantic definition to rapid prototyping.</w:t>
      </w:r>
    </w:p>
    <w:p w14:paraId="528A06EF" w14:textId="77777777" w:rsidR="003A2759" w:rsidRPr="003A2759" w:rsidRDefault="003A2759" w:rsidP="003A2759">
      <w:pPr>
        <w:spacing w:before="100" w:beforeAutospacing="1" w:after="100" w:afterAutospacing="1" w:line="240" w:lineRule="auto"/>
        <w:rPr>
          <w:rFonts w:ascii="Calibri" w:eastAsia="Times New Roman" w:hAnsi="Calibri" w:cs="Calibri"/>
          <w:color w:val="000000"/>
          <w:kern w:val="0"/>
          <w14:ligatures w14:val="none"/>
        </w:rPr>
      </w:pPr>
      <w:r w:rsidRPr="003A2759">
        <w:rPr>
          <w:rFonts w:ascii="Calibri" w:eastAsia="Times New Roman" w:hAnsi="Calibri" w:cs="Calibri"/>
          <w:b/>
          <w:bCs/>
          <w:color w:val="000000"/>
          <w:kern w:val="0"/>
          <w14:ligatures w14:val="none"/>
        </w:rPr>
        <w:t>Recommendation:</w:t>
      </w:r>
      <w:r w:rsidRPr="003A2759">
        <w:rPr>
          <w:rFonts w:ascii="Calibri" w:eastAsia="Times New Roman" w:hAnsi="Calibri" w:cs="Calibri"/>
          <w:color w:val="000000"/>
          <w:kern w:val="0"/>
          <w14:ligatures w14:val="none"/>
        </w:rPr>
        <w:t> It is recommended that immediate approval be granted to configure the budget management layer and provision the shared Graph/Cloud SQL instances on the Data Observer GCP project to initiate the Semantic Utility pilot.</w:t>
      </w:r>
    </w:p>
    <w:p w14:paraId="6DE80E76" w14:textId="7481DBA0" w:rsidR="00650EF8" w:rsidRPr="003A2759" w:rsidRDefault="00650EF8" w:rsidP="003A2759">
      <w:pPr>
        <w:rPr>
          <w:rFonts w:ascii="Calibri" w:hAnsi="Calibri" w:cs="Calibri"/>
        </w:rPr>
      </w:pPr>
    </w:p>
    <w:sectPr w:rsidR="00650EF8" w:rsidRPr="003A2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3812"/>
    <w:multiLevelType w:val="multilevel"/>
    <w:tmpl w:val="80A6F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57F9C"/>
    <w:multiLevelType w:val="multilevel"/>
    <w:tmpl w:val="A388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043B1"/>
    <w:multiLevelType w:val="multilevel"/>
    <w:tmpl w:val="32984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B90942"/>
    <w:multiLevelType w:val="multilevel"/>
    <w:tmpl w:val="9D7E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841D9"/>
    <w:multiLevelType w:val="multilevel"/>
    <w:tmpl w:val="E344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B33EA"/>
    <w:multiLevelType w:val="multilevel"/>
    <w:tmpl w:val="8858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F50DD"/>
    <w:multiLevelType w:val="multilevel"/>
    <w:tmpl w:val="F6E6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54A45"/>
    <w:multiLevelType w:val="multilevel"/>
    <w:tmpl w:val="D85E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84080"/>
    <w:multiLevelType w:val="multilevel"/>
    <w:tmpl w:val="5A165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A462A3"/>
    <w:multiLevelType w:val="multilevel"/>
    <w:tmpl w:val="86B6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23EBD"/>
    <w:multiLevelType w:val="multilevel"/>
    <w:tmpl w:val="4B4A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758B4"/>
    <w:multiLevelType w:val="multilevel"/>
    <w:tmpl w:val="67F4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B31449"/>
    <w:multiLevelType w:val="multilevel"/>
    <w:tmpl w:val="B0B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C377C"/>
    <w:multiLevelType w:val="multilevel"/>
    <w:tmpl w:val="AB4A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41A08"/>
    <w:multiLevelType w:val="multilevel"/>
    <w:tmpl w:val="93E8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4540D"/>
    <w:multiLevelType w:val="multilevel"/>
    <w:tmpl w:val="5DC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7C7AFA"/>
    <w:multiLevelType w:val="multilevel"/>
    <w:tmpl w:val="1D10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A74816"/>
    <w:multiLevelType w:val="multilevel"/>
    <w:tmpl w:val="54A0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813D5"/>
    <w:multiLevelType w:val="multilevel"/>
    <w:tmpl w:val="1E0E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E8543A"/>
    <w:multiLevelType w:val="multilevel"/>
    <w:tmpl w:val="1E78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7E44AF"/>
    <w:multiLevelType w:val="multilevel"/>
    <w:tmpl w:val="6F20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D91811"/>
    <w:multiLevelType w:val="multilevel"/>
    <w:tmpl w:val="E456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9843B2"/>
    <w:multiLevelType w:val="multilevel"/>
    <w:tmpl w:val="9D66D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8933DA"/>
    <w:multiLevelType w:val="multilevel"/>
    <w:tmpl w:val="B9E8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902018">
    <w:abstractNumId w:val="3"/>
  </w:num>
  <w:num w:numId="2" w16cid:durableId="2065255690">
    <w:abstractNumId w:val="7"/>
  </w:num>
  <w:num w:numId="3" w16cid:durableId="593512519">
    <w:abstractNumId w:val="11"/>
  </w:num>
  <w:num w:numId="4" w16cid:durableId="764114370">
    <w:abstractNumId w:val="2"/>
  </w:num>
  <w:num w:numId="5" w16cid:durableId="400102484">
    <w:abstractNumId w:val="19"/>
  </w:num>
  <w:num w:numId="6" w16cid:durableId="999697635">
    <w:abstractNumId w:val="1"/>
  </w:num>
  <w:num w:numId="7" w16cid:durableId="1436172655">
    <w:abstractNumId w:val="8"/>
  </w:num>
  <w:num w:numId="8" w16cid:durableId="1343243756">
    <w:abstractNumId w:val="17"/>
  </w:num>
  <w:num w:numId="9" w16cid:durableId="1785492285">
    <w:abstractNumId w:val="10"/>
  </w:num>
  <w:num w:numId="10" w16cid:durableId="7800486">
    <w:abstractNumId w:val="4"/>
  </w:num>
  <w:num w:numId="11" w16cid:durableId="404038169">
    <w:abstractNumId w:val="14"/>
  </w:num>
  <w:num w:numId="12" w16cid:durableId="1021735895">
    <w:abstractNumId w:val="13"/>
  </w:num>
  <w:num w:numId="13" w16cid:durableId="1213158731">
    <w:abstractNumId w:val="23"/>
  </w:num>
  <w:num w:numId="14" w16cid:durableId="1137063592">
    <w:abstractNumId w:val="16"/>
  </w:num>
  <w:num w:numId="15" w16cid:durableId="1911306243">
    <w:abstractNumId w:val="6"/>
  </w:num>
  <w:num w:numId="16" w16cid:durableId="1018892561">
    <w:abstractNumId w:val="0"/>
  </w:num>
  <w:num w:numId="17" w16cid:durableId="703749961">
    <w:abstractNumId w:val="20"/>
  </w:num>
  <w:num w:numId="18" w16cid:durableId="2022319419">
    <w:abstractNumId w:val="9"/>
  </w:num>
  <w:num w:numId="19" w16cid:durableId="1334913535">
    <w:abstractNumId w:val="22"/>
  </w:num>
  <w:num w:numId="20" w16cid:durableId="1276446085">
    <w:abstractNumId w:val="12"/>
  </w:num>
  <w:num w:numId="21" w16cid:durableId="290596357">
    <w:abstractNumId w:val="21"/>
  </w:num>
  <w:num w:numId="22" w16cid:durableId="1425806297">
    <w:abstractNumId w:val="15"/>
  </w:num>
  <w:num w:numId="23" w16cid:durableId="1245728906">
    <w:abstractNumId w:val="5"/>
  </w:num>
  <w:num w:numId="24" w16cid:durableId="15233246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759"/>
    <w:rsid w:val="003A2759"/>
    <w:rsid w:val="00650EF8"/>
    <w:rsid w:val="00706673"/>
    <w:rsid w:val="00B411CC"/>
    <w:rsid w:val="00C02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86E535"/>
  <w15:chartTrackingRefBased/>
  <w15:docId w15:val="{72E567DC-5150-E143-A822-2B086B132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2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27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7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7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2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27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7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7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759"/>
    <w:rPr>
      <w:rFonts w:eastAsiaTheme="majorEastAsia" w:cstheme="majorBidi"/>
      <w:color w:val="272727" w:themeColor="text1" w:themeTint="D8"/>
    </w:rPr>
  </w:style>
  <w:style w:type="paragraph" w:styleId="Title">
    <w:name w:val="Title"/>
    <w:basedOn w:val="Normal"/>
    <w:next w:val="Normal"/>
    <w:link w:val="TitleChar"/>
    <w:uiPriority w:val="10"/>
    <w:qFormat/>
    <w:rsid w:val="003A2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759"/>
    <w:pPr>
      <w:spacing w:before="160"/>
      <w:jc w:val="center"/>
    </w:pPr>
    <w:rPr>
      <w:i/>
      <w:iCs/>
      <w:color w:val="404040" w:themeColor="text1" w:themeTint="BF"/>
    </w:rPr>
  </w:style>
  <w:style w:type="character" w:customStyle="1" w:styleId="QuoteChar">
    <w:name w:val="Quote Char"/>
    <w:basedOn w:val="DefaultParagraphFont"/>
    <w:link w:val="Quote"/>
    <w:uiPriority w:val="29"/>
    <w:rsid w:val="003A2759"/>
    <w:rPr>
      <w:i/>
      <w:iCs/>
      <w:color w:val="404040" w:themeColor="text1" w:themeTint="BF"/>
    </w:rPr>
  </w:style>
  <w:style w:type="paragraph" w:styleId="ListParagraph">
    <w:name w:val="List Paragraph"/>
    <w:basedOn w:val="Normal"/>
    <w:uiPriority w:val="34"/>
    <w:qFormat/>
    <w:rsid w:val="003A2759"/>
    <w:pPr>
      <w:ind w:left="720"/>
      <w:contextualSpacing/>
    </w:pPr>
  </w:style>
  <w:style w:type="character" w:styleId="IntenseEmphasis">
    <w:name w:val="Intense Emphasis"/>
    <w:basedOn w:val="DefaultParagraphFont"/>
    <w:uiPriority w:val="21"/>
    <w:qFormat/>
    <w:rsid w:val="003A2759"/>
    <w:rPr>
      <w:i/>
      <w:iCs/>
      <w:color w:val="0F4761" w:themeColor="accent1" w:themeShade="BF"/>
    </w:rPr>
  </w:style>
  <w:style w:type="paragraph" w:styleId="IntenseQuote">
    <w:name w:val="Intense Quote"/>
    <w:basedOn w:val="Normal"/>
    <w:next w:val="Normal"/>
    <w:link w:val="IntenseQuoteChar"/>
    <w:uiPriority w:val="30"/>
    <w:qFormat/>
    <w:rsid w:val="003A2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759"/>
    <w:rPr>
      <w:i/>
      <w:iCs/>
      <w:color w:val="0F4761" w:themeColor="accent1" w:themeShade="BF"/>
    </w:rPr>
  </w:style>
  <w:style w:type="character" w:styleId="IntenseReference">
    <w:name w:val="Intense Reference"/>
    <w:basedOn w:val="DefaultParagraphFont"/>
    <w:uiPriority w:val="32"/>
    <w:qFormat/>
    <w:rsid w:val="003A2759"/>
    <w:rPr>
      <w:b/>
      <w:bCs/>
      <w:smallCaps/>
      <w:color w:val="0F4761" w:themeColor="accent1" w:themeShade="BF"/>
      <w:spacing w:val="5"/>
    </w:rPr>
  </w:style>
  <w:style w:type="paragraph" w:styleId="NormalWeb">
    <w:name w:val="Normal (Web)"/>
    <w:basedOn w:val="Normal"/>
    <w:uiPriority w:val="99"/>
    <w:semiHidden/>
    <w:unhideWhenUsed/>
    <w:rsid w:val="003A27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A2759"/>
    <w:rPr>
      <w:b/>
      <w:bCs/>
    </w:rPr>
  </w:style>
  <w:style w:type="character" w:customStyle="1" w:styleId="apple-converted-space">
    <w:name w:val="apple-converted-space"/>
    <w:basedOn w:val="DefaultParagraphFont"/>
    <w:rsid w:val="003A2759"/>
  </w:style>
  <w:style w:type="character" w:styleId="Emphasis">
    <w:name w:val="Emphasis"/>
    <w:basedOn w:val="DefaultParagraphFont"/>
    <w:uiPriority w:val="20"/>
    <w:qFormat/>
    <w:rsid w:val="003A2759"/>
    <w:rPr>
      <w:i/>
      <w:iCs/>
    </w:rPr>
  </w:style>
  <w:style w:type="character" w:styleId="HTMLCode">
    <w:name w:val="HTML Code"/>
    <w:basedOn w:val="DefaultParagraphFont"/>
    <w:uiPriority w:val="99"/>
    <w:semiHidden/>
    <w:unhideWhenUsed/>
    <w:rsid w:val="003A27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1948</Words>
  <Characters>11109</Characters>
  <Application>Microsoft Office Word</Application>
  <DocSecurity>0</DocSecurity>
  <Lines>92</Lines>
  <Paragraphs>26</Paragraphs>
  <ScaleCrop>false</ScaleCrop>
  <Company/>
  <LinksUpToDate>false</LinksUpToDate>
  <CharactersWithSpaces>13031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K Iype</dc:creator>
  <cp:keywords/>
  <dc:description/>
  <cp:lastModifiedBy>Joseph K Iype</cp:lastModifiedBy>
  <cp:revision>1</cp:revision>
  <dcterms:created xsi:type="dcterms:W3CDTF">2026-01-27T05:34:00Z</dcterms:created>
  <dcterms:modified xsi:type="dcterms:W3CDTF">2026-01-27T05:46:00Z</dcterms:modified>
</cp:coreProperties>
</file>