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Strategic RoPA Metamodel: A Unified Framework for Global Data Privacy Compliance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metamodel provides a comprehensive, strategic, and versatile structure for documenting data processing activities. It is designed to be a universal standard, ensuring that an organization populating a record based on this model will meet its obligations under a wide array of international data privacy laws simultaneously.</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 Attribute / Edge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Type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Cardinality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Description &amp; Strategic Purpose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Justification (with Legal Citations)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ProcessingActivity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Central Hub.</w:t>
            </w:r>
            <w:r w:rsidDel="00000000" w:rsidR="00000000" w:rsidRPr="00000000">
              <w:rPr>
                <w:rFonts w:ascii="Google Sans Text" w:cs="Google Sans Text" w:eastAsia="Google Sans Text" w:hAnsi="Google Sans Text"/>
                <w:rtl w:val="0"/>
              </w:rPr>
              <w:t xml:space="preserve"> This class represents a specific, ongoing operation or set of operations performed on personal data (e.g., "HR Payroll &amp; Benefits Administration," "Customer Relationship Management," "Website Analytics &amp; Personalization"). It is the core unit of the RoPA, linking all other components together.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30(1): The entire legal requirement is to maintain a "record of processing activities."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Brazil LGPD, Art. 37: Mandates a "record of the personal data processing operations they carry out..."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activityID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unique identifier for internal tracking, auditing, and linking to other compliance artifacts (like impact assessments).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foundational best practice for data governance, accountability, and traceability.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activityName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clear, unambiguous, and descriptive name for the processing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Enhances readability and understanding for internal stakeholders, auditors, and data protection authorities.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activityDescription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brief narrative explaining what the activity involves from start to finish.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Provides essential context that a simple name cannot convey, crucial for risk assessment.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purposesOfProcessing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granular list of the specific, explicit, and legitimate purposes for this activity. Each purpose should be distinct (e.g., "To process monthly salary payments," "To administer health benefits," "To comply with tax law").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30(1)(b): "the purposes of the processing;"</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China PIPL, Art. 6: "The processing of personal information shall have a clear and reasonable purpose..."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Saudi Arabia PDPL, Implementing Regulations, Art. 27(1)(b): "The purpose(s) of the Personal Data processing."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Edges from ProcessingActivity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These edges define the relationships that give the metamodel its structure and power.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LegalEntity (as Controller)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the primary Data Controller entity responsible for this specific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w:t>
            </w:r>
            <w:r w:rsidDel="00000000" w:rsidR="00000000" w:rsidRPr="00000000">
              <w:rPr>
                <w:rFonts w:ascii="Google Sans Text" w:cs="Google Sans Text" w:eastAsia="Google Sans Text" w:hAnsi="Google Sans Text"/>
                <w:rtl w:val="0"/>
              </w:rPr>
              <w:t xml:space="preserve"> "Each controller...shall maintain a record..." This edge establishes the fundamental link of responsibility.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LegalEntity (as Joint Controller)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any other entities that are Joint Controllers for this activity, defining shared responsibility.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26 &amp; 30(1)(a):</w:t>
            </w:r>
            <w:r w:rsidDel="00000000" w:rsidR="00000000" w:rsidRPr="00000000">
              <w:rPr>
                <w:rFonts w:ascii="Google Sans Text" w:cs="Google Sans Text" w:eastAsia="Google Sans Text" w:hAnsi="Google Sans Text"/>
                <w:rtl w:val="0"/>
              </w:rPr>
              <w:t xml:space="preserve"> Requires identification of joint controllers and their arrangement.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LegalEntity (as Processor)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any external Data Processor entities engaged for this activity (e.g., a cloud provider, a payroll service).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28:</w:t>
            </w:r>
            <w:r w:rsidDel="00000000" w:rsidR="00000000" w:rsidRPr="00000000">
              <w:rPr>
                <w:rFonts w:ascii="Google Sans Text" w:cs="Google Sans Text" w:eastAsia="Google Sans Text" w:hAnsi="Google Sans Text"/>
                <w:rtl w:val="0"/>
              </w:rPr>
              <w:t xml:space="preserve"> Governs the controller-processor relationship. This documents the controller's selection of processors.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DataSubjectCategory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all categories of individuals whose data is processed in this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30(1)(c): "a description of the categories of data subjects..."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South Africa POPIA, Sec. 17(c): The record must include "the categories of data subjects".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DataCategory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all categories of personal data being processed for this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30(1)(c):</w:t>
            </w:r>
            <w:r w:rsidDel="00000000" w:rsidR="00000000" w:rsidRPr="00000000">
              <w:rPr>
                <w:rFonts w:ascii="Google Sans Text" w:cs="Google Sans Text" w:eastAsia="Google Sans Text" w:hAnsi="Google Sans Text"/>
                <w:rtl w:val="0"/>
              </w:rPr>
              <w:t xml:space="preserve"> "...and of the categories of personal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LegalBasis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each processing purpose to its specific, valid lawful basis. A single activity may have multiple purposes, each potentially relying on a different legal basis.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While not explicitly listed in GDPR Art. 30, it's essential for the accountability principle (</w:t>
            </w:r>
            <w:r w:rsidDel="00000000" w:rsidR="00000000" w:rsidRPr="00000000">
              <w:rPr>
                <w:rFonts w:ascii="Google Sans Text" w:cs="Google Sans Text" w:eastAsia="Google Sans Text" w:hAnsi="Google Sans Text"/>
                <w:b w:val="1"/>
                <w:rtl w:val="0"/>
              </w:rPr>
              <w:t xml:space="preserve">GDPR Art. 5(2)</w:t>
            </w:r>
            <w:r w:rsidDel="00000000" w:rsidR="00000000" w:rsidRPr="00000000">
              <w:rPr>
                <w:rFonts w:ascii="Google Sans Text" w:cs="Google Sans Text" w:eastAsia="Google Sans Text" w:hAnsi="Google Sans Text"/>
                <w:rtl w:val="0"/>
              </w:rPr>
              <w:t xml:space="preserve">). The purpose and legal basis are intrinsically linked.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DataRecipient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all internal departments or external third parties to whom the data is or will be disclosed.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30(1)(d):</w:t>
            </w:r>
            <w:r w:rsidDel="00000000" w:rsidR="00000000" w:rsidRPr="00000000">
              <w:rPr>
                <w:rFonts w:ascii="Google Sans Text" w:cs="Google Sans Text" w:eastAsia="Google Sans Text" w:hAnsi="Google Sans Text"/>
                <w:rtl w:val="0"/>
              </w:rPr>
              <w:t xml:space="preserve"> "the categories of recipients to whom the personal data have been or will be disclosed..."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DataTransfer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 specific record for any transfer of this activity's data to a third country or international organisation.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Art.30(1)(e):</w:t>
            </w:r>
            <w:r w:rsidDel="00000000" w:rsidR="00000000" w:rsidRPr="00000000">
              <w:rPr>
                <w:rFonts w:ascii="Google Sans Text" w:cs="Google Sans Text" w:eastAsia="Google Sans Text" w:hAnsi="Google Sans Text"/>
                <w:rtl w:val="0"/>
              </w:rPr>
              <w:t xml:space="preserve"> "transfers of personal data to a third country..."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DataRetentionPolicy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the specific retention schedule that governs the data within this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30(1)(f):</w:t>
            </w:r>
            <w:r w:rsidDel="00000000" w:rsidR="00000000" w:rsidRPr="00000000">
              <w:rPr>
                <w:rFonts w:ascii="Google Sans Text" w:cs="Google Sans Text" w:eastAsia="Google Sans Text" w:hAnsi="Google Sans Text"/>
                <w:rtl w:val="0"/>
              </w:rPr>
              <w:t xml:space="preserve"> "where possible, the envisaged time limits for erasure of the different categories of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SecurityMeasure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the technical and organisational measures implemented to protect the data in this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30(1)(g):</w:t>
            </w:r>
            <w:r w:rsidDel="00000000" w:rsidR="00000000" w:rsidRPr="00000000">
              <w:rPr>
                <w:rFonts w:ascii="Google Sans Text" w:cs="Google Sans Text" w:eastAsia="Google Sans Text" w:hAnsi="Google Sans Text"/>
                <w:rtl w:val="0"/>
              </w:rPr>
              <w:t xml:space="preserve"> "where possible, a general description of the technical and organisational security measures..."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ImpactAssessment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to a Data Protection Impact Assessment (DPIA) if one was required and conducted for this high-risk activity.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critical link for demonstrating management of high-risk processing under </w:t>
            </w:r>
            <w:r w:rsidDel="00000000" w:rsidR="00000000" w:rsidRPr="00000000">
              <w:rPr>
                <w:rFonts w:ascii="Google Sans Text" w:cs="Google Sans Text" w:eastAsia="Google Sans Text" w:hAnsi="Google Sans Text"/>
                <w:b w:val="1"/>
                <w:rtl w:val="0"/>
              </w:rPr>
              <w:t xml:space="preserve">GDPR Art. 35</w:t>
            </w:r>
            <w:r w:rsidDel="00000000" w:rsidR="00000000" w:rsidRPr="00000000">
              <w:rPr>
                <w:rFonts w:ascii="Google Sans Text" w:cs="Google Sans Text" w:eastAsia="Google Sans Text" w:hAnsi="Google Sans Text"/>
                <w:rtl w:val="0"/>
              </w:rPr>
              <w:t xml:space="preserve"> and similar provisions globally.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LegalEntity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Represents any legal entity involved, defined by its role. This can be an internal company or an external vendor.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4(7) &amp; 4(8):</w:t>
            </w:r>
            <w:r w:rsidDel="00000000" w:rsidR="00000000" w:rsidRPr="00000000">
              <w:rPr>
                <w:rFonts w:ascii="Google Sans Text" w:cs="Google Sans Text" w:eastAsia="Google Sans Text" w:hAnsi="Google Sans Text"/>
                <w:rtl w:val="0"/>
              </w:rPr>
              <w:t xml:space="preserve"> Provides the core definitions for "controller" and "processor".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entityName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full legal name of the 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30(1)(a):</w:t>
            </w:r>
            <w:r w:rsidDel="00000000" w:rsidR="00000000" w:rsidRPr="00000000">
              <w:rPr>
                <w:rFonts w:ascii="Google Sans Text" w:cs="Google Sans Text" w:eastAsia="Google Sans Text" w:hAnsi="Google Sans Text"/>
                <w:rtl w:val="0"/>
              </w:rPr>
              <w:t xml:space="preserve"> "the name and contact details of the controller..."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contactDetails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Official registered address, email, and phone 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30(1)(a):</w:t>
            </w:r>
            <w:r w:rsidDel="00000000" w:rsidR="00000000" w:rsidRPr="00000000">
              <w:rPr>
                <w:rFonts w:ascii="Google Sans Text" w:cs="Google Sans Text" w:eastAsia="Google Sans Text" w:hAnsi="Google Sans Text"/>
                <w:rtl w:val="0"/>
              </w:rPr>
              <w:t xml:space="preserve"> As above.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representativeDetails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Contact details for the legal representative if the entity is not established in the relevant jurisdiction (e.g., EU, UK, Turkey).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27 &amp; 30(1)(a): Mandated for controllers or processors not established in the Union.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Turkey KVKK: Has a similar "data controller representative" requirement.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Edge from LegalEntity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to DataProtectionOfficer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Links the entity to its designated DPO, if one is appointed or required by law.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37 &amp; 30(1)(a): Requires documenting the DPO's details where one is appointed.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Brazil LGPD, Art. 41: "The controller shall appoint an officer..."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DataProtectionOfficer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individual or service designated as the DPO or equivalent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dpoName &amp; dpoContact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name and secure contact information for the DPO.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30(1)(a):</w:t>
            </w:r>
            <w:r w:rsidDel="00000000" w:rsidR="00000000" w:rsidRPr="00000000">
              <w:rPr>
                <w:rFonts w:ascii="Google Sans Text" w:cs="Google Sans Text" w:eastAsia="Google Sans Text" w:hAnsi="Google Sans Text"/>
                <w:rtl w:val="0"/>
              </w:rPr>
              <w:t xml:space="preserve"> "...the name and contact details of the...data protection officer;"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DataSubjectCategory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distinct group of identifiable natural persons (e.g., "Employees," "Customers," "Job Applicants," "Website Visitors," "Minors").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categoryName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clear name of the data subject 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30(1)(c):</w:t>
            </w:r>
            <w:r w:rsidDel="00000000" w:rsidR="00000000" w:rsidRPr="00000000">
              <w:rPr>
                <w:rFonts w:ascii="Google Sans Text" w:cs="Google Sans Text" w:eastAsia="Google Sans Text" w:hAnsi="Google Sans Text"/>
                <w:rtl w:val="0"/>
              </w:rPr>
              <w:t xml:space="preserve"> As previously cited.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DataCategory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logical grouping of personal data elements (e.g., "Identity Data," "Contact Data," "Financial Data," "Technical Data," "Health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categoryName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Name of the data 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30(1)(c):</w:t>
            </w:r>
            <w:r w:rsidDel="00000000" w:rsidR="00000000" w:rsidRPr="00000000">
              <w:rPr>
                <w:rFonts w:ascii="Google Sans Text" w:cs="Google Sans Text" w:eastAsia="Google Sans Text" w:hAnsi="Google Sans Text"/>
                <w:rtl w:val="0"/>
              </w:rPr>
              <w:t xml:space="preserve"> As previously cited.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dataElements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List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specific data fields within the category (e.g., for "Identity Data": "first name, last name, username, date of birth").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Provides necessary granularity for risk assessment and data minimization checks.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isSpecialCategory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Boolean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flag (True/False) to indicate if the data is a "special category" (GDPR Art. 9) or "sensitive personal data" (LGPD, PIPL, etc.).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9: Defines special categories of data.</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Brazil LGPD, Art. 11: Defines sensitive personal data. This flag is a critical risk indicator.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LegalBasis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Critical Compliance Class.</w:t>
            </w:r>
            <w:r w:rsidDel="00000000" w:rsidR="00000000" w:rsidRPr="00000000">
              <w:rPr>
                <w:rFonts w:ascii="Google Sans Text" w:cs="Google Sans Text" w:eastAsia="Google Sans Text" w:hAnsi="Google Sans Text"/>
                <w:rtl w:val="0"/>
              </w:rPr>
              <w:t xml:space="preserve"> The specific legal justification for each purpose of processing.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accountability principle (</w:t>
            </w:r>
            <w:r w:rsidDel="00000000" w:rsidR="00000000" w:rsidRPr="00000000">
              <w:rPr>
                <w:rFonts w:ascii="Google Sans Text" w:cs="Google Sans Text" w:eastAsia="Google Sans Text" w:hAnsi="Google Sans Text"/>
                <w:b w:val="1"/>
                <w:rtl w:val="0"/>
              </w:rPr>
              <w:t xml:space="preserve">GDPR Art. 5(2)</w:t>
            </w:r>
            <w:r w:rsidDel="00000000" w:rsidR="00000000" w:rsidRPr="00000000">
              <w:rPr>
                <w:rFonts w:ascii="Google Sans Text" w:cs="Google Sans Text" w:eastAsia="Google Sans Text" w:hAnsi="Google Sans Text"/>
                <w:rtl w:val="0"/>
              </w:rPr>
              <w:t xml:space="preserve">) requires controllers to demonstrate compliance. This class is the primary way to do 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basisType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Enum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type of lawful basis (e.g., "Consent," "Contractual Necessity," "Legal Obligation," "Vital Interests," "Public Task," "Legitimate Interests").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6(1): Lists the exhaustive set of lawful bases.</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Brazil LGPD, Art. 7 &amp; 11: Provide the legal bases for processing general and sensitive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basisJustification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detailed rationale, which is mandatory if "Legitimate Interests" is used (to document the balancing test) or if processing special category data (to document the Art. 9 condition).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Recital 47: Outlines the requirement for an assessment for Legitimate Interest.</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9(2): Provides the separate, explicit conditions required for processing special category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DataRecipient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 natural or legal person, public authority, agency, or another body to whom the personal data are disclosed.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recipientName/Category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specific name or the category of the recipient (e.g., "Tax Authorities," "Cloud Hosting Provider," "External Auditors").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30(1)(d):</w:t>
            </w:r>
            <w:r w:rsidDel="00000000" w:rsidR="00000000" w:rsidRPr="00000000">
              <w:rPr>
                <w:rFonts w:ascii="Google Sans Text" w:cs="Google Sans Text" w:eastAsia="Google Sans Text" w:hAnsi="Google Sans Text"/>
                <w:rtl w:val="0"/>
              </w:rPr>
              <w:t xml:space="preserve"> As previously cited.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location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country where the recipient is located. This is critical for determining if the disclosure constitutes a restricted international transfer.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Essential for triggering the DataTransfer class requirements.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DataTransfer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specific record documenting a transfer of personal data outside of the primary legal jurisdiction (e.g., outside the EEA, UK, Brazil).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International data transfers are a major regulatory focus and area of risk globally.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thirdCountryOrOrganisation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destination third country or international organisation.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30(1)(e):</w:t>
            </w:r>
            <w:r w:rsidDel="00000000" w:rsidR="00000000" w:rsidRPr="00000000">
              <w:rPr>
                <w:rFonts w:ascii="Google Sans Text" w:cs="Google Sans Text" w:eastAsia="Google Sans Text" w:hAnsi="Google Sans Text"/>
                <w:rtl w:val="0"/>
              </w:rPr>
              <w:t xml:space="preserve"> "...identification of that third country or international organisation..."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transferSafeguardMechanism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Enum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legal mechanism used to protect the data (e.g., "Adequacy Decision," "Standard Contractual Clauses (SCCs)," "Binding Corporate Rules (BCRs)," "Explicit Consent").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GDPR, Art. 30(1)(e): "...and the documentation of suitable safeguards."</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China PIPL, Art. 38: Lists conditions for cross-border transfer, such as obtaining separate consent, certification, or using a standard contract.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safeguardDocumentationRef</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link to or unique ID for the specific safeguard documentation (e.g., the signed SCCs, the adequacy decision citation).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Provides auditable evidence that the transfer is lawful.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DataRetentionPolicy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policy and rules governing how long data is stored and when it is securely erased.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retentionSchedule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specific time limit or the criteria used to determine it (e.g., "7 years after contract termination," "24 months after last contact," "Duration of employment + 6 years").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30(1)(f):</w:t>
            </w:r>
            <w:r w:rsidDel="00000000" w:rsidR="00000000" w:rsidRPr="00000000">
              <w:rPr>
                <w:rFonts w:ascii="Google Sans Text" w:cs="Google Sans Text" w:eastAsia="Google Sans Text" w:hAnsi="Google Sans Text"/>
                <w:rtl w:val="0"/>
              </w:rPr>
              <w:t xml:space="preserve"> As previously cited.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SecurityMeasure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general description of the security measures protecting the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measureDescription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description of the categories of security controls implemented (e.g., "Pseudonymisation and encryption of personal data," "Access control policies and role-based access," "Regular vulnerability testing," "Staff security awareness training").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 GDPR, Art. 30(1)(g) &amp; Art. 32:</w:t>
            </w:r>
            <w:r w:rsidDel="00000000" w:rsidR="00000000" w:rsidRPr="00000000">
              <w:rPr>
                <w:rFonts w:ascii="Google Sans Text" w:cs="Google Sans Text" w:eastAsia="Google Sans Text" w:hAnsi="Google Sans Text"/>
                <w:rtl w:val="0"/>
              </w:rPr>
              <w:t xml:space="preserve"> Requires a general description of the Technical and Organisational Measures (TOMs).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Class: ImpactAssessment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Object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record of a Data Protection Impact Assessment (DPIA) or similar risk assessment (e.g., PIA).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assessmentReferenceID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link or unique identifier to the full DPIA document.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Provides auditable proof of compliance with high-risk processing assessment duties under </w:t>
            </w:r>
            <w:r w:rsidDel="00000000" w:rsidR="00000000" w:rsidRPr="00000000">
              <w:rPr>
                <w:rFonts w:ascii="Google Sans Text" w:cs="Google Sans Text" w:eastAsia="Google Sans Text" w:hAnsi="Google Sans Text"/>
                <w:b w:val="1"/>
                <w:rtl w:val="0"/>
              </w:rPr>
              <w:t xml:space="preserve">GDPR Art. 35</w:t>
            </w:r>
            <w:r w:rsidDel="00000000" w:rsidR="00000000" w:rsidRPr="00000000">
              <w:rPr>
                <w:rFonts w:ascii="Google Sans Text" w:cs="Google Sans Text" w:eastAsia="Google Sans Text" w:hAnsi="Google Sans Text"/>
                <w:rtl w:val="0"/>
              </w:rPr>
              <w:t xml:space="preserve"> and similar provisions in other laws.</w:t>
            </w:r>
          </w:p>
        </w:tc>
      </w:tr>
    </w:tb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