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3oo014p3vv6" w:id="0"/>
      <w:bookmarkEnd w:id="0"/>
      <w:r w:rsidDel="00000000" w:rsidR="00000000" w:rsidRPr="00000000">
        <w:rPr>
          <w:rtl w:val="0"/>
        </w:rPr>
        <w:t xml:space="preserve">Metamodel Analysis and Regulatory Justification</w:t>
      </w:r>
    </w:p>
    <w:p w:rsidR="00000000" w:rsidDel="00000000" w:rsidP="00000000" w:rsidRDefault="00000000" w:rsidRPr="00000000" w14:paraId="00000002">
      <w:pPr>
        <w:rPr/>
      </w:pPr>
      <w:r w:rsidDel="00000000" w:rsidR="00000000" w:rsidRPr="00000000">
        <w:rPr>
          <w:rtl w:val="0"/>
        </w:rPr>
        <w:t xml:space="preserve">This document provides a detailed analysis of the proposed metamodel for Records of Processing Activities (RoPA), aligning its classes and attributes with the requirements of various global privacy laws. Each class and attribute will be justified by citing relevant articles from regulations such as GDPR, CCPA, PIPL, LGPD, and others, along with their cardinalities.</w:t>
      </w:r>
    </w:p>
    <w:p w:rsidR="00000000" w:rsidDel="00000000" w:rsidP="00000000" w:rsidRDefault="00000000" w:rsidRPr="00000000" w14:paraId="00000003">
      <w:pPr>
        <w:pStyle w:val="Heading2"/>
        <w:rPr/>
      </w:pPr>
      <w:bookmarkStart w:colFirst="0" w:colLast="0" w:name="_qerdqlvpz1sz" w:id="1"/>
      <w:bookmarkEnd w:id="1"/>
      <w:r w:rsidDel="00000000" w:rsidR="00000000" w:rsidRPr="00000000">
        <w:rPr>
          <w:rtl w:val="0"/>
        </w:rPr>
        <w:t xml:space="preserve">1. ProcessingActivity Class</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 class is central to any RoPA metamodel, as it represents the core operation involving personal data. It encapsulates information about </w:t>
      </w:r>
      <w:r w:rsidDel="00000000" w:rsidR="00000000" w:rsidRPr="00000000">
        <w:rPr>
          <w:i w:val="1"/>
          <w:rtl w:val="0"/>
        </w:rPr>
        <w:t xml:space="preserve">what</w:t>
      </w:r>
      <w:r w:rsidDel="00000000" w:rsidR="00000000" w:rsidRPr="00000000">
        <w:rPr>
          <w:rtl w:val="0"/>
        </w:rPr>
        <w:t xml:space="preserve"> data processing is being done, </w:t>
      </w:r>
      <w:r w:rsidDel="00000000" w:rsidR="00000000" w:rsidRPr="00000000">
        <w:rPr>
          <w:i w:val="1"/>
          <w:rtl w:val="0"/>
        </w:rPr>
        <w:t xml:space="preserve">why</w:t>
      </w:r>
      <w:r w:rsidDel="00000000" w:rsidR="00000000" w:rsidRPr="00000000">
        <w:rPr>
          <w:rtl w:val="0"/>
        </w:rPr>
        <w:t xml:space="preserve"> and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7octqt2evz1c" w:id="2"/>
      <w:bookmarkEnd w:id="2"/>
      <w:r w:rsidDel="00000000" w:rsidR="00000000" w:rsidRPr="00000000">
        <w:rPr>
          <w:rtl w:val="0"/>
        </w:rPr>
        <w:t xml:space="preserve">Attributes of ProcessingActivity:</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processingActivityID:</w:t>
      </w:r>
      <w:r w:rsidDel="00000000" w:rsidR="00000000" w:rsidRPr="00000000">
        <w:rPr>
          <w:rtl w:val="0"/>
        </w:rPr>
        <w:t xml:space="preserve"> A unique identifier for each processing activity. This is crucial for record-keeping and auditing purposes.</w:t>
      </w:r>
    </w:p>
    <w:p w:rsidR="00000000" w:rsidDel="00000000" w:rsidP="00000000" w:rsidRDefault="00000000" w:rsidRPr="00000000" w14:paraId="0000000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While not explicitly mandated as an 'ID' in most regulations, the requirement to maintain a record of processing activities implies the need for a unique identifier to distinguish between different activities.</w:t>
      </w:r>
    </w:p>
    <w:p w:rsidR="00000000" w:rsidDel="00000000" w:rsidP="00000000" w:rsidRDefault="00000000" w:rsidRPr="00000000" w14:paraId="00000008">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 requires controllers and processors to maintain a record of processing activities. This implies the need for a unique way to identify each activity.</w:t>
      </w:r>
    </w:p>
    <w:p w:rsidR="00000000" w:rsidDel="00000000" w:rsidP="00000000" w:rsidRDefault="00000000" w:rsidRPr="00000000" w14:paraId="00000009">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 mandates record-keeping.</w:t>
      </w:r>
    </w:p>
    <w:p w:rsidR="00000000" w:rsidDel="00000000" w:rsidP="00000000" w:rsidRDefault="00000000" w:rsidRPr="00000000" w14:paraId="0000000A">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While not directly mandating an ID, the CCPA requires businesses to disclose categories of personal information collected, the purposes for which the categories of personal information are collected or used, and whether that information is sold or shared. Effective record-keeping for these disclosures implicitly requires unique identification of processing activities. (Cal. Civ. Code § 1798.100(b), § 1798.110(c))</w:t>
      </w:r>
    </w:p>
    <w:p w:rsidR="00000000" w:rsidDel="00000000" w:rsidP="00000000" w:rsidRDefault="00000000" w:rsidRPr="00000000" w14:paraId="0000000B">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states that the controller and the operator must keep a record of personal data processing operations, especially when based on legitimate interest. This also implies the need for unique identifiers for each operation.</w:t>
      </w:r>
    </w:p>
    <w:p w:rsidR="00000000" w:rsidDel="00000000" w:rsidP="00000000" w:rsidRDefault="00000000" w:rsidRPr="00000000" w14:paraId="0000000C">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adopt corresponding technical measures, and take other necessary measures to ensure the security of personal information. Maintaining records of processing activities, identifiable by an ID, is a key part of such systems.</w:t>
      </w:r>
    </w:p>
    <w:p w:rsidR="00000000" w:rsidDel="00000000" w:rsidP="00000000" w:rsidRDefault="00000000" w:rsidRPr="00000000" w14:paraId="0000000D">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While not explicitly an ID, it supports the need for structured records.</w:t>
      </w:r>
    </w:p>
    <w:p w:rsidR="00000000" w:rsidDel="00000000" w:rsidP="00000000" w:rsidRDefault="00000000" w:rsidRPr="00000000" w14:paraId="0000000E">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This includes maintaining records of processing.</w:t>
      </w:r>
    </w:p>
    <w:p w:rsidR="00000000" w:rsidDel="00000000" w:rsidP="00000000" w:rsidRDefault="00000000" w:rsidRPr="00000000" w14:paraId="0000000F">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12 requires organizations to make reasonable effort to ensure that personal data collected is accurate and complete. This necessitates proper record-keeping.</w:t>
      </w:r>
    </w:p>
    <w:p w:rsidR="00000000" w:rsidDel="00000000" w:rsidP="00000000" w:rsidRDefault="00000000" w:rsidRPr="00000000" w14:paraId="00000010">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While not explicitly an ID, proper record-keeping supports lawful processing.</w:t>
      </w:r>
    </w:p>
    <w:p w:rsidR="00000000" w:rsidDel="00000000" w:rsidP="00000000" w:rsidRDefault="00000000" w:rsidRPr="00000000" w14:paraId="0000001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activityName:</w:t>
      </w:r>
      <w:r w:rsidDel="00000000" w:rsidR="00000000" w:rsidRPr="00000000">
        <w:rPr>
          <w:rtl w:val="0"/>
        </w:rPr>
        <w:t xml:space="preserve"> A human-readable name for the processing activity.</w:t>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clear name for the activity is essential for transparency and accountability, even if not explicitly called out as 'activityName' in all regulations.</w:t>
      </w:r>
    </w:p>
    <w:p w:rsidR="00000000" w:rsidDel="00000000" w:rsidP="00000000" w:rsidRDefault="00000000" w:rsidRPr="00000000" w14:paraId="00000014">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30(1)(a) requires the record to contain the 'purposes of the processing'. A descriptive name helps in fulfilling this.</w:t>
      </w:r>
    </w:p>
    <w:p w:rsidR="00000000" w:rsidDel="00000000" w:rsidP="00000000" w:rsidRDefault="00000000" w:rsidRPr="00000000" w14:paraId="00000015">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30(1)(a) applies.</w:t>
      </w:r>
    </w:p>
    <w:p w:rsidR="00000000" w:rsidDel="00000000" w:rsidP="00000000" w:rsidRDefault="00000000" w:rsidRPr="00000000" w14:paraId="00000016">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purposes for which categories of personal information are collected or used. A clear activity name contributes to this disclosure. (Cal. Civ. Code § 1798.100(b))</w:t>
      </w:r>
    </w:p>
    <w:p w:rsidR="00000000" w:rsidDel="00000000" w:rsidP="00000000" w:rsidRDefault="00000000" w:rsidRPr="00000000" w14:paraId="00000017">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(Principles of Personal Data Processing) includes transparency (II) and accountability (X), both of which are supported by clearly naming processing activities.</w:t>
      </w:r>
    </w:p>
    <w:p w:rsidR="00000000" w:rsidDel="00000000" w:rsidP="00000000" w:rsidRDefault="00000000" w:rsidRPr="00000000" w14:paraId="00000018">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outlines the legal bases for processing, and implicitly requires clarity on the nature of the processing.</w:t>
      </w:r>
    </w:p>
    <w:p w:rsidR="00000000" w:rsidDel="00000000" w:rsidP="00000000" w:rsidRDefault="00000000" w:rsidRPr="00000000" w14:paraId="00000019">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4.2.1 states that the purposes for which personal information is collected shall be identified by the organization at or before the time the information is collected. A clear activity name supports this.</w:t>
      </w:r>
    </w:p>
    <w:p w:rsidR="00000000" w:rsidDel="00000000" w:rsidP="00000000" w:rsidRDefault="00000000" w:rsidRPr="00000000" w14:paraId="0000001A">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18 requires personal information handling business operators to specify the purpose of utilization of personal information as much as possible. An activity name helps in this specification.</w:t>
      </w:r>
    </w:p>
    <w:p w:rsidR="00000000" w:rsidDel="00000000" w:rsidP="00000000" w:rsidRDefault="00000000" w:rsidRPr="00000000" w14:paraId="0000001B">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18 requires organizations to inform individuals of the purposes for which their personal data is collected, used or disclosed. A clear activity name contributes to this.</w:t>
      </w:r>
    </w:p>
    <w:p w:rsidR="00000000" w:rsidDel="00000000" w:rsidP="00000000" w:rsidRDefault="00000000" w:rsidRPr="00000000" w14:paraId="0000001C">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Transparency is a key aspect of lawful processing.</w:t>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activityDescription:</w:t>
      </w:r>
      <w:r w:rsidDel="00000000" w:rsidR="00000000" w:rsidRPr="00000000">
        <w:rPr>
          <w:rtl w:val="0"/>
        </w:rPr>
        <w:t xml:space="preserve"> A detailed description of the processing activity.</w:t>
      </w:r>
    </w:p>
    <w:p w:rsidR="00000000" w:rsidDel="00000000" w:rsidP="00000000" w:rsidRDefault="00000000" w:rsidRPr="00000000" w14:paraId="0000001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Detailed descriptions are fundamental for understanding the scope and nature of data processing, a common thread across privacy laws.</w:t>
      </w:r>
    </w:p>
    <w:p w:rsidR="00000000" w:rsidDel="00000000" w:rsidP="00000000" w:rsidRDefault="00000000" w:rsidRPr="00000000" w14:paraId="0000002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30(1)(a) requires the record to contain the ‘purposes of the processing’. A detailed description elaborates on these purposes.</w:t>
      </w:r>
    </w:p>
    <w:p w:rsidR="00000000" w:rsidDel="00000000" w:rsidP="00000000" w:rsidRDefault="00000000" w:rsidRPr="00000000" w14:paraId="0000002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30(1)(a) applies.</w:t>
      </w:r>
    </w:p>
    <w:p w:rsidR="00000000" w:rsidDel="00000000" w:rsidP="00000000" w:rsidRDefault="00000000" w:rsidRPr="00000000" w14:paraId="00000022">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(Principles of Personal Data Processing) includes transparency (II) and accountability (X), both of which are supported by clearly describing processing activities. Article 9 (Information to the Data Subject) requires clear and adequate information about the processing of personal data.</w:t>
      </w:r>
    </w:p>
    <w:p w:rsidR="00000000" w:rsidDel="00000000" w:rsidP="00000000" w:rsidRDefault="00000000" w:rsidRPr="00000000" w14:paraId="00000023">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17 requires personal information handlers to truthfully, accurately, and completely inform individuals of the rules for processing their personal information. A detailed description is crucial for this.</w:t>
      </w:r>
    </w:p>
    <w:p w:rsidR="00000000" w:rsidDel="00000000" w:rsidP="00000000" w:rsidRDefault="00000000" w:rsidRPr="00000000" w14:paraId="00000024">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purposes for which categories of personal information are collected or used. A detailed description provides the necessary context.</w:t>
      </w:r>
    </w:p>
    <w:p w:rsidR="00000000" w:rsidDel="00000000" w:rsidP="00000000" w:rsidRDefault="00000000" w:rsidRPr="00000000" w14:paraId="00000025">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4.2.1 requires organizations to identify the purposes for which personal information is collected. A detailed description supports this.</w:t>
      </w:r>
    </w:p>
    <w:p w:rsidR="00000000" w:rsidDel="00000000" w:rsidP="00000000" w:rsidRDefault="00000000" w:rsidRPr="00000000" w14:paraId="00000026">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18 requires personal information handling business operators to specify the purpose of utilization of personal information as much as possible. A detailed description helps fulfill this requirement.</w:t>
      </w:r>
    </w:p>
    <w:p w:rsidR="00000000" w:rsidDel="00000000" w:rsidP="00000000" w:rsidRDefault="00000000" w:rsidRPr="00000000" w14:paraId="00000027">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18 requires organizations to inform individuals of the purposes for which their personal data is collected, used or disclosed. A detailed description contributes to this.</w:t>
      </w:r>
    </w:p>
    <w:p w:rsidR="00000000" w:rsidDel="00000000" w:rsidP="00000000" w:rsidRDefault="00000000" w:rsidRPr="00000000" w14:paraId="00000028">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Transparency is a key aspect of lawful processing, and a detailed description supports this.</w:t>
      </w:r>
    </w:p>
    <w:p w:rsidR="00000000" w:rsidDel="00000000" w:rsidP="00000000" w:rsidRDefault="00000000" w:rsidRPr="00000000" w14:paraId="0000002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purpose:</w:t>
      </w:r>
      <w:r w:rsidDel="00000000" w:rsidR="00000000" w:rsidRPr="00000000">
        <w:rPr>
          <w:rtl w:val="0"/>
        </w:rPr>
        <w:t xml:space="preserve"> The specific purpose(s) for which the personal data is processed.</w:t>
      </w:r>
    </w:p>
    <w:p w:rsidR="00000000" w:rsidDel="00000000" w:rsidP="00000000" w:rsidRDefault="00000000" w:rsidRPr="00000000" w14:paraId="0000002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purpose limitation principle is a cornerstone of global privacy laws.</w:t>
      </w:r>
    </w:p>
    <w:p w:rsidR="00000000" w:rsidDel="00000000" w:rsidP="00000000" w:rsidRDefault="00000000" w:rsidRPr="00000000" w14:paraId="0000002C">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5(1)(b) states personal data shall be ‘collected for specified, explicit and legitimate purposes and not further processed in a manner that is incompatible with those purposes’. Article 30(1)(a) explicitly requires ‘the purposes of the processing’.</w:t>
      </w:r>
    </w:p>
    <w:p w:rsidR="00000000" w:rsidDel="00000000" w:rsidP="00000000" w:rsidRDefault="00000000" w:rsidRPr="00000000" w14:paraId="0000002D">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5(1)(b) and Article 30(1)(a) apply.</w:t>
      </w:r>
    </w:p>
    <w:p w:rsidR="00000000" w:rsidDel="00000000" w:rsidP="00000000" w:rsidRDefault="00000000" w:rsidRPr="00000000" w14:paraId="0000002E">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Businesses must disclose the ‘business or commercial purpose for collecting or selling personal information’. (Cal. Civ. Code § 1798.110(c))</w:t>
      </w:r>
    </w:p>
    <w:p w:rsidR="00000000" w:rsidDel="00000000" w:rsidP="00000000" w:rsidRDefault="00000000" w:rsidRPr="00000000" w14:paraId="0000002F">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(I - Purpose) states that processing must be carried out for legitimate, specific, explicit, and informed purposes.</w:t>
      </w:r>
    </w:p>
    <w:p w:rsidR="00000000" w:rsidDel="00000000" w:rsidP="00000000" w:rsidRDefault="00000000" w:rsidRPr="00000000" w14:paraId="00000030">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6 (Principle of Minimum Necessity) and Article 13 (Legal Bases) emphasize that personal information should only be processed for a clear and reasonable purpose directly related to the processing.</w:t>
      </w:r>
    </w:p>
    <w:p w:rsidR="00000000" w:rsidDel="00000000" w:rsidP="00000000" w:rsidRDefault="00000000" w:rsidRPr="00000000" w14:paraId="00000031">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4.2 states that the purposes for which personal information is collected shall be identified by the organization at or before the time the information is collected.</w:t>
      </w:r>
    </w:p>
    <w:p w:rsidR="00000000" w:rsidDel="00000000" w:rsidP="00000000" w:rsidRDefault="00000000" w:rsidRPr="00000000" w14:paraId="00000032">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18 requires personal information handling business operators to specify the purpose of utilization of personal information as much as possible.</w:t>
      </w:r>
    </w:p>
    <w:p w:rsidR="00000000" w:rsidDel="00000000" w:rsidP="00000000" w:rsidRDefault="00000000" w:rsidRPr="00000000" w14:paraId="00000033">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18 requires organizations to inform individuals of the purposes for which their personal data is collected, used or disclosed.</w:t>
      </w:r>
    </w:p>
    <w:p w:rsidR="00000000" w:rsidDel="00000000" w:rsidP="00000000" w:rsidRDefault="00000000" w:rsidRPr="00000000" w14:paraId="00000034">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and the purpose must be identifiable.</w:t>
      </w:r>
    </w:p>
    <w:p w:rsidR="00000000" w:rsidDel="00000000" w:rsidP="00000000" w:rsidRDefault="00000000" w:rsidRPr="00000000" w14:paraId="00000035">
      <w:pPr>
        <w:numPr>
          <w:ilvl w:val="2"/>
          <w:numId w:val="1"/>
        </w:numPr>
        <w:ind w:left="2160" w:hanging="360"/>
      </w:pPr>
      <w:r w:rsidDel="00000000" w:rsidR="00000000" w:rsidRPr="00000000">
        <w:rPr>
          <w:b w:val="1"/>
          <w:rtl w:val="0"/>
        </w:rPr>
        <w:t xml:space="preserve">ADGPL (Australian Data Governance and Privacy Law):</w:t>
      </w:r>
      <w:r w:rsidDel="00000000" w:rsidR="00000000" w:rsidRPr="00000000">
        <w:rPr>
          <w:rtl w:val="0"/>
        </w:rPr>
        <w:t xml:space="preserve"> While not a single consolidated law, various Australian privacy principles (e.g., APP 6 - Use or disclosure of personal information) emphasize purpose limitation.</w:t>
      </w:r>
    </w:p>
    <w:p w:rsidR="00000000" w:rsidDel="00000000" w:rsidP="00000000" w:rsidRDefault="00000000" w:rsidRPr="00000000" w14:paraId="00000036">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13 states that personal information must be collected for a specific, explicitly defined and lawful purpose related to a function or activity of the responsible party.</w:t>
      </w:r>
    </w:p>
    <w:p w:rsidR="00000000" w:rsidDel="00000000" w:rsidP="00000000" w:rsidRDefault="00000000" w:rsidRPr="00000000" w14:paraId="0000003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purposes possible)</w:t>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processingType:</w:t>
      </w:r>
      <w:r w:rsidDel="00000000" w:rsidR="00000000" w:rsidRPr="00000000">
        <w:rPr>
          <w:rtl w:val="0"/>
        </w:rPr>
        <w:t xml:space="preserve"> The type of processing being performed (e.g., collection, storage, analysis, transfer, deletion).</w:t>
      </w:r>
    </w:p>
    <w:p w:rsidR="00000000" w:rsidDel="00000000" w:rsidP="00000000" w:rsidRDefault="00000000" w:rsidRPr="00000000" w14:paraId="0000003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Categorizing the type of processing helps in understanding the nature of the activity and its potential impact.</w:t>
      </w:r>
    </w:p>
    <w:p w:rsidR="00000000" w:rsidDel="00000000" w:rsidP="00000000" w:rsidRDefault="00000000" w:rsidRPr="00000000" w14:paraId="0000003A">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4(2) provides a broad definition of ‘processing’ including collection, recording, organization, structuring, storage, adaptation or alteration, retrieval, consultation, use, disclosure by transmission, dissemination or otherwise making available, alignment or combination, restriction, erasure or destruction. While not explicitly an attribute in Article 30, understanding the type of processing is inherent to documenting the activity.</w:t>
      </w:r>
    </w:p>
    <w:p w:rsidR="00000000" w:rsidDel="00000000" w:rsidP="00000000" w:rsidRDefault="00000000" w:rsidRPr="00000000" w14:paraId="0000003B">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4(2) applies.</w:t>
      </w:r>
    </w:p>
    <w:p w:rsidR="00000000" w:rsidDel="00000000" w:rsidP="00000000" w:rsidRDefault="00000000" w:rsidRPr="00000000" w14:paraId="0000003C">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5 (X - Processing) defines processing broadly, similar to GDPR.</w:t>
      </w:r>
    </w:p>
    <w:p w:rsidR="00000000" w:rsidDel="00000000" w:rsidP="00000000" w:rsidRDefault="00000000" w:rsidRPr="00000000" w14:paraId="0000003D">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processing activities, including collection, storage, use, processing, transmission, provision, disclosure, and deletion.</w:t>
      </w:r>
    </w:p>
    <w:p w:rsidR="00000000" w:rsidDel="00000000" w:rsidP="00000000" w:rsidRDefault="00000000" w:rsidRPr="00000000" w14:paraId="0000003E">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4.3 states that the knowledge and consent of the individual are required for the collection, use, or disclosure of personal information. Understanding the type of processing is essential for obtaining informed consent.</w:t>
      </w:r>
    </w:p>
    <w:p w:rsidR="00000000" w:rsidDel="00000000" w:rsidP="00000000" w:rsidRDefault="00000000" w:rsidRPr="00000000" w14:paraId="0000003F">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Defines handling of personal information, which includes various types of processing.</w:t>
      </w:r>
    </w:p>
    <w:p w:rsidR="00000000" w:rsidDel="00000000" w:rsidP="00000000" w:rsidRDefault="00000000" w:rsidRPr="00000000" w14:paraId="00000040">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Defines processing of personal data, which includes collection, use, and disclosure.</w:t>
      </w:r>
    </w:p>
    <w:p w:rsidR="00000000" w:rsidDel="00000000" w:rsidP="00000000" w:rsidRDefault="00000000" w:rsidRPr="00000000" w14:paraId="00000041">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Defines processing of personal data, which includes any operation relating to personal data.</w:t>
      </w:r>
    </w:p>
    <w:p w:rsidR="00000000" w:rsidDel="00000000" w:rsidP="00000000" w:rsidRDefault="00000000" w:rsidRPr="00000000" w14:paraId="0000004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types possible)</w:t>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isAutomatedDecisionMaking:</w:t>
      </w:r>
      <w:r w:rsidDel="00000000" w:rsidR="00000000" w:rsidRPr="00000000">
        <w:rPr>
          <w:rtl w:val="0"/>
        </w:rPr>
        <w:t xml:space="preserve"> A boolean indicating whether the processing involves automated decision-making, including profiling.</w:t>
      </w:r>
    </w:p>
    <w:p w:rsidR="00000000" w:rsidDel="00000000" w:rsidP="00000000" w:rsidRDefault="00000000" w:rsidRPr="00000000" w14:paraId="0000004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Automated decision-making, especially profiling, is a high-risk area regulated by many laws.</w:t>
      </w:r>
    </w:p>
    <w:p w:rsidR="00000000" w:rsidDel="00000000" w:rsidP="00000000" w:rsidRDefault="00000000" w:rsidRPr="00000000" w14:paraId="00000045">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22 grants data subjects the right not to be subject to a decision based solely on automated processing, including profiling, which produces legal effects concerning him or her or similarly significantly affects him or her.</w:t>
      </w:r>
    </w:p>
    <w:p w:rsidR="00000000" w:rsidDel="00000000" w:rsidP="00000000" w:rsidRDefault="00000000" w:rsidRPr="00000000" w14:paraId="00000046">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22 applies.</w:t>
      </w:r>
    </w:p>
    <w:p w:rsidR="00000000" w:rsidDel="00000000" w:rsidP="00000000" w:rsidRDefault="00000000" w:rsidRPr="00000000" w14:paraId="00000047">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24 states that personal information handlers shall not make decisions solely based on automated decision-making concerning individuals. Where decisions are made through automated decision-making, transparency and fairness shall be ensured, and an inconvenient or unfair result shall not be imposed on individuals.</w:t>
      </w:r>
    </w:p>
    <w:p w:rsidR="00000000" w:rsidDel="00000000" w:rsidP="00000000" w:rsidRDefault="00000000" w:rsidRPr="00000000" w14:paraId="00000048">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20 grants the right to request review of decisions made solely on automated processing of personal data affecting their interests.</w:t>
      </w:r>
    </w:p>
    <w:p w:rsidR="00000000" w:rsidDel="00000000" w:rsidP="00000000" w:rsidRDefault="00000000" w:rsidRPr="00000000" w14:paraId="00000049">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While not directly mirroring GDPR Article 22, the CCPA grants consumers the right to opt-out of the sale or sharing of personal information, which can include certain types of profiling used for targeted advertising. The California Privacy Rights Act (CPRA) further introduces rights related to automated decision-making technology.</w:t>
      </w:r>
    </w:p>
    <w:p w:rsidR="00000000" w:rsidDel="00000000" w:rsidP="00000000" w:rsidRDefault="00000000" w:rsidRPr="00000000" w14:paraId="0000004A">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21 provides data subjects with the right to request that an automated individual decision be reviewed by a natural person.</w:t>
      </w:r>
    </w:p>
    <w:p w:rsidR="00000000" w:rsidDel="00000000" w:rsidP="00000000" w:rsidRDefault="00000000" w:rsidRPr="00000000" w14:paraId="0000004B">
      <w:pPr>
        <w:numPr>
          <w:ilvl w:val="2"/>
          <w:numId w:val="1"/>
        </w:numPr>
        <w:ind w:left="2160" w:hanging="360"/>
      </w:pPr>
      <w:r w:rsidDel="00000000" w:rsidR="00000000" w:rsidRPr="00000000">
        <w:rPr>
          <w:b w:val="1"/>
          <w:rtl w:val="0"/>
        </w:rPr>
        <w:t xml:space="preserve">ADGPL (Australian Data Governance and Privacy Law):</w:t>
      </w:r>
      <w:r w:rsidDel="00000000" w:rsidR="00000000" w:rsidRPr="00000000">
        <w:rPr>
          <w:rtl w:val="0"/>
        </w:rPr>
        <w:t xml:space="preserve"> While no direct equivalent to GDPR Article 22, the Australian Privacy Principles (APPs) require transparency and fairness in the handling of personal information, which would extend to automated decision-making processes.</w:t>
      </w:r>
    </w:p>
    <w:p w:rsidR="00000000" w:rsidDel="00000000" w:rsidP="00000000" w:rsidRDefault="00000000" w:rsidRPr="00000000" w14:paraId="0000004C">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71 regulates automated decision-making, stating that a data subject may not be subject to a decision which results in legal consequences for him or her, or which affects him or her to a substantial degree, which is based solely on the automated processing of his or her personal information intended to provide a profile of such person.</w:t>
      </w:r>
    </w:p>
    <w:p w:rsidR="00000000" w:rsidDel="00000000" w:rsidP="00000000" w:rsidRDefault="00000000" w:rsidRPr="00000000" w14:paraId="0000004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4E">
      <w:pPr>
        <w:numPr>
          <w:ilvl w:val="0"/>
          <w:numId w:val="1"/>
        </w:numPr>
        <w:ind w:left="720" w:hanging="360"/>
      </w:pPr>
      <w:r w:rsidDel="00000000" w:rsidR="00000000" w:rsidRPr="00000000">
        <w:rPr>
          <w:b w:val="1"/>
          <w:rtl w:val="0"/>
        </w:rPr>
        <w:t xml:space="preserve">automatedLogicDescription:</w:t>
      </w:r>
      <w:r w:rsidDel="00000000" w:rsidR="00000000" w:rsidRPr="00000000">
        <w:rPr>
          <w:rtl w:val="0"/>
        </w:rPr>
        <w:t xml:space="preserve"> A description of the logic involved in automated decision-making.</w:t>
      </w:r>
    </w:p>
    <w:p w:rsidR="00000000" w:rsidDel="00000000" w:rsidP="00000000" w:rsidRDefault="00000000" w:rsidRPr="00000000" w14:paraId="0000004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Transparency about the logic of automated decisions is a key right for data subjects.</w:t>
      </w:r>
    </w:p>
    <w:p w:rsidR="00000000" w:rsidDel="00000000" w:rsidP="00000000" w:rsidRDefault="00000000" w:rsidRPr="00000000" w14:paraId="0000005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13(2)(f) and 14(2)(g) require controllers to provide ‘meaningful information about the logic involved, as well as the significance and the envisaged consequences of such processing for the data subject’.</w:t>
      </w:r>
    </w:p>
    <w:p w:rsidR="00000000" w:rsidDel="00000000" w:rsidP="00000000" w:rsidRDefault="00000000" w:rsidRPr="00000000" w14:paraId="0000005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13(2)(f) and 14(2)(g) apply.</w:t>
      </w:r>
    </w:p>
    <w:p w:rsidR="00000000" w:rsidDel="00000000" w:rsidP="00000000" w:rsidRDefault="00000000" w:rsidRPr="00000000" w14:paraId="00000052">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24 requires personal information handlers to ensure transparency and fairness in automated decision-making and provide an explanation.</w:t>
      </w:r>
    </w:p>
    <w:p w:rsidR="00000000" w:rsidDel="00000000" w:rsidP="00000000" w:rsidRDefault="00000000" w:rsidRPr="00000000" w14:paraId="0000005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20 grants the right to request clear and adequate information regarding the criteria and procedures used for automated decisions.</w:t>
      </w:r>
    </w:p>
    <w:p w:rsidR="00000000" w:rsidDel="00000000" w:rsidP="00000000" w:rsidRDefault="00000000" w:rsidRPr="00000000" w14:paraId="00000054">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21 provides data subjects with the right to request that an automated individual decision be reviewed by a natural person and to express their point of view.</w:t>
      </w:r>
    </w:p>
    <w:p w:rsidR="00000000" w:rsidDel="00000000" w:rsidP="00000000" w:rsidRDefault="00000000" w:rsidRPr="00000000" w14:paraId="0000005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automated decision-making is involved)</w:t>
      </w:r>
    </w:p>
    <w:p w:rsidR="00000000" w:rsidDel="00000000" w:rsidP="00000000" w:rsidRDefault="00000000" w:rsidRPr="00000000" w14:paraId="00000056">
      <w:pPr>
        <w:numPr>
          <w:ilvl w:val="0"/>
          <w:numId w:val="1"/>
        </w:numPr>
        <w:ind w:left="720" w:hanging="360"/>
      </w:pPr>
      <w:r w:rsidDel="00000000" w:rsidR="00000000" w:rsidRPr="00000000">
        <w:rPr>
          <w:b w:val="1"/>
          <w:rtl w:val="0"/>
        </w:rPr>
        <w:t xml:space="preserve">automatedSignificance:</w:t>
      </w:r>
      <w:r w:rsidDel="00000000" w:rsidR="00000000" w:rsidRPr="00000000">
        <w:rPr>
          <w:rtl w:val="0"/>
        </w:rPr>
        <w:t xml:space="preserve"> The significance and envisaged consequences of automated decision-making for the data subject.</w:t>
      </w:r>
    </w:p>
    <w:p w:rsidR="00000000" w:rsidDel="00000000" w:rsidP="00000000" w:rsidRDefault="00000000" w:rsidRPr="00000000" w14:paraId="0000005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Data subjects have a right to understand the impact of automated decisions on them.</w:t>
      </w:r>
    </w:p>
    <w:p w:rsidR="00000000" w:rsidDel="00000000" w:rsidP="00000000" w:rsidRDefault="00000000" w:rsidRPr="00000000" w14:paraId="00000058">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13(2)(f) and 14(2)(g) require controllers to provide ‘meaningful information about the logic involved, as well as the significance and the envisaged consequences of such processing for the data subject’.</w:t>
      </w:r>
    </w:p>
    <w:p w:rsidR="00000000" w:rsidDel="00000000" w:rsidP="00000000" w:rsidRDefault="00000000" w:rsidRPr="00000000" w14:paraId="00000059">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13(2)(f) and 14(2)(g) apply.</w:t>
      </w:r>
    </w:p>
    <w:p w:rsidR="00000000" w:rsidDel="00000000" w:rsidP="00000000" w:rsidRDefault="00000000" w:rsidRPr="00000000" w14:paraId="0000005A">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24 requires personal information handlers to ensure transparency and fairness in automated decision-making and provide an explanation of its impact.</w:t>
      </w:r>
    </w:p>
    <w:p w:rsidR="00000000" w:rsidDel="00000000" w:rsidP="00000000" w:rsidRDefault="00000000" w:rsidRPr="00000000" w14:paraId="0000005B">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20 grants the right to request clear and adequate information regarding the criteria and procedures used for automated decisions, including their consequences.</w:t>
      </w:r>
    </w:p>
    <w:p w:rsidR="00000000" w:rsidDel="00000000" w:rsidP="00000000" w:rsidRDefault="00000000" w:rsidRPr="00000000" w14:paraId="0000005C">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21 provides data subjects with the right to request that an automated individual decision be reviewed by a natural person and to express their point of view, implying understanding of significance.</w:t>
      </w:r>
    </w:p>
    <w:p w:rsidR="00000000" w:rsidDel="00000000" w:rsidP="00000000" w:rsidRDefault="00000000" w:rsidRPr="00000000" w14:paraId="0000005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automated decision-making is involved)</w:t>
      </w:r>
    </w:p>
    <w:p w:rsidR="00000000" w:rsidDel="00000000" w:rsidP="00000000" w:rsidRDefault="00000000" w:rsidRPr="00000000" w14:paraId="0000005E">
      <w:pPr>
        <w:numPr>
          <w:ilvl w:val="0"/>
          <w:numId w:val="1"/>
        </w:numPr>
        <w:ind w:left="720" w:hanging="360"/>
      </w:pPr>
      <w:r w:rsidDel="00000000" w:rsidR="00000000" w:rsidRPr="00000000">
        <w:rPr>
          <w:b w:val="1"/>
          <w:rtl w:val="0"/>
        </w:rPr>
        <w:t xml:space="preserve">has DataCategory:</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w:t>
      </w:r>
    </w:p>
    <w:p w:rsidR="00000000" w:rsidDel="00000000" w:rsidP="00000000" w:rsidRDefault="00000000" w:rsidRPr="00000000" w14:paraId="0000005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categories of personal data processed is a fundamental requirement for record-keeping and demonstrating compliance with data minimization and purpose limitation principles across various privacy laws.</w:t>
      </w:r>
    </w:p>
    <w:p w:rsidR="00000000" w:rsidDel="00000000" w:rsidP="00000000" w:rsidRDefault="00000000" w:rsidRPr="00000000" w14:paraId="0000006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personal data’.</w:t>
      </w:r>
    </w:p>
    <w:p w:rsidR="00000000" w:rsidDel="00000000" w:rsidP="00000000" w:rsidRDefault="00000000" w:rsidRPr="00000000" w14:paraId="0000006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062">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personal information collected’. (Cal. Civ. Code § 1798.110(c))</w:t>
      </w:r>
    </w:p>
    <w:p w:rsidR="00000000" w:rsidDel="00000000" w:rsidP="00000000" w:rsidRDefault="00000000" w:rsidRPr="00000000" w14:paraId="0000006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categorizing the data involved.</w:t>
      </w:r>
    </w:p>
    <w:p w:rsidR="00000000" w:rsidDel="00000000" w:rsidP="00000000" w:rsidRDefault="00000000" w:rsidRPr="00000000" w14:paraId="0000006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effective management requires categorization.</w:t>
      </w:r>
    </w:p>
    <w:p w:rsidR="00000000" w:rsidDel="00000000" w:rsidP="00000000" w:rsidRDefault="00000000" w:rsidRPr="00000000" w14:paraId="00000065">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4.4 states that personal information shall be as accurate, complete, and up-to-date as is necessary for the purposes for which it is to be used. Proper categorization supports this.</w:t>
      </w:r>
    </w:p>
    <w:p w:rsidR="00000000" w:rsidDel="00000000" w:rsidP="00000000" w:rsidRDefault="00000000" w:rsidRPr="00000000" w14:paraId="00000066">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understanding data categories.</w:t>
      </w:r>
    </w:p>
    <w:p w:rsidR="00000000" w:rsidDel="00000000" w:rsidP="00000000" w:rsidRDefault="00000000" w:rsidRPr="00000000" w14:paraId="00000067">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12 requires organizations to make reasonable effort to ensure that personal data collected is accurate and complete. This necessitates proper categorization of data.</w:t>
      </w:r>
    </w:p>
    <w:p w:rsidR="00000000" w:rsidDel="00000000" w:rsidP="00000000" w:rsidRDefault="00000000" w:rsidRPr="00000000" w14:paraId="00000068">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Understanding data categories is fundamental to lawful processing.</w:t>
      </w:r>
    </w:p>
    <w:p w:rsidR="00000000" w:rsidDel="00000000" w:rsidP="00000000" w:rsidRDefault="00000000" w:rsidRPr="00000000" w14:paraId="00000069">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13 requires personal information to be collected for a specific, explicitly defined and lawful purpose. This implies the need to categorize the information being collected.</w:t>
      </w:r>
    </w:p>
    <w:p w:rsidR="00000000" w:rsidDel="00000000" w:rsidP="00000000" w:rsidRDefault="00000000" w:rsidRPr="00000000" w14:paraId="0000006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involve at least one data category)</w:t>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has DataSubject: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categories.</w:t>
      </w:r>
    </w:p>
    <w:p w:rsidR="00000000" w:rsidDel="00000000" w:rsidP="00000000" w:rsidRDefault="00000000" w:rsidRPr="00000000" w14:paraId="0000006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categories of data subjects whose personal data is processed is crucial for understanding the scope of processing and for fulfilling transparency obligations.</w:t>
      </w:r>
    </w:p>
    <w:p w:rsidR="00000000" w:rsidDel="00000000" w:rsidP="00000000" w:rsidRDefault="00000000" w:rsidRPr="00000000" w14:paraId="0000006D">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data subjects’.</w:t>
      </w:r>
    </w:p>
    <w:p w:rsidR="00000000" w:rsidDel="00000000" w:rsidP="00000000" w:rsidRDefault="00000000" w:rsidRPr="00000000" w14:paraId="0000006E">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06F">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consumers’ whose personal information is collected. (Cal. Civ. Code § 1798.110(c))</w:t>
      </w:r>
    </w:p>
    <w:p w:rsidR="00000000" w:rsidDel="00000000" w:rsidP="00000000" w:rsidRDefault="00000000" w:rsidRPr="00000000" w14:paraId="00000070">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categorizing the data subjects involved.</w:t>
      </w:r>
    </w:p>
    <w:p w:rsidR="00000000" w:rsidDel="00000000" w:rsidP="00000000" w:rsidRDefault="00000000" w:rsidRPr="00000000" w14:paraId="00000071">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effective management requires understanding the individuals to whom the data relates.</w:t>
      </w:r>
    </w:p>
    <w:p w:rsidR="00000000" w:rsidDel="00000000" w:rsidP="00000000" w:rsidRDefault="00000000" w:rsidRPr="00000000" w14:paraId="00000072">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understanding the individuals whose data is being processed.</w:t>
      </w:r>
    </w:p>
    <w:p w:rsidR="00000000" w:rsidDel="00000000" w:rsidP="00000000" w:rsidRDefault="00000000" w:rsidRPr="00000000" w14:paraId="00000073">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understanding the types of data subjects.</w:t>
      </w:r>
    </w:p>
    <w:p w:rsidR="00000000" w:rsidDel="00000000" w:rsidP="00000000" w:rsidRDefault="00000000" w:rsidRPr="00000000" w14:paraId="00000074">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12 requires organizations to make reasonable effort to ensure that personal data collected is accurate and complete. This necessitates proper categorization of data subjects.</w:t>
      </w:r>
    </w:p>
    <w:p w:rsidR="00000000" w:rsidDel="00000000" w:rsidP="00000000" w:rsidRDefault="00000000" w:rsidRPr="00000000" w14:paraId="00000075">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Understanding data subject categories is fundamental to lawful processing.</w:t>
      </w:r>
    </w:p>
    <w:p w:rsidR="00000000" w:rsidDel="00000000" w:rsidP="00000000" w:rsidRDefault="00000000" w:rsidRPr="00000000" w14:paraId="00000076">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13 requires personal information to be collected for a specific, explicitly defined and lawful purpose. This implies the need to categorize the individuals whose information is being collected.</w:t>
      </w:r>
    </w:p>
    <w:p w:rsidR="00000000" w:rsidDel="00000000" w:rsidP="00000000" w:rsidRDefault="00000000" w:rsidRPr="00000000" w14:paraId="0000007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involve at least one data subject category)</w:t>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has DataRetension:</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DataRetension</w:t>
      </w:r>
      <w:r w:rsidDel="00000000" w:rsidR="00000000" w:rsidRPr="00000000">
        <w:rPr>
          <w:rtl w:val="0"/>
        </w:rPr>
        <w:t xml:space="preserve"> schedule.</w:t>
      </w:r>
    </w:p>
    <w:p w:rsidR="00000000" w:rsidDel="00000000" w:rsidP="00000000" w:rsidRDefault="00000000" w:rsidRPr="00000000" w14:paraId="0000007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Data retention policies are a key aspect of data lifecycle management and compliance across global privacy laws.</w:t>
      </w:r>
    </w:p>
    <w:p w:rsidR="00000000" w:rsidDel="00000000" w:rsidP="00000000" w:rsidRDefault="00000000" w:rsidRPr="00000000" w14:paraId="0000007A">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5(1)(e) states personal data shall be ‘kept in a form which permits identification of data subjects for no longer than is necessary for the purposes for which the personal data are processed’. Article 30(1)(f) requires ‘where possible, the envisaged time limits for erasure of the different categories of data’.</w:t>
      </w:r>
    </w:p>
    <w:p w:rsidR="00000000" w:rsidDel="00000000" w:rsidP="00000000" w:rsidRDefault="00000000" w:rsidRPr="00000000" w14:paraId="0000007B">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5(1)(e) and Article 30(1)(f) apply.</w:t>
      </w:r>
    </w:p>
    <w:p w:rsidR="00000000" w:rsidDel="00000000" w:rsidP="00000000" w:rsidRDefault="00000000" w:rsidRPr="00000000" w14:paraId="0000007C">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Businesses should not retain personal information for longer than is reasonably necessary for the disclosed purpose.</w:t>
      </w:r>
    </w:p>
    <w:p w:rsidR="00000000" w:rsidDel="00000000" w:rsidP="00000000" w:rsidRDefault="00000000" w:rsidRPr="00000000" w14:paraId="0000007D">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(V - Transparency) and Article 15 (End of Processing) address data retention, requiring data to be eliminated after the end of its processing, unless specific exceptions apply.</w:t>
      </w:r>
    </w:p>
    <w:p w:rsidR="00000000" w:rsidDel="00000000" w:rsidP="00000000" w:rsidRDefault="00000000" w:rsidRPr="00000000" w14:paraId="0000007E">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states that personal information should only be kept for the shortest period necessary to achieve the purpose of processing. Article 47 requires personal information handlers to delete personal information when the retention period expires.</w:t>
      </w:r>
    </w:p>
    <w:p w:rsidR="00000000" w:rsidDel="00000000" w:rsidP="00000000" w:rsidRDefault="00000000" w:rsidRPr="00000000" w14:paraId="0000007F">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4.5 states that personal information shall be retained only as long as necessary for the fulfillment of those purposes.</w:t>
      </w:r>
    </w:p>
    <w:p w:rsidR="00000000" w:rsidDel="00000000" w:rsidP="00000000" w:rsidRDefault="00000000" w:rsidRPr="00000000" w14:paraId="00000080">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appropriate retention periods.</w:t>
      </w:r>
    </w:p>
    <w:p w:rsidR="00000000" w:rsidDel="00000000" w:rsidP="00000000" w:rsidRDefault="00000000" w:rsidRPr="00000000" w14:paraId="00000081">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25 requires organizations to cease to retain documents containing personal data, or remove the means by which the personal data can be associated with particular individuals, as soon as it is reasonable to assume that the purpose for which that personal data was collected is no longer being served by retention of the personal data, and retention is no longer necessary for legal or business purposes.</w:t>
      </w:r>
    </w:p>
    <w:p w:rsidR="00000000" w:rsidDel="00000000" w:rsidP="00000000" w:rsidRDefault="00000000" w:rsidRPr="00000000" w14:paraId="00000082">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includes adhering to the principle of proportionality, implying data should not be retained longer than necessary.</w:t>
      </w:r>
    </w:p>
    <w:p w:rsidR="00000000" w:rsidDel="00000000" w:rsidP="00000000" w:rsidRDefault="00000000" w:rsidRPr="00000000" w14:paraId="0000008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every processing activity should have a retention schedule)</w:t>
      </w:r>
    </w:p>
    <w:p w:rsidR="00000000" w:rsidDel="00000000" w:rsidP="00000000" w:rsidRDefault="00000000" w:rsidRPr="00000000" w14:paraId="00000084">
      <w:pPr>
        <w:numPr>
          <w:ilvl w:val="0"/>
          <w:numId w:val="1"/>
        </w:numPr>
        <w:ind w:left="720" w:hanging="360"/>
      </w:pPr>
      <w:r w:rsidDel="00000000" w:rsidR="00000000" w:rsidRPr="00000000">
        <w:rPr>
          <w:b w:val="1"/>
          <w:rtl w:val="0"/>
        </w:rPr>
        <w:t xml:space="preserve">has LawfulBasis:</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LawfulBasis</w:t>
      </w:r>
      <w:r w:rsidDel="00000000" w:rsidR="00000000" w:rsidRPr="00000000">
        <w:rPr>
          <w:rtl w:val="0"/>
        </w:rPr>
        <w:t xml:space="preserve">.</w:t>
      </w:r>
    </w:p>
    <w:p w:rsidR="00000000" w:rsidDel="00000000" w:rsidP="00000000" w:rsidRDefault="00000000" w:rsidRPr="00000000" w14:paraId="0000008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the legal grounds for processing is a core requirement across all major privacy laws, ensuring lawfulness and transparency.</w:t>
      </w:r>
    </w:p>
    <w:p w:rsidR="00000000" w:rsidDel="00000000" w:rsidP="00000000" w:rsidRDefault="00000000" w:rsidRPr="00000000" w14:paraId="00000086">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6 specifies the lawful bases for processing personal data (e.g., consent, contract, legal obligation, vital interests, public task, legitimate interests). Article 30(1)(c) requires the record to specify the ‘legal basis for the processing’.</w:t>
      </w:r>
    </w:p>
    <w:p w:rsidR="00000000" w:rsidDel="00000000" w:rsidP="00000000" w:rsidRDefault="00000000" w:rsidRPr="00000000" w14:paraId="00000087">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6 and Article 30(1)(c) apply.</w:t>
      </w:r>
    </w:p>
    <w:p w:rsidR="00000000" w:rsidDel="00000000" w:rsidP="00000000" w:rsidRDefault="00000000" w:rsidRPr="00000000" w14:paraId="00000088">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7 lists the legal bases for processing personal data, including consent, legal obligation, public policy, studies by research bodies, contract, regular exercise of rights, legitimate interest, and protection of credit.</w:t>
      </w:r>
    </w:p>
    <w:p w:rsidR="00000000" w:rsidDel="00000000" w:rsidP="00000000" w:rsidRDefault="00000000" w:rsidRPr="00000000" w14:paraId="00000089">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lists the legal bases for processing personal information, including consent, necessity for contract, legal duties, public health emergencies, and reasonable processing of publicly disclosed information.</w:t>
      </w:r>
    </w:p>
    <w:p w:rsidR="00000000" w:rsidDel="00000000" w:rsidP="00000000" w:rsidRDefault="00000000" w:rsidRPr="00000000" w14:paraId="0000008A">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4.3 requires organizations to identify the purposes for which personal information is collected. The legal basis for collection is implicitly linked to the purpose.</w:t>
      </w:r>
    </w:p>
    <w:p w:rsidR="00000000" w:rsidDel="00000000" w:rsidP="00000000" w:rsidRDefault="00000000" w:rsidRPr="00000000" w14:paraId="0000008B">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While not using the term ‘lawful basis’ explicitly, APPI requires personal information to be handled appropriately and within the scope necessary to achieve the purpose of utilization, which aligns with the concept of a legal basis.</w:t>
      </w:r>
    </w:p>
    <w:p w:rsidR="00000000" w:rsidDel="00000000" w:rsidP="00000000" w:rsidRDefault="00000000" w:rsidRPr="00000000" w14:paraId="0000008C">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Sections 13-17 outline various bases for collection, use, and disclosure of personal data, including consent, legitimate interests, and necessity for contract.</w:t>
      </w:r>
    </w:p>
    <w:p w:rsidR="00000000" w:rsidDel="00000000" w:rsidP="00000000" w:rsidRDefault="00000000" w:rsidRPr="00000000" w14:paraId="0000008D">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implies a legal basis for processing.</w:t>
      </w:r>
    </w:p>
    <w:p w:rsidR="00000000" w:rsidDel="00000000" w:rsidP="00000000" w:rsidRDefault="00000000" w:rsidRPr="00000000" w14:paraId="0000008E">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Chapter 3 outlines conditions for lawful processing of personal information, including accountability, processing limitation, purpose specification, and consent.</w:t>
      </w:r>
    </w:p>
    <w:p w:rsidR="00000000" w:rsidDel="00000000" w:rsidP="00000000" w:rsidRDefault="00000000" w:rsidRPr="00000000" w14:paraId="0000008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have at least one lawful basis)</w:t>
      </w:r>
    </w:p>
    <w:p w:rsidR="00000000" w:rsidDel="00000000" w:rsidP="00000000" w:rsidRDefault="00000000" w:rsidRPr="00000000" w14:paraId="00000090">
      <w:pPr>
        <w:numPr>
          <w:ilvl w:val="0"/>
          <w:numId w:val="1"/>
        </w:numPr>
        <w:ind w:left="720" w:hanging="360"/>
      </w:pPr>
      <w:r w:rsidDel="00000000" w:rsidR="00000000" w:rsidRPr="00000000">
        <w:rPr>
          <w:b w:val="1"/>
          <w:rtl w:val="0"/>
        </w:rPr>
        <w:t xml:space="preserve">has ImpactAssessment: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(e.g., DPIA/PIA).</w:t>
      </w:r>
    </w:p>
    <w:p w:rsidR="00000000" w:rsidDel="00000000" w:rsidP="00000000" w:rsidRDefault="00000000" w:rsidRPr="00000000" w14:paraId="0000009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requirement for impact assessments for high-risk processing is a critical component of accountability and risk management in many privacy frameworks.</w:t>
      </w:r>
    </w:p>
    <w:p w:rsidR="00000000" w:rsidDel="00000000" w:rsidP="00000000" w:rsidRDefault="00000000" w:rsidRPr="00000000" w14:paraId="00000092">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35 mandates Data Protection Impact Assessments (DPIAs) for processing ‘likely to result in a high risk to the rights and freedoms of natural persons’.</w:t>
      </w:r>
    </w:p>
    <w:p w:rsidR="00000000" w:rsidDel="00000000" w:rsidP="00000000" w:rsidRDefault="00000000" w:rsidRPr="00000000" w14:paraId="00000093">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35 applies.</w:t>
      </w:r>
    </w:p>
    <w:p w:rsidR="00000000" w:rsidDel="00000000" w:rsidP="00000000" w:rsidRDefault="00000000" w:rsidRPr="00000000" w14:paraId="0000009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before processing sensitive personal information, using personal information for automated decision-making, or transferring personal information outside China.</w:t>
      </w:r>
    </w:p>
    <w:p w:rsidR="00000000" w:rsidDel="00000000" w:rsidP="00000000" w:rsidRDefault="00000000" w:rsidRPr="00000000" w14:paraId="00000095">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controllers to prepare a Data Protection Impact Assessment (DPIA) when the processing of personal data may entail high risk to the fundamental rights and freedoms of data subjects.</w:t>
      </w:r>
    </w:p>
    <w:p w:rsidR="00000000" w:rsidDel="00000000" w:rsidP="00000000" w:rsidRDefault="00000000" w:rsidRPr="00000000" w14:paraId="00000096">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While not explicitly mandating DPIAs, the FADP emphasizes data protection by design and by default (Article 7), and the need for appropriate technical and organizational measures, which often necessitates a form of impact assessment for high-risk processing.</w:t>
      </w:r>
    </w:p>
    <w:p w:rsidR="00000000" w:rsidDel="00000000" w:rsidP="00000000" w:rsidRDefault="00000000" w:rsidRPr="00000000" w14:paraId="00000097">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71 requires prior authorization from the Information Regulator for certain types of processing that pose a high risk to data subjects, which often involves an assessment process.</w:t>
      </w:r>
    </w:p>
    <w:p w:rsidR="00000000" w:rsidDel="00000000" w:rsidP="00000000" w:rsidRDefault="00000000" w:rsidRPr="00000000" w14:paraId="0000009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required for high-risk processing activities)</w:t>
      </w:r>
    </w:p>
    <w:p w:rsidR="00000000" w:rsidDel="00000000" w:rsidP="00000000" w:rsidRDefault="00000000" w:rsidRPr="00000000" w14:paraId="00000099">
      <w:pPr>
        <w:numPr>
          <w:ilvl w:val="0"/>
          <w:numId w:val="1"/>
        </w:numPr>
        <w:ind w:left="720" w:hanging="360"/>
      </w:pPr>
      <w:r w:rsidDel="00000000" w:rsidR="00000000" w:rsidRPr="00000000">
        <w:rPr>
          <w:b w:val="1"/>
          <w:rtl w:val="0"/>
        </w:rPr>
        <w:t xml:space="preserve">mandates RegulatoryRequirement: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mandates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w:t>
      </w:r>
    </w:p>
    <w:p w:rsidR="00000000" w:rsidDel="00000000" w:rsidP="00000000" w:rsidRDefault="00000000" w:rsidRPr="00000000" w14:paraId="0000009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Processing activities must comply with relevant legal obligations. This relationship links the activity to the specific regulatory requirements it must adhere to, demonstrating accountability and compliance.</w:t>
      </w:r>
    </w:p>
    <w:p w:rsidR="00000000" w:rsidDel="00000000" w:rsidP="00000000" w:rsidRDefault="00000000" w:rsidRPr="00000000" w14:paraId="0000009B">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5(2) (Accountability) requires controllers to be able to demonstrate compliance with the principles relating to processing personal data. This inherently links processing activities to regulatory requirements.</w:t>
      </w:r>
    </w:p>
    <w:p w:rsidR="00000000" w:rsidDel="00000000" w:rsidP="00000000" w:rsidRDefault="00000000" w:rsidRPr="00000000" w14:paraId="0000009C">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5(2) applies.</w:t>
      </w:r>
    </w:p>
    <w:p w:rsidR="00000000" w:rsidDel="00000000" w:rsidP="00000000" w:rsidRDefault="00000000" w:rsidRPr="00000000" w14:paraId="0000009D">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(X - Accountability) states that the agent must adopt measures to demonstrate compliance with the personal data protection rules.</w:t>
      </w:r>
    </w:p>
    <w:p w:rsidR="00000000" w:rsidDel="00000000" w:rsidP="00000000" w:rsidRDefault="00000000" w:rsidRPr="00000000" w14:paraId="0000009E">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and take other necessary measures to ensure the security of personal information, all of which are driven by regulatory requirements.</w:t>
      </w:r>
    </w:p>
    <w:p w:rsidR="00000000" w:rsidDel="00000000" w:rsidP="00000000" w:rsidRDefault="00000000" w:rsidRPr="00000000" w14:paraId="0000009F">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Businesses must comply with various provisions related to consumer rights and data handling, directly linking their processing activities to regulatory mandates.</w:t>
      </w:r>
    </w:p>
    <w:p w:rsidR="00000000" w:rsidDel="00000000" w:rsidP="00000000" w:rsidRDefault="00000000" w:rsidRPr="00000000" w14:paraId="000000A0">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implies adherence to regulatory requirements.</w:t>
      </w:r>
    </w:p>
    <w:p w:rsidR="00000000" w:rsidDel="00000000" w:rsidP="00000000" w:rsidRDefault="00000000" w:rsidRPr="00000000" w14:paraId="000000A1">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are often prescribed by regulations.</w:t>
      </w:r>
    </w:p>
    <w:p w:rsidR="00000000" w:rsidDel="00000000" w:rsidP="00000000" w:rsidRDefault="00000000" w:rsidRPr="00000000" w14:paraId="000000A2">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directly linking processing activities to regulatory requirements.</w:t>
      </w:r>
    </w:p>
    <w:p w:rsidR="00000000" w:rsidDel="00000000" w:rsidP="00000000" w:rsidRDefault="00000000" w:rsidRPr="00000000" w14:paraId="000000A3">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means adhering to applicable regulatory requirements.</w:t>
      </w:r>
    </w:p>
    <w:p w:rsidR="00000000" w:rsidDel="00000000" w:rsidP="00000000" w:rsidRDefault="00000000" w:rsidRPr="00000000" w14:paraId="000000A4">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Chapter 3 outlines conditions for lawful processing of personal information, directly linking processing activities to regulatory compliance.</w:t>
      </w:r>
    </w:p>
    <w:p w:rsidR="00000000" w:rsidDel="00000000" w:rsidP="00000000" w:rsidRDefault="00000000" w:rsidRPr="00000000" w14:paraId="000000A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comply with at least one regulatory requirement)</w:t>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executedOn Application:</w:t>
      </w:r>
      <w:r w:rsidDel="00000000" w:rsidR="00000000" w:rsidRPr="00000000">
        <w:rPr>
          <w:rtl w:val="0"/>
        </w:rPr>
        <w:t xml:space="preserve"> A processing activity is </w:t>
      </w:r>
      <w:r w:rsidDel="00000000" w:rsidR="00000000" w:rsidRPr="00000000">
        <w:rPr>
          <w:rFonts w:ascii="Roboto Mono" w:cs="Roboto Mono" w:eastAsia="Roboto Mono" w:hAnsi="Roboto Mono"/>
          <w:color w:val="188038"/>
          <w:rtl w:val="0"/>
        </w:rPr>
        <w:t xml:space="preserve">executedOn</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w:t>
      </w:r>
    </w:p>
    <w:p w:rsidR="00000000" w:rsidDel="00000000" w:rsidP="00000000" w:rsidRDefault="00000000" w:rsidRPr="00000000" w14:paraId="000000A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systems or applications used to perform processing activities is crucial for understanding the technical and organizational measures in place, and for assessing data flows and security.</w:t>
      </w:r>
    </w:p>
    <w:p w:rsidR="00000000" w:rsidDel="00000000" w:rsidP="00000000" w:rsidRDefault="00000000" w:rsidRPr="00000000" w14:paraId="000000A8">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(Security of processing) requires controllers and processors to implement appropriate technical and organizational measures to ensure a level of security appropriate to the risk. The applications used are a key part of these technical measures.</w:t>
      </w:r>
    </w:p>
    <w:p w:rsidR="00000000" w:rsidDel="00000000" w:rsidP="00000000" w:rsidRDefault="00000000" w:rsidRPr="00000000" w14:paraId="000000A9">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32 applies.</w:t>
      </w:r>
    </w:p>
    <w:p w:rsidR="00000000" w:rsidDel="00000000" w:rsidP="00000000" w:rsidRDefault="00000000" w:rsidRPr="00000000" w14:paraId="000000AA">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adopt corresponding technical measures to ensure the security of personal information. Applications are a primary technical measure.</w:t>
      </w:r>
    </w:p>
    <w:p w:rsidR="00000000" w:rsidDel="00000000" w:rsidP="00000000" w:rsidRDefault="00000000" w:rsidRPr="00000000" w14:paraId="000000AB">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46 requires security measures to protect personal data from unauthorized access and accidental or unlawful destruction, loss, alteration, communication, or dissemination. This includes measures implemented within applications.</w:t>
      </w:r>
    </w:p>
    <w:p w:rsidR="00000000" w:rsidDel="00000000" w:rsidP="00000000" w:rsidRDefault="00000000" w:rsidRPr="00000000" w14:paraId="000000AC">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4.7 states that personal information shall be protected by security safeguards appropriate to the sensitivity of the information. This extends to the applications handling the data.</w:t>
      </w:r>
    </w:p>
    <w:p w:rsidR="00000000" w:rsidDel="00000000" w:rsidP="00000000" w:rsidRDefault="00000000" w:rsidRPr="00000000" w14:paraId="000000AD">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managing the applications used.</w:t>
      </w:r>
    </w:p>
    <w:p w:rsidR="00000000" w:rsidDel="00000000" w:rsidP="00000000" w:rsidRDefault="00000000" w:rsidRPr="00000000" w14:paraId="000000AE">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24 requires organizations to protect personal data in their possession or under their control by making reasonable security arrangements to prevent unauthorised access, collection, use, disclosure, copying, modification, disposal or similar risks. Applications are key to implementing these arrangements.</w:t>
      </w:r>
    </w:p>
    <w:p w:rsidR="00000000" w:rsidDel="00000000" w:rsidP="00000000" w:rsidRDefault="00000000" w:rsidRPr="00000000" w14:paraId="000000AF">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8 requires that personal data must be protected against unauthorized processing through appropriate technical and organizational measures. Applications are part of these technical measures.</w:t>
      </w:r>
    </w:p>
    <w:p w:rsidR="00000000" w:rsidDel="00000000" w:rsidP="00000000" w:rsidRDefault="00000000" w:rsidRPr="00000000" w14:paraId="000000B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 processing activity may or may not be executed on a specific application)</w:t>
      </w:r>
    </w:p>
    <w:p w:rsidR="00000000" w:rsidDel="00000000" w:rsidP="00000000" w:rsidRDefault="00000000" w:rsidRPr="00000000" w14:paraId="000000B1">
      <w:pPr>
        <w:numPr>
          <w:ilvl w:val="0"/>
          <w:numId w:val="1"/>
        </w:numPr>
        <w:ind w:left="720" w:hanging="360"/>
      </w:pPr>
      <w:r w:rsidDel="00000000" w:rsidR="00000000" w:rsidRPr="00000000">
        <w:rPr>
          <w:b w:val="1"/>
          <w:rtl w:val="0"/>
        </w:rPr>
        <w:t xml:space="preserve">isRecipientFor BusinessContext: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isRecipientFor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B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Linking processing activities to specific business units or contexts is essential for assigning accountability, managing internal data governance, and demonstrating compliance with organizational structures.</w:t>
      </w:r>
    </w:p>
    <w:p w:rsidR="00000000" w:rsidDel="00000000" w:rsidP="00000000" w:rsidRDefault="00000000" w:rsidRPr="00000000" w14:paraId="000000B3">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5(2) (Accountability) requires the controller to be responsible for, and be able to demonstrate compliance with, the principles relating to processing personal data. This often necessitates mapping processing activities to specific business units or departments.</w:t>
      </w:r>
    </w:p>
    <w:p w:rsidR="00000000" w:rsidDel="00000000" w:rsidP="00000000" w:rsidRDefault="00000000" w:rsidRPr="00000000" w14:paraId="000000B4">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5(2) applies.</w:t>
      </w:r>
    </w:p>
    <w:p w:rsidR="00000000" w:rsidDel="00000000" w:rsidP="00000000" w:rsidRDefault="00000000" w:rsidRPr="00000000" w14:paraId="000000B5">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(X - Accountability) states that the agent must adopt measures to demonstrate compliance with the personal data protection rules, which includes internal organization.</w:t>
      </w:r>
    </w:p>
    <w:p w:rsidR="00000000" w:rsidDel="00000000" w:rsidP="00000000" w:rsidRDefault="00000000" w:rsidRPr="00000000" w14:paraId="000000B6">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which implies clear delineation of responsibilities within business contexts.</w:t>
      </w:r>
    </w:p>
    <w:p w:rsidR="00000000" w:rsidDel="00000000" w:rsidP="00000000" w:rsidRDefault="00000000" w:rsidRPr="00000000" w14:paraId="000000B7">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assigning responsibility within the organization.</w:t>
      </w:r>
    </w:p>
    <w:p w:rsidR="00000000" w:rsidDel="00000000" w:rsidP="00000000" w:rsidRDefault="00000000" w:rsidRPr="00000000" w14:paraId="000000B8">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internal organizational measures.</w:t>
      </w:r>
    </w:p>
    <w:p w:rsidR="00000000" w:rsidDel="00000000" w:rsidP="00000000" w:rsidRDefault="00000000" w:rsidRPr="00000000" w14:paraId="000000B9">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internal accountability for data processing activities and clear organizational structures.</w:t>
      </w:r>
    </w:p>
    <w:p w:rsidR="00000000" w:rsidDel="00000000" w:rsidP="00000000" w:rsidRDefault="00000000" w:rsidRPr="00000000" w14:paraId="000000BA">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Internal organizational structures contribute to lawful processing.</w:t>
      </w:r>
    </w:p>
    <w:p w:rsidR="00000000" w:rsidDel="00000000" w:rsidP="00000000" w:rsidRDefault="00000000" w:rsidRPr="00000000" w14:paraId="000000B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every processing activity should belong to a business context)</w:t>
      </w:r>
    </w:p>
    <w:p w:rsidR="00000000" w:rsidDel="00000000" w:rsidP="00000000" w:rsidRDefault="00000000" w:rsidRPr="00000000" w14:paraId="000000BC">
      <w:pPr>
        <w:pStyle w:val="Heading2"/>
        <w:rPr/>
      </w:pPr>
      <w:bookmarkStart w:colFirst="0" w:colLast="0" w:name="_vpesgvoiah7d" w:id="3"/>
      <w:bookmarkEnd w:id="3"/>
      <w:r w:rsidDel="00000000" w:rsidR="00000000" w:rsidRPr="00000000">
        <w:rPr>
          <w:rtl w:val="0"/>
        </w:rPr>
        <w:t xml:space="preserve">2. BusinessContext Class</w:t>
      </w:r>
    </w:p>
    <w:p w:rsidR="00000000" w:rsidDel="00000000" w:rsidP="00000000" w:rsidRDefault="00000000" w:rsidRPr="00000000" w14:paraId="000000BD">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class represents the organizational unit or specific context within which data processing activities occur. This helps in mapping processing activities to responsible departments or functions.</w:t>
      </w:r>
    </w:p>
    <w:p w:rsidR="00000000" w:rsidDel="00000000" w:rsidP="00000000" w:rsidRDefault="00000000" w:rsidRPr="00000000" w14:paraId="000000BE">
      <w:pPr>
        <w:pStyle w:val="Heading3"/>
        <w:rPr/>
      </w:pPr>
      <w:bookmarkStart w:colFirst="0" w:colLast="0" w:name="_pi1ed0z1j0wv" w:id="4"/>
      <w:bookmarkEnd w:id="4"/>
      <w:r w:rsidDel="00000000" w:rsidR="00000000" w:rsidRPr="00000000">
        <w:rPr>
          <w:rtl w:val="0"/>
        </w:rPr>
        <w:t xml:space="preserve">Attributes of BusinessContext:</w:t>
      </w:r>
    </w:p>
    <w:p w:rsidR="00000000" w:rsidDel="00000000" w:rsidP="00000000" w:rsidRDefault="00000000" w:rsidRPr="00000000" w14:paraId="000000BF">
      <w:pPr>
        <w:numPr>
          <w:ilvl w:val="0"/>
          <w:numId w:val="1"/>
        </w:numPr>
        <w:ind w:left="720" w:hanging="360"/>
      </w:pPr>
      <w:r w:rsidDel="00000000" w:rsidR="00000000" w:rsidRPr="00000000">
        <w:rPr>
          <w:b w:val="1"/>
          <w:rtl w:val="0"/>
        </w:rPr>
        <w:t xml:space="preserve">businessContextID:</w:t>
      </w:r>
      <w:r w:rsidDel="00000000" w:rsidR="00000000" w:rsidRPr="00000000">
        <w:rPr>
          <w:rtl w:val="0"/>
        </w:rPr>
        <w:t xml:space="preserve"> A unique identifier for the business context.</w:t>
      </w:r>
    </w:p>
    <w:p w:rsidR="00000000" w:rsidDel="00000000" w:rsidP="00000000" w:rsidRDefault="00000000" w:rsidRPr="00000000" w14:paraId="000000C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organizational units is crucial for assigning accountability and managing data governance within an enterprise, as required by various privacy laws.</w:t>
      </w:r>
    </w:p>
    <w:p w:rsidR="00000000" w:rsidDel="00000000" w:rsidP="00000000" w:rsidRDefault="00000000" w:rsidRPr="00000000" w14:paraId="000000C1">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5(2) (Accountability) requires the controller to be responsible for, and be able to demonstrate compliance with, the principles relating to processing personal data. This often necessitates mapping processing activities to specific business units.</w:t>
      </w:r>
    </w:p>
    <w:p w:rsidR="00000000" w:rsidDel="00000000" w:rsidP="00000000" w:rsidRDefault="00000000" w:rsidRPr="00000000" w14:paraId="000000C2">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5(2) applies.</w:t>
      </w:r>
    </w:p>
    <w:p w:rsidR="00000000" w:rsidDel="00000000" w:rsidP="00000000" w:rsidRDefault="00000000" w:rsidRPr="00000000" w14:paraId="000000C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(X - Accountability) states that the agent must adopt measures to demonstrate compliance with the personal data protection rules.</w:t>
      </w:r>
    </w:p>
    <w:p w:rsidR="00000000" w:rsidDel="00000000" w:rsidP="00000000" w:rsidRDefault="00000000" w:rsidRPr="00000000" w14:paraId="000000C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which implies clear delineation of responsibilities within business contexts.</w:t>
      </w:r>
    </w:p>
    <w:p w:rsidR="00000000" w:rsidDel="00000000" w:rsidP="00000000" w:rsidRDefault="00000000" w:rsidRPr="00000000" w14:paraId="000000C5">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assigning responsibility within the organization.</w:t>
      </w:r>
    </w:p>
    <w:p w:rsidR="00000000" w:rsidDel="00000000" w:rsidP="00000000" w:rsidRDefault="00000000" w:rsidRPr="00000000" w14:paraId="000000C6">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internal organizational measures.</w:t>
      </w:r>
    </w:p>
    <w:p w:rsidR="00000000" w:rsidDel="00000000" w:rsidP="00000000" w:rsidRDefault="00000000" w:rsidRPr="00000000" w14:paraId="000000C7">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internal accountability for data processing activities and clear organizational structures.</w:t>
      </w:r>
    </w:p>
    <w:p w:rsidR="00000000" w:rsidDel="00000000" w:rsidP="00000000" w:rsidRDefault="00000000" w:rsidRPr="00000000" w14:paraId="000000C8">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Internal organizational structures contribute to lawful processing.</w:t>
      </w:r>
    </w:p>
    <w:p w:rsidR="00000000" w:rsidDel="00000000" w:rsidP="00000000" w:rsidRDefault="00000000" w:rsidRPr="00000000" w14:paraId="000000C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CA">
      <w:pPr>
        <w:numPr>
          <w:ilvl w:val="0"/>
          <w:numId w:val="1"/>
        </w:numPr>
        <w:ind w:left="720" w:hanging="360"/>
      </w:pPr>
      <w:r w:rsidDel="00000000" w:rsidR="00000000" w:rsidRPr="00000000">
        <w:rPr>
          <w:b w:val="1"/>
          <w:rtl w:val="0"/>
        </w:rPr>
        <w:t xml:space="preserve">businessContextName:</w:t>
      </w:r>
      <w:r w:rsidDel="00000000" w:rsidR="00000000" w:rsidRPr="00000000">
        <w:rPr>
          <w:rtl w:val="0"/>
        </w:rPr>
        <w:t xml:space="preserve"> A human-readable name for the business context.</w:t>
      </w:r>
    </w:p>
    <w:p w:rsidR="00000000" w:rsidDel="00000000" w:rsidP="00000000" w:rsidRDefault="00000000" w:rsidRPr="00000000" w14:paraId="000000C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clear, human-readable name for the business context aids in clarity and communication within the organization and for external audits, supporting transparency and accountability principles.</w:t>
      </w:r>
    </w:p>
    <w:p w:rsidR="00000000" w:rsidDel="00000000" w:rsidP="00000000" w:rsidRDefault="00000000" w:rsidRPr="00000000" w14:paraId="000000CC">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While not explicitly requiring a 'businessContextName', the principles of transparency (Article 5(1)(a)) and accountability (Article 5(2)) necessitate clear internal documentation of organizational structures and responsibilities related to data processing.</w:t>
      </w:r>
    </w:p>
    <w:p w:rsidR="00000000" w:rsidDel="00000000" w:rsidP="00000000" w:rsidRDefault="00000000" w:rsidRPr="00000000" w14:paraId="000000CD">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these principles apply.</w:t>
      </w:r>
    </w:p>
    <w:p w:rsidR="00000000" w:rsidDel="00000000" w:rsidP="00000000" w:rsidRDefault="00000000" w:rsidRPr="00000000" w14:paraId="000000CE">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(Principles of Personal Data Processing) includes transparency (II) and accountability (X), which are supported by clearly named business contexts.</w:t>
      </w:r>
    </w:p>
    <w:p w:rsidR="00000000" w:rsidDel="00000000" w:rsidP="00000000" w:rsidRDefault="00000000" w:rsidRPr="00000000" w14:paraId="000000CF">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which implies clear naming conventions for organizational units.</w:t>
      </w:r>
    </w:p>
    <w:p w:rsidR="00000000" w:rsidDel="00000000" w:rsidP="00000000" w:rsidRDefault="00000000" w:rsidRPr="00000000" w14:paraId="000000D0">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Clear naming of business contexts supports this.</w:t>
      </w:r>
    </w:p>
    <w:p w:rsidR="00000000" w:rsidDel="00000000" w:rsidP="00000000" w:rsidRDefault="00000000" w:rsidRPr="00000000" w14:paraId="000000D1">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internal organizational measures and clear identification of responsibilities.</w:t>
      </w:r>
    </w:p>
    <w:p w:rsidR="00000000" w:rsidDel="00000000" w:rsidP="00000000" w:rsidRDefault="00000000" w:rsidRPr="00000000" w14:paraId="000000D2">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internal accountability for data processing activities and clear organizational structures.</w:t>
      </w:r>
    </w:p>
    <w:p w:rsidR="00000000" w:rsidDel="00000000" w:rsidP="00000000" w:rsidRDefault="00000000" w:rsidRPr="00000000" w14:paraId="000000D3">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Internal organizational structures and clear naming contribute to lawful processing.</w:t>
      </w:r>
    </w:p>
    <w:p w:rsidR="00000000" w:rsidDel="00000000" w:rsidP="00000000" w:rsidRDefault="00000000" w:rsidRPr="00000000" w14:paraId="000000D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D5">
      <w:pPr>
        <w:pStyle w:val="Heading3"/>
        <w:rPr/>
      </w:pPr>
      <w:bookmarkStart w:colFirst="0" w:colLast="0" w:name="_9h948k3pjzpz" w:id="5"/>
      <w:bookmarkEnd w:id="5"/>
      <w:r w:rsidDel="00000000" w:rsidR="00000000" w:rsidRPr="00000000">
        <w:rPr>
          <w:rtl w:val="0"/>
        </w:rPr>
        <w:t xml:space="preserve">Relationships of BusinessContext:</w:t>
      </w:r>
    </w:p>
    <w:p w:rsidR="00000000" w:rsidDel="00000000" w:rsidP="00000000" w:rsidRDefault="00000000" w:rsidRPr="00000000" w14:paraId="000000D6">
      <w:pPr>
        <w:numPr>
          <w:ilvl w:val="0"/>
          <w:numId w:val="1"/>
        </w:numPr>
        <w:ind w:left="720" w:hanging="360"/>
      </w:pPr>
      <w:r w:rsidDel="00000000" w:rsidR="00000000" w:rsidRPr="00000000">
        <w:rPr>
          <w:b w:val="1"/>
          <w:rtl w:val="0"/>
        </w:rPr>
        <w:t xml:space="preserve">isResponsibleFor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isResponsibleFor</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0D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clarifies which business unit is accountable for specific processing activities, aligning with accountability principles in GDPR (Article 5(2)) and other laws.</w:t>
      </w:r>
    </w:p>
    <w:p w:rsidR="00000000" w:rsidDel="00000000" w:rsidP="00000000" w:rsidRDefault="00000000" w:rsidRPr="00000000" w14:paraId="000000D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business context is responsible for at least one processing activity)</w:t>
      </w:r>
    </w:p>
    <w:p w:rsidR="00000000" w:rsidDel="00000000" w:rsidP="00000000" w:rsidRDefault="00000000" w:rsidRPr="00000000" w14:paraId="000000D9">
      <w:pPr>
        <w:pStyle w:val="Heading2"/>
        <w:rPr/>
      </w:pPr>
      <w:bookmarkStart w:colFirst="0" w:colLast="0" w:name="_vqubzufh0rh3" w:id="6"/>
      <w:bookmarkEnd w:id="6"/>
      <w:r w:rsidDel="00000000" w:rsidR="00000000" w:rsidRPr="00000000">
        <w:rPr>
          <w:rtl w:val="0"/>
        </w:rPr>
        <w:t xml:space="preserve">3. LineOfBusiness Class</w:t>
      </w:r>
    </w:p>
    <w:p w:rsidR="00000000" w:rsidDel="00000000" w:rsidP="00000000" w:rsidRDefault="00000000" w:rsidRPr="00000000" w14:paraId="000000D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LineOfBusiness</w:t>
      </w:r>
      <w:r w:rsidDel="00000000" w:rsidR="00000000" w:rsidRPr="00000000">
        <w:rPr>
          <w:rtl w:val="0"/>
        </w:rPr>
        <w:t xml:space="preserve"> class represents a broader organizational grouping that may encompass multiple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instances. This provides a higher level of organizational structure.</w:t>
      </w:r>
    </w:p>
    <w:p w:rsidR="00000000" w:rsidDel="00000000" w:rsidP="00000000" w:rsidRDefault="00000000" w:rsidRPr="00000000" w14:paraId="000000DB">
      <w:pPr>
        <w:pStyle w:val="Heading3"/>
        <w:rPr/>
      </w:pPr>
      <w:bookmarkStart w:colFirst="0" w:colLast="0" w:name="_owbcatsd7kwa" w:id="7"/>
      <w:bookmarkEnd w:id="7"/>
      <w:r w:rsidDel="00000000" w:rsidR="00000000" w:rsidRPr="00000000">
        <w:rPr>
          <w:rtl w:val="0"/>
        </w:rPr>
        <w:t xml:space="preserve">Attributes of LineOfBusiness:</w:t>
      </w:r>
    </w:p>
    <w:p w:rsidR="00000000" w:rsidDel="00000000" w:rsidP="00000000" w:rsidRDefault="00000000" w:rsidRPr="00000000" w14:paraId="000000DC">
      <w:pPr>
        <w:numPr>
          <w:ilvl w:val="0"/>
          <w:numId w:val="1"/>
        </w:numPr>
        <w:ind w:left="720" w:hanging="360"/>
      </w:pPr>
      <w:r w:rsidDel="00000000" w:rsidR="00000000" w:rsidRPr="00000000">
        <w:rPr>
          <w:b w:val="1"/>
          <w:rtl w:val="0"/>
        </w:rPr>
        <w:t xml:space="preserve">lineofBusinessID:</w:t>
      </w:r>
      <w:r w:rsidDel="00000000" w:rsidR="00000000" w:rsidRPr="00000000">
        <w:rPr>
          <w:rtl w:val="0"/>
        </w:rPr>
        <w:t xml:space="preserve"> A unique identifier for the line of business.</w:t>
      </w:r>
    </w:p>
    <w:p w:rsidR="00000000" w:rsidDel="00000000" w:rsidP="00000000" w:rsidRDefault="00000000" w:rsidRPr="00000000" w14:paraId="000000D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organizational structuring and clear identification of different business segments.</w:t>
      </w:r>
    </w:p>
    <w:p w:rsidR="00000000" w:rsidDel="00000000" w:rsidP="00000000" w:rsidRDefault="00000000" w:rsidRPr="00000000" w14:paraId="000000D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DF">
      <w:pPr>
        <w:numPr>
          <w:ilvl w:val="0"/>
          <w:numId w:val="1"/>
        </w:numPr>
        <w:ind w:left="720" w:hanging="360"/>
      </w:pPr>
      <w:r w:rsidDel="00000000" w:rsidR="00000000" w:rsidRPr="00000000">
        <w:rPr>
          <w:b w:val="1"/>
          <w:rtl w:val="0"/>
        </w:rPr>
        <w:t xml:space="preserve">lineofBusinessName:</w:t>
      </w:r>
      <w:r w:rsidDel="00000000" w:rsidR="00000000" w:rsidRPr="00000000">
        <w:rPr>
          <w:rtl w:val="0"/>
        </w:rPr>
        <w:t xml:space="preserve"> The name of the line of business.</w:t>
      </w:r>
    </w:p>
    <w:p w:rsidR="00000000" w:rsidDel="00000000" w:rsidP="00000000" w:rsidRDefault="00000000" w:rsidRPr="00000000" w14:paraId="000000E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clear, human-readable identifier for different business segments, which aids in internal organization, accountability, and reporting related to data processing activities.</w:t>
      </w:r>
    </w:p>
    <w:p w:rsidR="00000000" w:rsidDel="00000000" w:rsidP="00000000" w:rsidRDefault="00000000" w:rsidRPr="00000000" w14:paraId="000000E1">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While not explicitly mentioned, the principle of accountability (Article 5(2)) and the requirement for controllers to implement appropriate technical and organisational measures (Article 24) implicitly support the need for clear internal organizational structures, including named lines of business, to manage data processing responsibilities.</w:t>
      </w:r>
    </w:p>
    <w:p w:rsidR="00000000" w:rsidDel="00000000" w:rsidP="00000000" w:rsidRDefault="00000000" w:rsidRPr="00000000" w14:paraId="000000E2">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these principles apply.</w:t>
      </w:r>
    </w:p>
    <w:p w:rsidR="00000000" w:rsidDel="00000000" w:rsidP="00000000" w:rsidRDefault="00000000" w:rsidRPr="00000000" w14:paraId="000000E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(X - Accountability) and Article 50 (Good Practices and Governance) encourage organizations to adopt good practices and governance structures, which include clear identification of business units.</w:t>
      </w:r>
    </w:p>
    <w:p w:rsidR="00000000" w:rsidDel="00000000" w:rsidP="00000000" w:rsidRDefault="00000000" w:rsidRPr="00000000" w14:paraId="000000E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Clear naming of lines of business contributes to such systems.</w:t>
      </w:r>
    </w:p>
    <w:p w:rsidR="00000000" w:rsidDel="00000000" w:rsidP="00000000" w:rsidRDefault="00000000" w:rsidRPr="00000000" w14:paraId="000000E5">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supports the need for clear internal organizational structures.</w:t>
      </w:r>
    </w:p>
    <w:p w:rsidR="00000000" w:rsidDel="00000000" w:rsidP="00000000" w:rsidRDefault="00000000" w:rsidRPr="00000000" w14:paraId="000000E6">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internal organizational measures.</w:t>
      </w:r>
    </w:p>
    <w:p w:rsidR="00000000" w:rsidDel="00000000" w:rsidP="00000000" w:rsidRDefault="00000000" w:rsidRPr="00000000" w14:paraId="000000E7">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internal accountability for data processing activities and clear organizational structures.</w:t>
      </w:r>
    </w:p>
    <w:p w:rsidR="00000000" w:rsidDel="00000000" w:rsidP="00000000" w:rsidRDefault="00000000" w:rsidRPr="00000000" w14:paraId="000000E8">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Internal organizational structures and clear naming contribute to lawful processing.</w:t>
      </w:r>
    </w:p>
    <w:p w:rsidR="00000000" w:rsidDel="00000000" w:rsidP="00000000" w:rsidRDefault="00000000" w:rsidRPr="00000000" w14:paraId="000000E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EA">
      <w:pPr>
        <w:pStyle w:val="Heading3"/>
        <w:rPr/>
      </w:pPr>
      <w:bookmarkStart w:colFirst="0" w:colLast="0" w:name="_c8voa9ta77w8" w:id="8"/>
      <w:bookmarkEnd w:id="8"/>
      <w:r w:rsidDel="00000000" w:rsidR="00000000" w:rsidRPr="00000000">
        <w:rPr>
          <w:rtl w:val="0"/>
        </w:rPr>
        <w:t xml:space="preserve">Relationships of LineOfBusiness:</w:t>
      </w:r>
    </w:p>
    <w:p w:rsidR="00000000" w:rsidDel="00000000" w:rsidP="00000000" w:rsidRDefault="00000000" w:rsidRPr="00000000" w14:paraId="000000EB">
      <w:pPr>
        <w:numPr>
          <w:ilvl w:val="0"/>
          <w:numId w:val="1"/>
        </w:numPr>
        <w:ind w:left="720" w:hanging="360"/>
      </w:pPr>
      <w:r w:rsidDel="00000000" w:rsidR="00000000" w:rsidRPr="00000000">
        <w:rPr>
          <w:b w:val="1"/>
          <w:rtl w:val="0"/>
        </w:rPr>
        <w:t xml:space="preserve">contributesTo BusinessContext: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LineOfBusiness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contributesTo</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E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establishes the hierarchical structure, showing how lines of business encompass various business contexts.</w:t>
      </w:r>
    </w:p>
    <w:p w:rsidR="00000000" w:rsidDel="00000000" w:rsidP="00000000" w:rsidRDefault="00000000" w:rsidRPr="00000000" w14:paraId="000000E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line of business must contribute to at least one business context)</w:t>
      </w:r>
    </w:p>
    <w:p w:rsidR="00000000" w:rsidDel="00000000" w:rsidP="00000000" w:rsidRDefault="00000000" w:rsidRPr="00000000" w14:paraId="000000EE">
      <w:pPr>
        <w:pStyle w:val="Heading2"/>
        <w:rPr/>
      </w:pPr>
      <w:bookmarkStart w:colFirst="0" w:colLast="0" w:name="_3pe3swln5jb" w:id="9"/>
      <w:bookmarkEnd w:id="9"/>
      <w:r w:rsidDel="00000000" w:rsidR="00000000" w:rsidRPr="00000000">
        <w:rPr>
          <w:rtl w:val="0"/>
        </w:rPr>
        <w:t xml:space="preserve">4. DataCategory Class</w:t>
      </w:r>
    </w:p>
    <w:p w:rsidR="00000000" w:rsidDel="00000000" w:rsidP="00000000" w:rsidRDefault="00000000" w:rsidRPr="00000000" w14:paraId="000000EF">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class defines the types of personal data being processed (e.g., demographic, financial, health).</w:t>
      </w:r>
    </w:p>
    <w:p w:rsidR="00000000" w:rsidDel="00000000" w:rsidP="00000000" w:rsidRDefault="00000000" w:rsidRPr="00000000" w14:paraId="000000F0">
      <w:pPr>
        <w:pStyle w:val="Heading3"/>
        <w:rPr/>
      </w:pPr>
      <w:bookmarkStart w:colFirst="0" w:colLast="0" w:name="_cypn4p3bcbfq" w:id="10"/>
      <w:bookmarkEnd w:id="10"/>
      <w:r w:rsidDel="00000000" w:rsidR="00000000" w:rsidRPr="00000000">
        <w:rPr>
          <w:rtl w:val="0"/>
        </w:rPr>
        <w:t xml:space="preserve">Attributes of DataCategory:</w:t>
      </w:r>
    </w:p>
    <w:p w:rsidR="00000000" w:rsidDel="00000000" w:rsidP="00000000" w:rsidRDefault="00000000" w:rsidRPr="00000000" w14:paraId="000000F1">
      <w:pPr>
        <w:numPr>
          <w:ilvl w:val="0"/>
          <w:numId w:val="1"/>
        </w:numPr>
        <w:ind w:left="720" w:hanging="360"/>
      </w:pPr>
      <w:r w:rsidDel="00000000" w:rsidR="00000000" w:rsidRPr="00000000">
        <w:rPr>
          <w:b w:val="1"/>
          <w:rtl w:val="0"/>
        </w:rPr>
        <w:t xml:space="preserve">dataCategoryID:</w:t>
      </w:r>
      <w:r w:rsidDel="00000000" w:rsidR="00000000" w:rsidRPr="00000000">
        <w:rPr>
          <w:rtl w:val="0"/>
        </w:rPr>
        <w:t xml:space="preserve"> A unique identifier for the data category.</w:t>
      </w:r>
    </w:p>
    <w:p w:rsidR="00000000" w:rsidDel="00000000" w:rsidP="00000000" w:rsidRDefault="00000000" w:rsidRPr="00000000" w14:paraId="000000F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data categories is essential for accurate record-keeping, data mapping, and demonstrating compliance with data minimization and purpose limitation principles across various privacy laws.</w:t>
      </w:r>
    </w:p>
    <w:p w:rsidR="00000000" w:rsidDel="00000000" w:rsidP="00000000" w:rsidRDefault="00000000" w:rsidRPr="00000000" w14:paraId="000000F3">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personal data’. Unique identification helps in managing these categories.</w:t>
      </w:r>
    </w:p>
    <w:p w:rsidR="00000000" w:rsidDel="00000000" w:rsidP="00000000" w:rsidRDefault="00000000" w:rsidRPr="00000000" w14:paraId="000000F4">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0F5">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personal information collected’. Unique IDs facilitate this.</w:t>
      </w:r>
    </w:p>
    <w:p w:rsidR="00000000" w:rsidDel="00000000" w:rsidP="00000000" w:rsidRDefault="00000000" w:rsidRPr="00000000" w14:paraId="000000F6">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categorizing the data involved.</w:t>
      </w:r>
    </w:p>
    <w:p w:rsidR="00000000" w:rsidDel="00000000" w:rsidP="00000000" w:rsidRDefault="00000000" w:rsidRPr="00000000" w14:paraId="000000F7">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effective management requires categorization and unique identification.</w:t>
      </w:r>
    </w:p>
    <w:p w:rsidR="00000000" w:rsidDel="00000000" w:rsidP="00000000" w:rsidRDefault="00000000" w:rsidRPr="00000000" w14:paraId="000000F8">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4.4 states that personal information shall be as accurate, complete, and up-to-date as is necessary for the purposes for which it is to be used. Proper categorization supports this.</w:t>
      </w:r>
    </w:p>
    <w:p w:rsidR="00000000" w:rsidDel="00000000" w:rsidP="00000000" w:rsidRDefault="00000000" w:rsidRPr="00000000" w14:paraId="000000F9">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understanding data categories.</w:t>
      </w:r>
    </w:p>
    <w:p w:rsidR="00000000" w:rsidDel="00000000" w:rsidP="00000000" w:rsidRDefault="00000000" w:rsidRPr="00000000" w14:paraId="000000FA">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12 requires organizations to make reasonable effort to ensure that personal data collected is accurate and complete. This necessitates proper categorization of data.</w:t>
      </w:r>
    </w:p>
    <w:p w:rsidR="00000000" w:rsidDel="00000000" w:rsidP="00000000" w:rsidRDefault="00000000" w:rsidRPr="00000000" w14:paraId="000000FB">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Understanding data categories is fundamental to lawful processing.</w:t>
      </w:r>
    </w:p>
    <w:p w:rsidR="00000000" w:rsidDel="00000000" w:rsidP="00000000" w:rsidRDefault="00000000" w:rsidRPr="00000000" w14:paraId="000000F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FD">
      <w:pPr>
        <w:numPr>
          <w:ilvl w:val="0"/>
          <w:numId w:val="1"/>
        </w:numPr>
        <w:ind w:left="720" w:hanging="360"/>
      </w:pPr>
      <w:r w:rsidDel="00000000" w:rsidR="00000000" w:rsidRPr="00000000">
        <w:rPr>
          <w:b w:val="1"/>
          <w:rtl w:val="0"/>
        </w:rPr>
        <w:t xml:space="preserve">dataCategoryName:</w:t>
      </w:r>
      <w:r w:rsidDel="00000000" w:rsidR="00000000" w:rsidRPr="00000000">
        <w:rPr>
          <w:rtl w:val="0"/>
        </w:rPr>
        <w:t xml:space="preserve"> A human-readable name for the data category (e.g., ‘Demographic Data’, ‘Financial Data’, ‘Health Data’).</w:t>
      </w:r>
    </w:p>
    <w:p w:rsidR="00000000" w:rsidDel="00000000" w:rsidP="00000000" w:rsidRDefault="00000000" w:rsidRPr="00000000" w14:paraId="000000F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Clear naming of data categories is essential for transparency, data mapping, and effective communication about data processing practices to data subjects and regulators.</w:t>
      </w:r>
    </w:p>
    <w:p w:rsidR="00000000" w:rsidDel="00000000" w:rsidP="00000000" w:rsidRDefault="00000000" w:rsidRPr="00000000" w14:paraId="000000FF">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personal data’. A clear name facilitates this.</w:t>
      </w:r>
    </w:p>
    <w:p w:rsidR="00000000" w:rsidDel="00000000" w:rsidP="00000000" w:rsidRDefault="00000000" w:rsidRPr="00000000" w14:paraId="00000100">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101">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personal information collected’. Clear naming is crucial for this disclosure.</w:t>
      </w:r>
    </w:p>
    <w:p w:rsidR="00000000" w:rsidDel="00000000" w:rsidP="00000000" w:rsidRDefault="00000000" w:rsidRPr="00000000" w14:paraId="00000102">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(II - Transparency) and Article 37 (Record of Processing Operations) imply the need for clear categorization of data.</w:t>
      </w:r>
    </w:p>
    <w:p w:rsidR="00000000" w:rsidDel="00000000" w:rsidP="00000000" w:rsidRDefault="00000000" w:rsidRPr="00000000" w14:paraId="00000103">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clear naming helps in its management and compliance with transparency requirements.</w:t>
      </w:r>
    </w:p>
    <w:p w:rsidR="00000000" w:rsidDel="00000000" w:rsidP="00000000" w:rsidRDefault="00000000" w:rsidRPr="00000000" w14:paraId="00000104">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Clear naming supports this.</w:t>
      </w:r>
    </w:p>
    <w:p w:rsidR="00000000" w:rsidDel="00000000" w:rsidP="00000000" w:rsidRDefault="00000000" w:rsidRPr="00000000" w14:paraId="00000105">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18 requires personal information handling business operators to specify the purpose of utilization of personal information as much as possible. Clear categorization aids this.</w:t>
      </w:r>
    </w:p>
    <w:p w:rsidR="00000000" w:rsidDel="00000000" w:rsidP="00000000" w:rsidRDefault="00000000" w:rsidRPr="00000000" w14:paraId="00000106">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18 requires organizations to inform individuals of the purposes for which their personal data is collected, used or disclosed. Clear naming of data categories contributes to this.</w:t>
      </w:r>
    </w:p>
    <w:p w:rsidR="00000000" w:rsidDel="00000000" w:rsidP="00000000" w:rsidRDefault="00000000" w:rsidRPr="00000000" w14:paraId="00000107">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Transparency and clear categorization support lawful processing.</w:t>
      </w:r>
    </w:p>
    <w:p w:rsidR="00000000" w:rsidDel="00000000" w:rsidP="00000000" w:rsidRDefault="00000000" w:rsidRPr="00000000" w14:paraId="0000010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09">
      <w:pPr>
        <w:pStyle w:val="Heading3"/>
        <w:rPr/>
      </w:pPr>
      <w:bookmarkStart w:colFirst="0" w:colLast="0" w:name="_zb2k0vsf9gkv" w:id="11"/>
      <w:bookmarkEnd w:id="11"/>
      <w:r w:rsidDel="00000000" w:rsidR="00000000" w:rsidRPr="00000000">
        <w:rPr>
          <w:rtl w:val="0"/>
        </w:rPr>
        <w:t xml:space="preserve">Relationships of DataCategory:</w:t>
      </w:r>
    </w:p>
    <w:p w:rsidR="00000000" w:rsidDel="00000000" w:rsidP="00000000" w:rsidRDefault="00000000" w:rsidRPr="00000000" w14:paraId="0000010A">
      <w:pPr>
        <w:numPr>
          <w:ilvl w:val="0"/>
          <w:numId w:val="1"/>
        </w:numPr>
        <w:ind w:left="720" w:hanging="360"/>
      </w:pPr>
      <w:r w:rsidDel="00000000" w:rsidR="00000000" w:rsidRPr="00000000">
        <w:rPr>
          <w:b w:val="1"/>
          <w:rtl w:val="0"/>
        </w:rPr>
        <w:t xml:space="preserve">isCategorizedBy DataCategory: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can be further </w:t>
      </w:r>
      <w:r w:rsidDel="00000000" w:rsidR="00000000" w:rsidRPr="00000000">
        <w:rPr>
          <w:rFonts w:ascii="Roboto Mono" w:cs="Roboto Mono" w:eastAsia="Roboto Mono" w:hAnsi="Roboto Mono"/>
          <w:color w:val="188038"/>
          <w:rtl w:val="0"/>
        </w:rPr>
        <w:t xml:space="preserve">categorizedBy</w:t>
      </w:r>
      <w:r w:rsidDel="00000000" w:rsidR="00000000" w:rsidRPr="00000000">
        <w:rPr>
          <w:rtl w:val="0"/>
        </w:rPr>
        <w:t xml:space="preserve"> other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instances (e.g., ‘Sensitive Data’ can categorize ‘Health Data’).</w:t>
      </w:r>
    </w:p>
    <w:p w:rsidR="00000000" w:rsidDel="00000000" w:rsidP="00000000" w:rsidRDefault="00000000" w:rsidRPr="00000000" w14:paraId="0000010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allows for hierarchical classification of data, which is important for granular control and risk assessment, especially for sensitive data.</w:t>
      </w:r>
    </w:p>
    <w:p w:rsidR="00000000" w:rsidDel="00000000" w:rsidP="00000000" w:rsidRDefault="00000000" w:rsidRPr="00000000" w14:paraId="0000010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 data category may or may not be further categorized)</w:t>
      </w:r>
    </w:p>
    <w:p w:rsidR="00000000" w:rsidDel="00000000" w:rsidP="00000000" w:rsidRDefault="00000000" w:rsidRPr="00000000" w14:paraId="0000010D">
      <w:pPr>
        <w:pStyle w:val="Heading2"/>
        <w:rPr/>
      </w:pPr>
      <w:bookmarkStart w:colFirst="0" w:colLast="0" w:name="_l2o2ns8uuejk" w:id="12"/>
      <w:bookmarkEnd w:id="12"/>
      <w:r w:rsidDel="00000000" w:rsidR="00000000" w:rsidRPr="00000000">
        <w:rPr>
          <w:rtl w:val="0"/>
        </w:rPr>
        <w:t xml:space="preserve">5. LegalEntity Class</w:t>
      </w:r>
    </w:p>
    <w:p w:rsidR="00000000" w:rsidDel="00000000" w:rsidP="00000000" w:rsidRDefault="00000000" w:rsidRPr="00000000" w14:paraId="0000010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class represents any legal person or organization involved in data processing, such as controllers, processors, or data protection officers.</w:t>
      </w:r>
    </w:p>
    <w:p w:rsidR="00000000" w:rsidDel="00000000" w:rsidP="00000000" w:rsidRDefault="00000000" w:rsidRPr="00000000" w14:paraId="0000010F">
      <w:pPr>
        <w:pStyle w:val="Heading3"/>
        <w:rPr/>
      </w:pPr>
      <w:bookmarkStart w:colFirst="0" w:colLast="0" w:name="_ow6iwfd0xlbf" w:id="13"/>
      <w:bookmarkEnd w:id="13"/>
      <w:r w:rsidDel="00000000" w:rsidR="00000000" w:rsidRPr="00000000">
        <w:rPr>
          <w:rtl w:val="0"/>
        </w:rPr>
        <w:t xml:space="preserve">Attributes of LegalEntity:</w:t>
      </w:r>
    </w:p>
    <w:p w:rsidR="00000000" w:rsidDel="00000000" w:rsidP="00000000" w:rsidRDefault="00000000" w:rsidRPr="00000000" w14:paraId="00000110">
      <w:pPr>
        <w:numPr>
          <w:ilvl w:val="0"/>
          <w:numId w:val="1"/>
        </w:numPr>
        <w:ind w:left="720" w:hanging="360"/>
      </w:pPr>
      <w:r w:rsidDel="00000000" w:rsidR="00000000" w:rsidRPr="00000000">
        <w:rPr>
          <w:b w:val="1"/>
          <w:rtl w:val="0"/>
        </w:rPr>
        <w:t xml:space="preserve">legalEntityID:</w:t>
      </w:r>
      <w:r w:rsidDel="00000000" w:rsidR="00000000" w:rsidRPr="00000000">
        <w:rPr>
          <w:rtl w:val="0"/>
        </w:rPr>
        <w:t xml:space="preserve"> A unique identifier for the legal entity.</w:t>
      </w:r>
    </w:p>
    <w:p w:rsidR="00000000" w:rsidDel="00000000" w:rsidP="00000000" w:rsidRDefault="00000000" w:rsidRPr="00000000" w14:paraId="0000011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legal entities is fundamental for accountability and clear assignment of roles and responsibilities in data processing.</w:t>
      </w:r>
    </w:p>
    <w:p w:rsidR="00000000" w:rsidDel="00000000" w:rsidP="00000000" w:rsidRDefault="00000000" w:rsidRPr="00000000" w14:paraId="00000112">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30(1)(a) requires the ‘name and contact details of the controller and, where applicable, the joint controller, the controller’s representative and the data protection officer’. Unique IDs facilitate managing these entities.</w:t>
      </w:r>
    </w:p>
    <w:p w:rsidR="00000000" w:rsidDel="00000000" w:rsidP="00000000" w:rsidRDefault="00000000" w:rsidRPr="00000000" w14:paraId="00000113">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30(1)(a) applies.</w:t>
      </w:r>
    </w:p>
    <w:p w:rsidR="00000000" w:rsidDel="00000000" w:rsidP="00000000" w:rsidRDefault="00000000" w:rsidRPr="00000000" w14:paraId="00000114">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identifying the controller and operator.</w:t>
      </w:r>
    </w:p>
    <w:p w:rsidR="00000000" w:rsidDel="00000000" w:rsidP="00000000" w:rsidRDefault="00000000" w:rsidRPr="00000000" w14:paraId="00000115">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which includes identifying responsible entities.</w:t>
      </w:r>
    </w:p>
    <w:p w:rsidR="00000000" w:rsidDel="00000000" w:rsidP="00000000" w:rsidRDefault="00000000" w:rsidRPr="00000000" w14:paraId="00000116">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identifying the responsible organization.</w:t>
      </w:r>
    </w:p>
    <w:p w:rsidR="00000000" w:rsidDel="00000000" w:rsidP="00000000" w:rsidRDefault="00000000" w:rsidRPr="00000000" w14:paraId="00000117">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identifying the responsible entities.</w:t>
      </w:r>
    </w:p>
    <w:p w:rsidR="00000000" w:rsidDel="00000000" w:rsidP="00000000" w:rsidRDefault="00000000" w:rsidRPr="00000000" w14:paraId="00000118">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identifying the responsible entities.</w:t>
      </w:r>
    </w:p>
    <w:p w:rsidR="00000000" w:rsidDel="00000000" w:rsidP="00000000" w:rsidRDefault="00000000" w:rsidRPr="00000000" w14:paraId="00000119">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Identifying the legal entities involved is crucial for lawful processing.</w:t>
      </w:r>
    </w:p>
    <w:p w:rsidR="00000000" w:rsidDel="00000000" w:rsidP="00000000" w:rsidRDefault="00000000" w:rsidRPr="00000000" w14:paraId="0000011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1B">
      <w:pPr>
        <w:numPr>
          <w:ilvl w:val="0"/>
          <w:numId w:val="1"/>
        </w:numPr>
        <w:ind w:left="720" w:hanging="360"/>
      </w:pPr>
      <w:r w:rsidDel="00000000" w:rsidR="00000000" w:rsidRPr="00000000">
        <w:rPr>
          <w:b w:val="1"/>
          <w:rtl w:val="0"/>
        </w:rPr>
        <w:t xml:space="preserve">legalEntityName:</w:t>
      </w:r>
      <w:r w:rsidDel="00000000" w:rsidR="00000000" w:rsidRPr="00000000">
        <w:rPr>
          <w:rtl w:val="0"/>
        </w:rPr>
        <w:t xml:space="preserve"> The name of the legal entity.</w:t>
      </w:r>
    </w:p>
    <w:p w:rsidR="00000000" w:rsidDel="00000000" w:rsidP="00000000" w:rsidRDefault="00000000" w:rsidRPr="00000000" w14:paraId="0000011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explicitly requires the name of the controller. This is a fundamental piece of information for accountability and transparency.</w:t>
      </w:r>
    </w:p>
    <w:p w:rsidR="00000000" w:rsidDel="00000000" w:rsidP="00000000" w:rsidRDefault="00000000" w:rsidRPr="00000000" w14:paraId="0000011D">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30(1)(a) requires the ‘name and contact details of the controller and, where applicable, the joint controller, the controller’s representative and the data protection officer’.</w:t>
      </w:r>
    </w:p>
    <w:p w:rsidR="00000000" w:rsidDel="00000000" w:rsidP="00000000" w:rsidRDefault="00000000" w:rsidRPr="00000000" w14:paraId="0000011E">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30(1)(a) applies.</w:t>
      </w:r>
    </w:p>
    <w:p w:rsidR="00000000" w:rsidDel="00000000" w:rsidP="00000000" w:rsidRDefault="00000000" w:rsidRPr="00000000" w14:paraId="0000011F">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identifying the controller and operator by name.</w:t>
      </w:r>
    </w:p>
    <w:p w:rsidR="00000000" w:rsidDel="00000000" w:rsidP="00000000" w:rsidRDefault="00000000" w:rsidRPr="00000000" w14:paraId="00000120">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which includes identifying responsible entities by name.</w:t>
      </w:r>
    </w:p>
    <w:p w:rsidR="00000000" w:rsidDel="00000000" w:rsidP="00000000" w:rsidRDefault="00000000" w:rsidRPr="00000000" w14:paraId="00000121">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identifying the responsible organization by name.</w:t>
      </w:r>
    </w:p>
    <w:p w:rsidR="00000000" w:rsidDel="00000000" w:rsidP="00000000" w:rsidRDefault="00000000" w:rsidRPr="00000000" w14:paraId="00000122">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identifying the responsible entities by name.</w:t>
      </w:r>
    </w:p>
    <w:p w:rsidR="00000000" w:rsidDel="00000000" w:rsidP="00000000" w:rsidRDefault="00000000" w:rsidRPr="00000000" w14:paraId="00000123">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11 requires organizations to comply with the provisions of the Act, which implies identifying the responsible entities by name.</w:t>
      </w:r>
    </w:p>
    <w:p w:rsidR="00000000" w:rsidDel="00000000" w:rsidP="00000000" w:rsidRDefault="00000000" w:rsidRPr="00000000" w14:paraId="00000124">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Identifying the legal entities involved by name is crucial for lawful processing.</w:t>
      </w:r>
    </w:p>
    <w:p w:rsidR="00000000" w:rsidDel="00000000" w:rsidP="00000000" w:rsidRDefault="00000000" w:rsidRPr="00000000" w14:paraId="0000012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26">
      <w:pPr>
        <w:numPr>
          <w:ilvl w:val="0"/>
          <w:numId w:val="1"/>
        </w:numPr>
        <w:ind w:left="720" w:hanging="360"/>
      </w:pPr>
      <w:r w:rsidDel="00000000" w:rsidR="00000000" w:rsidRPr="00000000">
        <w:rPr>
          <w:b w:val="1"/>
          <w:rtl w:val="0"/>
        </w:rPr>
        <w:t xml:space="preserve">contactDetails:</w:t>
      </w:r>
      <w:r w:rsidDel="00000000" w:rsidR="00000000" w:rsidRPr="00000000">
        <w:rPr>
          <w:rtl w:val="0"/>
        </w:rPr>
        <w:t xml:space="preserve"> Contact information for the legal entity.</w:t>
      </w:r>
    </w:p>
    <w:p w:rsidR="00000000" w:rsidDel="00000000" w:rsidP="00000000" w:rsidRDefault="00000000" w:rsidRPr="00000000" w14:paraId="0000012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requires the ‘name and contact details of the controller and, where applicable, the joint controller, the controller’s representative and the data protection officer’. This is a common requirement across many privacy laws for accountability and communication.</w:t>
      </w:r>
    </w:p>
    <w:p w:rsidR="00000000" w:rsidDel="00000000" w:rsidP="00000000" w:rsidRDefault="00000000" w:rsidRPr="00000000" w14:paraId="0000012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29">
      <w:pPr>
        <w:numPr>
          <w:ilvl w:val="0"/>
          <w:numId w:val="1"/>
        </w:numPr>
        <w:ind w:left="720" w:hanging="360"/>
      </w:pPr>
      <w:r w:rsidDel="00000000" w:rsidR="00000000" w:rsidRPr="00000000">
        <w:rPr>
          <w:b w:val="1"/>
          <w:rtl w:val="0"/>
        </w:rPr>
        <w:t xml:space="preserve">entityRole:</w:t>
      </w:r>
      <w:r w:rsidDel="00000000" w:rsidR="00000000" w:rsidRPr="00000000">
        <w:rPr>
          <w:rtl w:val="0"/>
        </w:rPr>
        <w:t xml:space="preserve"> The role of the legal entity (e.g., Controller, Processor, Joint Controller, Representative, DPO).</w:t>
      </w:r>
    </w:p>
    <w:p w:rsidR="00000000" w:rsidDel="00000000" w:rsidP="00000000" w:rsidRDefault="00000000" w:rsidRPr="00000000" w14:paraId="0000012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4 defines ‘controller’ and ‘processor’. The distinction between these roles is crucial for assigning responsibilities and obligations under GDPR and other laws. PIPL also distinguishes between personal information handlers and entrusted parties.</w:t>
      </w:r>
    </w:p>
    <w:p w:rsidR="00000000" w:rsidDel="00000000" w:rsidP="00000000" w:rsidRDefault="00000000" w:rsidRPr="00000000" w14:paraId="0000012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entity can have multiple roles or be identified by one primary role)</w:t>
      </w:r>
    </w:p>
    <w:p w:rsidR="00000000" w:rsidDel="00000000" w:rsidP="00000000" w:rsidRDefault="00000000" w:rsidRPr="00000000" w14:paraId="0000012C">
      <w:pPr>
        <w:numPr>
          <w:ilvl w:val="0"/>
          <w:numId w:val="1"/>
        </w:numPr>
        <w:ind w:left="720" w:hanging="360"/>
      </w:pPr>
      <w:r w:rsidDel="00000000" w:rsidR="00000000" w:rsidRPr="00000000">
        <w:rPr>
          <w:b w:val="1"/>
          <w:rtl w:val="0"/>
        </w:rPr>
        <w:t xml:space="preserve">dpoName:</w:t>
      </w:r>
      <w:r w:rsidDel="00000000" w:rsidR="00000000" w:rsidRPr="00000000">
        <w:rPr>
          <w:rtl w:val="0"/>
        </w:rPr>
        <w:t xml:space="preserve"> Name of the Data Protection Officer (if applicable).</w:t>
      </w:r>
    </w:p>
    <w:p w:rsidR="00000000" w:rsidDel="00000000" w:rsidP="00000000" w:rsidRDefault="00000000" w:rsidRPr="00000000" w14:paraId="0000012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37 mandates the designation of a DPO in certain cases. Article 30(1)(a) requires their contact details in the record of processing activities.</w:t>
      </w:r>
    </w:p>
    <w:p w:rsidR="00000000" w:rsidDel="00000000" w:rsidP="00000000" w:rsidRDefault="00000000" w:rsidRPr="00000000" w14:paraId="0000012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 DPO is designated)</w:t>
      </w:r>
    </w:p>
    <w:p w:rsidR="00000000" w:rsidDel="00000000" w:rsidP="00000000" w:rsidRDefault="00000000" w:rsidRPr="00000000" w14:paraId="0000012F">
      <w:pPr>
        <w:numPr>
          <w:ilvl w:val="0"/>
          <w:numId w:val="1"/>
        </w:numPr>
        <w:ind w:left="720" w:hanging="360"/>
      </w:pPr>
      <w:r w:rsidDel="00000000" w:rsidR="00000000" w:rsidRPr="00000000">
        <w:rPr>
          <w:b w:val="1"/>
          <w:rtl w:val="0"/>
        </w:rPr>
        <w:t xml:space="preserve">dpoContact:</w:t>
      </w:r>
      <w:r w:rsidDel="00000000" w:rsidR="00000000" w:rsidRPr="00000000">
        <w:rPr>
          <w:rtl w:val="0"/>
        </w:rPr>
        <w:t xml:space="preserve"> Contact details of the Data Protection Officer (if applicable).</w:t>
      </w:r>
    </w:p>
    <w:p w:rsidR="00000000" w:rsidDel="00000000" w:rsidP="00000000" w:rsidRDefault="00000000" w:rsidRPr="00000000" w14:paraId="0000013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 per GDPR Article 30(1)(a).</w:t>
      </w:r>
    </w:p>
    <w:p w:rsidR="00000000" w:rsidDel="00000000" w:rsidP="00000000" w:rsidRDefault="00000000" w:rsidRPr="00000000" w14:paraId="0000013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 DPO is designated)</w:t>
      </w:r>
    </w:p>
    <w:p w:rsidR="00000000" w:rsidDel="00000000" w:rsidP="00000000" w:rsidRDefault="00000000" w:rsidRPr="00000000" w14:paraId="00000132">
      <w:pPr>
        <w:numPr>
          <w:ilvl w:val="0"/>
          <w:numId w:val="1"/>
        </w:numPr>
        <w:ind w:left="720" w:hanging="360"/>
      </w:pPr>
      <w:r w:rsidDel="00000000" w:rsidR="00000000" w:rsidRPr="00000000">
        <w:rPr>
          <w:b w:val="1"/>
          <w:rtl w:val="0"/>
        </w:rPr>
        <w:t xml:space="preserve">controllerName:</w:t>
      </w:r>
      <w:r w:rsidDel="00000000" w:rsidR="00000000" w:rsidRPr="00000000">
        <w:rPr>
          <w:rtl w:val="0"/>
        </w:rPr>
        <w:t xml:space="preserve"> Name of the Controller.</w:t>
      </w:r>
    </w:p>
    <w:p w:rsidR="00000000" w:rsidDel="00000000" w:rsidP="00000000" w:rsidRDefault="00000000" w:rsidRPr="00000000" w14:paraId="0000013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explicitly requires the name of the controller. This is a fundamental piece of information for accountability.</w:t>
      </w:r>
    </w:p>
    <w:p w:rsidR="00000000" w:rsidDel="00000000" w:rsidP="00000000" w:rsidRDefault="00000000" w:rsidRPr="00000000" w14:paraId="0000013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is a controller)</w:t>
      </w:r>
    </w:p>
    <w:p w:rsidR="00000000" w:rsidDel="00000000" w:rsidP="00000000" w:rsidRDefault="00000000" w:rsidRPr="00000000" w14:paraId="00000135">
      <w:pPr>
        <w:pStyle w:val="Heading3"/>
        <w:rPr/>
      </w:pPr>
      <w:bookmarkStart w:colFirst="0" w:colLast="0" w:name="_elilta9mmfrq" w:id="14"/>
      <w:bookmarkEnd w:id="14"/>
      <w:r w:rsidDel="00000000" w:rsidR="00000000" w:rsidRPr="00000000">
        <w:rPr>
          <w:rtl w:val="0"/>
        </w:rPr>
        <w:t xml:space="preserve">Relationships of LegalEntity:</w:t>
      </w:r>
    </w:p>
    <w:p w:rsidR="00000000" w:rsidDel="00000000" w:rsidP="00000000" w:rsidRDefault="00000000" w:rsidRPr="00000000" w14:paraId="00000136">
      <w:pPr>
        <w:numPr>
          <w:ilvl w:val="0"/>
          <w:numId w:val="1"/>
        </w:numPr>
        <w:ind w:left="720" w:hanging="360"/>
      </w:pPr>
      <w:r w:rsidDel="00000000" w:rsidR="00000000" w:rsidRPr="00000000">
        <w:rPr>
          <w:b w:val="1"/>
          <w:rtl w:val="0"/>
        </w:rPr>
        <w:t xml:space="preserve">isControllerFor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isControllerFor</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13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explicitly links the controller to the processing activities they are responsible for, directly supporting the accountability principle.</w:t>
      </w:r>
    </w:p>
    <w:p w:rsidR="00000000" w:rsidDel="00000000" w:rsidP="00000000" w:rsidRDefault="00000000" w:rsidRPr="00000000" w14:paraId="0000013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controller must be responsible for at least one processing activity)</w:t>
      </w:r>
    </w:p>
    <w:p w:rsidR="00000000" w:rsidDel="00000000" w:rsidP="00000000" w:rsidRDefault="00000000" w:rsidRPr="00000000" w14:paraId="00000139">
      <w:pPr>
        <w:numPr>
          <w:ilvl w:val="0"/>
          <w:numId w:val="1"/>
        </w:numPr>
        <w:ind w:left="720" w:hanging="360"/>
      </w:pPr>
      <w:r w:rsidDel="00000000" w:rsidR="00000000" w:rsidRPr="00000000">
        <w:rPr>
          <w:b w:val="1"/>
          <w:rtl w:val="0"/>
        </w:rPr>
        <w:t xml:space="preserve">isProcessorFor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isProcessorFor</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13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explicitly links the processor to the processing activities they perform on behalf of a controller, supporting accountability and contractual obligations.</w:t>
      </w:r>
    </w:p>
    <w:p w:rsidR="00000000" w:rsidDel="00000000" w:rsidP="00000000" w:rsidRDefault="00000000" w:rsidRPr="00000000" w14:paraId="0000013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 legal entity may or may not be a processor)</w:t>
      </w:r>
    </w:p>
    <w:p w:rsidR="00000000" w:rsidDel="00000000" w:rsidP="00000000" w:rsidRDefault="00000000" w:rsidRPr="00000000" w14:paraId="0000013C">
      <w:pPr>
        <w:numPr>
          <w:ilvl w:val="0"/>
          <w:numId w:val="1"/>
        </w:numPr>
        <w:ind w:left="720" w:hanging="360"/>
      </w:pPr>
      <w:r w:rsidDel="00000000" w:rsidR="00000000" w:rsidRPr="00000000">
        <w:rPr>
          <w:b w:val="1"/>
          <w:rtl w:val="0"/>
        </w:rPr>
        <w:t xml:space="preserve">hasDPO LegalEntity: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(controller/processor) </w:t>
      </w:r>
      <w:r w:rsidDel="00000000" w:rsidR="00000000" w:rsidRPr="00000000">
        <w:rPr>
          <w:rFonts w:ascii="Roboto Mono" w:cs="Roboto Mono" w:eastAsia="Roboto Mono" w:hAnsi="Roboto Mono"/>
          <w:color w:val="188038"/>
          <w:rtl w:val="0"/>
        </w:rPr>
        <w:t xml:space="preserve">hasDPO</w:t>
      </w:r>
      <w:r w:rsidDel="00000000" w:rsidR="00000000" w:rsidRPr="00000000">
        <w:rPr>
          <w:rtl w:val="0"/>
        </w:rPr>
        <w:t xml:space="preserve"> another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(DPO).</w:t>
      </w:r>
    </w:p>
    <w:p w:rsidR="00000000" w:rsidDel="00000000" w:rsidP="00000000" w:rsidRDefault="00000000" w:rsidRPr="00000000" w14:paraId="0000013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captures the designation of a Data Protection Officer, as required by GDPR Article 37 and similar provisions in other laws.</w:t>
      </w:r>
    </w:p>
    <w:p w:rsidR="00000000" w:rsidDel="00000000" w:rsidP="00000000" w:rsidRDefault="00000000" w:rsidRPr="00000000" w14:paraId="0000013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a legal entity may or may not have a DPO)</w:t>
      </w:r>
    </w:p>
    <w:p w:rsidR="00000000" w:rsidDel="00000000" w:rsidP="00000000" w:rsidRDefault="00000000" w:rsidRPr="00000000" w14:paraId="0000013F">
      <w:pPr>
        <w:pStyle w:val="Heading2"/>
        <w:rPr/>
      </w:pPr>
      <w:bookmarkStart w:colFirst="0" w:colLast="0" w:name="_mi2dt2mohbhb" w:id="15"/>
      <w:bookmarkEnd w:id="15"/>
      <w:r w:rsidDel="00000000" w:rsidR="00000000" w:rsidRPr="00000000">
        <w:rPr>
          <w:rtl w:val="0"/>
        </w:rPr>
        <w:t xml:space="preserve">6. DataSubject Class</w:t>
      </w:r>
    </w:p>
    <w:p w:rsidR="00000000" w:rsidDel="00000000" w:rsidP="00000000" w:rsidRDefault="00000000" w:rsidRPr="00000000" w14:paraId="0000014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class represents the individual whose personal data is being processed.</w:t>
      </w:r>
    </w:p>
    <w:p w:rsidR="00000000" w:rsidDel="00000000" w:rsidP="00000000" w:rsidRDefault="00000000" w:rsidRPr="00000000" w14:paraId="00000141">
      <w:pPr>
        <w:pStyle w:val="Heading3"/>
        <w:rPr/>
      </w:pPr>
      <w:bookmarkStart w:colFirst="0" w:colLast="0" w:name="_lkosm7l26g5i" w:id="16"/>
      <w:bookmarkEnd w:id="16"/>
      <w:r w:rsidDel="00000000" w:rsidR="00000000" w:rsidRPr="00000000">
        <w:rPr>
          <w:rtl w:val="0"/>
        </w:rPr>
        <w:t xml:space="preserve">Attributes of DataSubject:</w:t>
      </w:r>
    </w:p>
    <w:p w:rsidR="00000000" w:rsidDel="00000000" w:rsidP="00000000" w:rsidRDefault="00000000" w:rsidRPr="00000000" w14:paraId="00000142">
      <w:pPr>
        <w:numPr>
          <w:ilvl w:val="0"/>
          <w:numId w:val="1"/>
        </w:numPr>
        <w:ind w:left="720" w:hanging="360"/>
      </w:pPr>
      <w:r w:rsidDel="00000000" w:rsidR="00000000" w:rsidRPr="00000000">
        <w:rPr>
          <w:b w:val="1"/>
          <w:rtl w:val="0"/>
        </w:rPr>
        <w:t xml:space="preserve">dataSubjectID:</w:t>
      </w:r>
      <w:r w:rsidDel="00000000" w:rsidR="00000000" w:rsidRPr="00000000">
        <w:rPr>
          <w:rtl w:val="0"/>
        </w:rPr>
        <w:t xml:space="preserve"> A unique identifier for the data subject category.</w:t>
      </w:r>
    </w:p>
    <w:p w:rsidR="00000000" w:rsidDel="00000000" w:rsidP="00000000" w:rsidRDefault="00000000" w:rsidRPr="00000000" w14:paraId="0000014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While not identifying individual data subjects, this ID helps categorize groups of data subjects, which is essential for record-keeping and managing data subject rights across various privacy laws.</w:t>
      </w:r>
    </w:p>
    <w:p w:rsidR="00000000" w:rsidDel="00000000" w:rsidP="00000000" w:rsidRDefault="00000000" w:rsidRPr="00000000" w14:paraId="00000144">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data subjects’.</w:t>
      </w:r>
    </w:p>
    <w:p w:rsidR="00000000" w:rsidDel="00000000" w:rsidP="00000000" w:rsidRDefault="00000000" w:rsidRPr="00000000" w14:paraId="00000145">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146">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consumers’ whose personal information is collected. Unique IDs facilitate this. (Cal. Civ. Code § 1798.110(c))</w:t>
      </w:r>
    </w:p>
    <w:p w:rsidR="00000000" w:rsidDel="00000000" w:rsidP="00000000" w:rsidRDefault="00000000" w:rsidRPr="00000000" w14:paraId="00000147">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requires a record of processing operations, which implies categorizing the data subjects involved.</w:t>
      </w:r>
    </w:p>
    <w:p w:rsidR="00000000" w:rsidDel="00000000" w:rsidP="00000000" w:rsidRDefault="00000000" w:rsidRPr="00000000" w14:paraId="00000148">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effective management requires understanding the individuals to whom the data relates.</w:t>
      </w:r>
    </w:p>
    <w:p w:rsidR="00000000" w:rsidDel="00000000" w:rsidP="00000000" w:rsidRDefault="00000000" w:rsidRPr="00000000" w14:paraId="00000149">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This includes understanding the individuals whose data is being processed.</w:t>
      </w:r>
    </w:p>
    <w:p w:rsidR="00000000" w:rsidDel="00000000" w:rsidP="00000000" w:rsidRDefault="00000000" w:rsidRPr="00000000" w14:paraId="0000014A">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understanding the types of data subjects.</w:t>
      </w:r>
    </w:p>
    <w:p w:rsidR="00000000" w:rsidDel="00000000" w:rsidP="00000000" w:rsidRDefault="00000000" w:rsidRPr="00000000" w14:paraId="0000014B">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12 requires organizations to make reasonable effort to ensure that personal data collected is accurate and complete. This necessitates proper categorization of data subjects.</w:t>
      </w:r>
    </w:p>
    <w:p w:rsidR="00000000" w:rsidDel="00000000" w:rsidP="00000000" w:rsidRDefault="00000000" w:rsidRPr="00000000" w14:paraId="0000014C">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Understanding data subject categories is fundamental to lawful processing.</w:t>
      </w:r>
    </w:p>
    <w:p w:rsidR="00000000" w:rsidDel="00000000" w:rsidP="00000000" w:rsidRDefault="00000000" w:rsidRPr="00000000" w14:paraId="0000014D">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Section 13 requires personal information to be collected for a specific, explicitly defined and lawful purpose. This implies the need to categorize the individuals whose information is being collected.</w:t>
      </w:r>
    </w:p>
    <w:p w:rsidR="00000000" w:rsidDel="00000000" w:rsidP="00000000" w:rsidRDefault="00000000" w:rsidRPr="00000000" w14:paraId="0000014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4F">
      <w:pPr>
        <w:numPr>
          <w:ilvl w:val="0"/>
          <w:numId w:val="1"/>
        </w:numPr>
        <w:ind w:left="720" w:hanging="360"/>
      </w:pPr>
      <w:r w:rsidDel="00000000" w:rsidR="00000000" w:rsidRPr="00000000">
        <w:rPr>
          <w:b w:val="1"/>
          <w:rtl w:val="0"/>
        </w:rPr>
        <w:t xml:space="preserve">dataSubjectCategoryName:</w:t>
      </w:r>
      <w:r w:rsidDel="00000000" w:rsidR="00000000" w:rsidRPr="00000000">
        <w:rPr>
          <w:rtl w:val="0"/>
        </w:rPr>
        <w:t xml:space="preserve"> A human-readable name for the data subject category (e.g., ‘Customers’, ‘Employees’, ‘Website Visitors’).</w:t>
      </w:r>
    </w:p>
    <w:p w:rsidR="00000000" w:rsidDel="00000000" w:rsidP="00000000" w:rsidRDefault="00000000" w:rsidRPr="00000000" w14:paraId="0000015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Clear naming of data subject categories is essential for transparency, data mapping, and effective communication about data processing practices to data subjects and regulators.</w:t>
      </w:r>
    </w:p>
    <w:p w:rsidR="00000000" w:rsidDel="00000000" w:rsidP="00000000" w:rsidRDefault="00000000" w:rsidRPr="00000000" w14:paraId="00000151">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30(1)(b) requires records of processing activities to include ‘the categories of data subjects’. A clear name facilitates this.</w:t>
      </w:r>
    </w:p>
    <w:p w:rsidR="00000000" w:rsidDel="00000000" w:rsidP="00000000" w:rsidRDefault="00000000" w:rsidRPr="00000000" w14:paraId="00000152">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30(1)(b) applies.</w:t>
      </w:r>
    </w:p>
    <w:p w:rsidR="00000000" w:rsidDel="00000000" w:rsidP="00000000" w:rsidRDefault="00000000" w:rsidRPr="00000000" w14:paraId="00000153">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Requires businesses to disclose the ‘categories of consumers’ whose personal information is collected. Clear naming is crucial for this disclosure.</w:t>
      </w:r>
    </w:p>
    <w:p w:rsidR="00000000" w:rsidDel="00000000" w:rsidP="00000000" w:rsidRDefault="00000000" w:rsidRPr="00000000" w14:paraId="00000154">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(II - Transparency) and Article 37 (Record of Processing Operations) imply the need for clear categorization of data subjects.</w:t>
      </w:r>
    </w:p>
    <w:p w:rsidR="00000000" w:rsidDel="00000000" w:rsidP="00000000" w:rsidRDefault="00000000" w:rsidRPr="00000000" w14:paraId="00000155">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4 defines personal information, and clear naming helps in its management and compliance with transparency requirements.</w:t>
      </w:r>
    </w:p>
    <w:p w:rsidR="00000000" w:rsidDel="00000000" w:rsidP="00000000" w:rsidRDefault="00000000" w:rsidRPr="00000000" w14:paraId="00000156">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4.1.4 states that organizations shall implement policies and practices to give effect to the principles, including documenting personal information under their control. Clear naming supports this.</w:t>
      </w:r>
    </w:p>
    <w:p w:rsidR="00000000" w:rsidDel="00000000" w:rsidP="00000000" w:rsidRDefault="00000000" w:rsidRPr="00000000" w14:paraId="00000157">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18 requires personal information handling business operators to specify the purpose of utilization of personal information as much as possible. Clear categorization aids this.</w:t>
      </w:r>
    </w:p>
    <w:p w:rsidR="00000000" w:rsidDel="00000000" w:rsidP="00000000" w:rsidRDefault="00000000" w:rsidRPr="00000000" w14:paraId="00000158">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18 requires organizations to inform individuals of the purposes for which their personal data is collected, used or disclosed. Clear naming of data subject categories contributes to this.</w:t>
      </w:r>
    </w:p>
    <w:p w:rsidR="00000000" w:rsidDel="00000000" w:rsidP="00000000" w:rsidRDefault="00000000" w:rsidRPr="00000000" w14:paraId="00000159">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Transparency and clear categorization support lawful processing.</w:t>
      </w:r>
    </w:p>
    <w:p w:rsidR="00000000" w:rsidDel="00000000" w:rsidP="00000000" w:rsidRDefault="00000000" w:rsidRPr="00000000" w14:paraId="0000015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5B">
      <w:pPr>
        <w:pStyle w:val="Heading3"/>
        <w:rPr/>
      </w:pPr>
      <w:bookmarkStart w:colFirst="0" w:colLast="0" w:name="_9scasmx6o8n8" w:id="17"/>
      <w:bookmarkEnd w:id="17"/>
      <w:r w:rsidDel="00000000" w:rsidR="00000000" w:rsidRPr="00000000">
        <w:rPr>
          <w:rtl w:val="0"/>
        </w:rPr>
        <w:t xml:space="preserve">Relationships of DataSubject:</w:t>
      </w:r>
    </w:p>
    <w:p w:rsidR="00000000" w:rsidDel="00000000" w:rsidP="00000000" w:rsidRDefault="00000000" w:rsidRPr="00000000" w14:paraId="0000015C">
      <w:pPr>
        <w:numPr>
          <w:ilvl w:val="0"/>
          <w:numId w:val="1"/>
        </w:numPr>
        <w:ind w:left="720" w:hanging="360"/>
      </w:pPr>
      <w:r w:rsidDel="00000000" w:rsidR="00000000" w:rsidRPr="00000000">
        <w:rPr>
          <w:b w:val="1"/>
          <w:rtl w:val="0"/>
        </w:rPr>
        <w:t xml:space="preserve">isSubjectOf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isSubjectOf</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15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data subjects to the processing activities that involve their personal data, which is fundamental for managing data subject rights and demonstrating compliance.</w:t>
      </w:r>
    </w:p>
    <w:p w:rsidR="00000000" w:rsidDel="00000000" w:rsidP="00000000" w:rsidRDefault="00000000" w:rsidRPr="00000000" w14:paraId="0000015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data subject category must be involved in at least one processing activity)</w:t>
      </w:r>
    </w:p>
    <w:p w:rsidR="00000000" w:rsidDel="00000000" w:rsidP="00000000" w:rsidRDefault="00000000" w:rsidRPr="00000000" w14:paraId="0000015F">
      <w:pPr>
        <w:pStyle w:val="Heading2"/>
        <w:rPr/>
      </w:pPr>
      <w:bookmarkStart w:colFirst="0" w:colLast="0" w:name="_bec9ngf4rnpp" w:id="18"/>
      <w:bookmarkEnd w:id="18"/>
      <w:r w:rsidDel="00000000" w:rsidR="00000000" w:rsidRPr="00000000">
        <w:rPr>
          <w:rtl w:val="0"/>
        </w:rPr>
        <w:t xml:space="preserve">7. DataRetention Class</w:t>
      </w:r>
    </w:p>
    <w:p w:rsidR="00000000" w:rsidDel="00000000" w:rsidP="00000000" w:rsidRDefault="00000000" w:rsidRPr="00000000" w14:paraId="0000016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DataRetention</w:t>
      </w:r>
      <w:r w:rsidDel="00000000" w:rsidR="00000000" w:rsidRPr="00000000">
        <w:rPr>
          <w:rtl w:val="0"/>
        </w:rPr>
        <w:t xml:space="preserve"> class defines the policies and schedules for retaining personal data.</w:t>
      </w:r>
    </w:p>
    <w:p w:rsidR="00000000" w:rsidDel="00000000" w:rsidP="00000000" w:rsidRDefault="00000000" w:rsidRPr="00000000" w14:paraId="00000161">
      <w:pPr>
        <w:pStyle w:val="Heading3"/>
        <w:rPr/>
      </w:pPr>
      <w:bookmarkStart w:colFirst="0" w:colLast="0" w:name="_7irbaes7zfb1" w:id="19"/>
      <w:bookmarkEnd w:id="19"/>
      <w:r w:rsidDel="00000000" w:rsidR="00000000" w:rsidRPr="00000000">
        <w:rPr>
          <w:rtl w:val="0"/>
        </w:rPr>
        <w:t xml:space="preserve">Attributes of DataRetention:</w:t>
      </w:r>
    </w:p>
    <w:p w:rsidR="00000000" w:rsidDel="00000000" w:rsidP="00000000" w:rsidRDefault="00000000" w:rsidRPr="00000000" w14:paraId="00000162">
      <w:pPr>
        <w:numPr>
          <w:ilvl w:val="0"/>
          <w:numId w:val="1"/>
        </w:numPr>
        <w:ind w:left="720" w:hanging="360"/>
      </w:pPr>
      <w:r w:rsidDel="00000000" w:rsidR="00000000" w:rsidRPr="00000000">
        <w:rPr>
          <w:b w:val="1"/>
          <w:rtl w:val="0"/>
        </w:rPr>
        <w:t xml:space="preserve">retentionID:</w:t>
      </w:r>
      <w:r w:rsidDel="00000000" w:rsidR="00000000" w:rsidRPr="00000000">
        <w:rPr>
          <w:rtl w:val="0"/>
        </w:rPr>
        <w:t xml:space="preserve"> A unique identifier for the data retention policy.</w:t>
      </w:r>
    </w:p>
    <w:p w:rsidR="00000000" w:rsidDel="00000000" w:rsidP="00000000" w:rsidRDefault="00000000" w:rsidRPr="00000000" w14:paraId="0000016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retention policies is crucial for consistent application, auditing, and demonstrating compliance with storage limitation principles.</w:t>
      </w:r>
    </w:p>
    <w:p w:rsidR="00000000" w:rsidDel="00000000" w:rsidP="00000000" w:rsidRDefault="00000000" w:rsidRPr="00000000" w14:paraId="00000164">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5(1)(e) states personal data shall be ‘kept in a form which permits identification of data subjects for no longer than is necessary for the purposes for which the personal data are processed’. Article 30(1)(f) requires ‘where possible, the envisaged time limits for erasure of the different categories of data’.</w:t>
      </w:r>
    </w:p>
    <w:p w:rsidR="00000000" w:rsidDel="00000000" w:rsidP="00000000" w:rsidRDefault="00000000" w:rsidRPr="00000000" w14:paraId="00000165">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5(1)(e) and Article 30(1)(f) apply.</w:t>
      </w:r>
    </w:p>
    <w:p w:rsidR="00000000" w:rsidDel="00000000" w:rsidP="00000000" w:rsidRDefault="00000000" w:rsidRPr="00000000" w14:paraId="00000166">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Businesses should not retain personal information for longer than is reasonably necessary for the disclosed purpose.</w:t>
      </w:r>
    </w:p>
    <w:p w:rsidR="00000000" w:rsidDel="00000000" w:rsidP="00000000" w:rsidRDefault="00000000" w:rsidRPr="00000000" w14:paraId="00000167">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(V - Transparency) and Article 15 (End of Processing) address data retention, requiring data to be eliminated after the end of its processing, unless specific exceptions apply.</w:t>
      </w:r>
    </w:p>
    <w:p w:rsidR="00000000" w:rsidDel="00000000" w:rsidP="00000000" w:rsidRDefault="00000000" w:rsidRPr="00000000" w14:paraId="00000168">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states that personal information should only be kept for the shortest period necessary to achieve the purpose of processing. Article 47 requires personal information handlers to delete personal information when the retention period expires.</w:t>
      </w:r>
    </w:p>
    <w:p w:rsidR="00000000" w:rsidDel="00000000" w:rsidP="00000000" w:rsidRDefault="00000000" w:rsidRPr="00000000" w14:paraId="00000169">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4.5 states that personal information shall be retained only as long as necessary for the fulfillment of those purposes.</w:t>
      </w:r>
    </w:p>
    <w:p w:rsidR="00000000" w:rsidDel="00000000" w:rsidP="00000000" w:rsidRDefault="00000000" w:rsidRPr="00000000" w14:paraId="0000016A">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appropriate retention periods.</w:t>
      </w:r>
    </w:p>
    <w:p w:rsidR="00000000" w:rsidDel="00000000" w:rsidP="00000000" w:rsidRDefault="00000000" w:rsidRPr="00000000" w14:paraId="0000016B">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25 requires organizations to cease to retain documents containing personal data, or remove the means by which the personal data can be associated with particular individuals, as soon as it is reasonable to assume that the purpose for which that personal data was collected is no longer being served by retention of the personal data, and retention is no longer necessary for legal or business purposes.</w:t>
      </w:r>
    </w:p>
    <w:p w:rsidR="00000000" w:rsidDel="00000000" w:rsidP="00000000" w:rsidRDefault="00000000" w:rsidRPr="00000000" w14:paraId="0000016C">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includes adhering to the principle of proportionality, implying data should not be retained longer than necessary.</w:t>
      </w:r>
    </w:p>
    <w:p w:rsidR="00000000" w:rsidDel="00000000" w:rsidP="00000000" w:rsidRDefault="00000000" w:rsidRPr="00000000" w14:paraId="0000016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6E">
      <w:pPr>
        <w:numPr>
          <w:ilvl w:val="0"/>
          <w:numId w:val="1"/>
        </w:numPr>
        <w:ind w:left="720" w:hanging="360"/>
      </w:pPr>
      <w:r w:rsidDel="00000000" w:rsidR="00000000" w:rsidRPr="00000000">
        <w:rPr>
          <w:b w:val="1"/>
          <w:rtl w:val="0"/>
        </w:rPr>
        <w:t xml:space="preserve">retentionPeriod:</w:t>
      </w:r>
      <w:r w:rsidDel="00000000" w:rsidR="00000000" w:rsidRPr="00000000">
        <w:rPr>
          <w:rtl w:val="0"/>
        </w:rPr>
        <w:t xml:space="preserve"> The specified period for which the data will be retained (e.g., ‘7 years’, ‘until consent withdrawn’).</w:t>
      </w:r>
    </w:p>
    <w:p w:rsidR="00000000" w:rsidDel="00000000" w:rsidP="00000000" w:rsidRDefault="00000000" w:rsidRPr="00000000" w14:paraId="0000016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Explicitly stating the retention period is a direct requirement or strong implication in many privacy laws, supporting the storage limitation principle.</w:t>
      </w:r>
    </w:p>
    <w:p w:rsidR="00000000" w:rsidDel="00000000" w:rsidP="00000000" w:rsidRDefault="00000000" w:rsidRPr="00000000" w14:paraId="0000017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5(1)(e) states personal data shall be ‘kept in a form which permits identification of data subjects for no longer than is necessary for the purposes for which the personal data are processed’. Article 30(1)(f) requires ‘where possible, the envisaged time limits for erasure of the different categories of data’.</w:t>
      </w:r>
    </w:p>
    <w:p w:rsidR="00000000" w:rsidDel="00000000" w:rsidP="00000000" w:rsidRDefault="00000000" w:rsidRPr="00000000" w14:paraId="0000017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5(1)(e) and Article 30(1)(f) apply.</w:t>
      </w:r>
    </w:p>
    <w:p w:rsidR="00000000" w:rsidDel="00000000" w:rsidP="00000000" w:rsidRDefault="00000000" w:rsidRPr="00000000" w14:paraId="00000172">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Businesses should not retain personal information for longer than is reasonably necessary for the disclosed purpose.</w:t>
      </w:r>
    </w:p>
    <w:p w:rsidR="00000000" w:rsidDel="00000000" w:rsidP="00000000" w:rsidRDefault="00000000" w:rsidRPr="00000000" w14:paraId="0000017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(V - Transparency) and Article 15 (End of Processing) address data retention, requiring data to be eliminated after the end of its processing, unless specific exceptions apply.</w:t>
      </w:r>
    </w:p>
    <w:p w:rsidR="00000000" w:rsidDel="00000000" w:rsidP="00000000" w:rsidRDefault="00000000" w:rsidRPr="00000000" w14:paraId="0000017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states that personal information should only be kept for the shortest period necessary to achieve the purpose of processing. Article 47 requires personal information handlers to delete personal information when the retention period expires.</w:t>
      </w:r>
    </w:p>
    <w:p w:rsidR="00000000" w:rsidDel="00000000" w:rsidP="00000000" w:rsidRDefault="00000000" w:rsidRPr="00000000" w14:paraId="00000175">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4.5 states that personal information shall be retained only as long as necessary for the fulfillment of those purposes.</w:t>
      </w:r>
    </w:p>
    <w:p w:rsidR="00000000" w:rsidDel="00000000" w:rsidP="00000000" w:rsidRDefault="00000000" w:rsidRPr="00000000" w14:paraId="00000176">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appropriate retention periods.</w:t>
      </w:r>
    </w:p>
    <w:p w:rsidR="00000000" w:rsidDel="00000000" w:rsidP="00000000" w:rsidRDefault="00000000" w:rsidRPr="00000000" w14:paraId="00000177">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25 requires organizations to cease to retain documents containing personal data, or remove the means by which the personal data can be associated with particular individuals, as soon as it is reasonable to assume that the purpose for which that personal data was collected is no longer being served by retention of the personal data, and retention is no longer necessary for legal or business purposes.</w:t>
      </w:r>
    </w:p>
    <w:p w:rsidR="00000000" w:rsidDel="00000000" w:rsidP="00000000" w:rsidRDefault="00000000" w:rsidRPr="00000000" w14:paraId="00000178">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includes adhering to the principle of proportionality, implying data should not be retained longer than necessary.</w:t>
      </w:r>
    </w:p>
    <w:p w:rsidR="00000000" w:rsidDel="00000000" w:rsidP="00000000" w:rsidRDefault="00000000" w:rsidRPr="00000000" w14:paraId="0000017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7A">
      <w:pPr>
        <w:numPr>
          <w:ilvl w:val="0"/>
          <w:numId w:val="1"/>
        </w:numPr>
        <w:ind w:left="720" w:hanging="360"/>
      </w:pPr>
      <w:r w:rsidDel="00000000" w:rsidR="00000000" w:rsidRPr="00000000">
        <w:rPr>
          <w:b w:val="1"/>
          <w:rtl w:val="0"/>
        </w:rPr>
        <w:t xml:space="preserve">retentionJustification:</w:t>
      </w:r>
      <w:r w:rsidDel="00000000" w:rsidR="00000000" w:rsidRPr="00000000">
        <w:rPr>
          <w:rtl w:val="0"/>
        </w:rPr>
        <w:t xml:space="preserve"> The legal or business justification for the retention period.</w:t>
      </w:r>
    </w:p>
    <w:p w:rsidR="00000000" w:rsidDel="00000000" w:rsidP="00000000" w:rsidRDefault="00000000" w:rsidRPr="00000000" w14:paraId="0000017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the justification for retention periods demonstrates compliance with the storage limitation principle and aids in accountability.</w:t>
      </w:r>
    </w:p>
    <w:p w:rsidR="00000000" w:rsidDel="00000000" w:rsidP="00000000" w:rsidRDefault="00000000" w:rsidRPr="00000000" w14:paraId="0000017C">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5(1)(e) requires data to be kept ‘no longer than is necessary for the purposes for which the personal data are processed’. Documenting the justification supports this.</w:t>
      </w:r>
    </w:p>
    <w:p w:rsidR="00000000" w:rsidDel="00000000" w:rsidP="00000000" w:rsidRDefault="00000000" w:rsidRPr="00000000" w14:paraId="0000017D">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5(1)(e) applies.</w:t>
      </w:r>
    </w:p>
    <w:p w:rsidR="00000000" w:rsidDel="00000000" w:rsidP="00000000" w:rsidRDefault="00000000" w:rsidRPr="00000000" w14:paraId="0000017E">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15 outlines exceptions to data elimination, which require justification.</w:t>
      </w:r>
    </w:p>
    <w:p w:rsidR="00000000" w:rsidDel="00000000" w:rsidP="00000000" w:rsidRDefault="00000000" w:rsidRPr="00000000" w14:paraId="0000017F">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states that personal information should only be kept for the shortest period necessary to achieve the purpose of processing. Justification supports this.</w:t>
      </w:r>
    </w:p>
    <w:p w:rsidR="00000000" w:rsidDel="00000000" w:rsidP="00000000" w:rsidRDefault="00000000" w:rsidRPr="00000000" w14:paraId="00000180">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4.5 states that personal information shall be retained only as long as necessary for the fulfillment of those purposes. Justification supports this.</w:t>
      </w:r>
    </w:p>
    <w:p w:rsidR="00000000" w:rsidDel="00000000" w:rsidP="00000000" w:rsidRDefault="00000000" w:rsidRPr="00000000" w14:paraId="00000181">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appropriate retention periods and their justification.</w:t>
      </w:r>
    </w:p>
    <w:p w:rsidR="00000000" w:rsidDel="00000000" w:rsidP="00000000" w:rsidRDefault="00000000" w:rsidRPr="00000000" w14:paraId="00000182">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25 requires organizations to cease to retain documents containing personal data when retention is no longer necessary for legal or business purposes. Justification supports this.</w:t>
      </w:r>
    </w:p>
    <w:p w:rsidR="00000000" w:rsidDel="00000000" w:rsidP="00000000" w:rsidRDefault="00000000" w:rsidRPr="00000000" w14:paraId="00000183">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includes adhering to the principle of proportionality. Justification for retention supports this.</w:t>
      </w:r>
    </w:p>
    <w:p w:rsidR="00000000" w:rsidDel="00000000" w:rsidP="00000000" w:rsidRDefault="00000000" w:rsidRPr="00000000" w14:paraId="0000018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85">
      <w:pPr>
        <w:pStyle w:val="Heading3"/>
        <w:rPr/>
      </w:pPr>
      <w:bookmarkStart w:colFirst="0" w:colLast="0" w:name="_9mntaln60hqb" w:id="20"/>
      <w:bookmarkEnd w:id="20"/>
      <w:r w:rsidDel="00000000" w:rsidR="00000000" w:rsidRPr="00000000">
        <w:rPr>
          <w:rtl w:val="0"/>
        </w:rPr>
        <w:t xml:space="preserve">Relationships of DataRetention:</w:t>
      </w:r>
    </w:p>
    <w:p w:rsidR="00000000" w:rsidDel="00000000" w:rsidP="00000000" w:rsidRDefault="00000000" w:rsidRPr="00000000" w14:paraId="00000186">
      <w:pPr>
        <w:numPr>
          <w:ilvl w:val="0"/>
          <w:numId w:val="1"/>
        </w:numPr>
        <w:ind w:left="720" w:hanging="360"/>
      </w:pPr>
      <w:r w:rsidDel="00000000" w:rsidR="00000000" w:rsidRPr="00000000">
        <w:rPr>
          <w:b w:val="1"/>
          <w:rtl w:val="0"/>
        </w:rPr>
        <w:t xml:space="preserve">appliesTo DataCategory: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DataRetention</w:t>
      </w:r>
      <w:r w:rsidDel="00000000" w:rsidR="00000000" w:rsidRPr="00000000">
        <w:rPr>
          <w:rtl w:val="0"/>
        </w:rPr>
        <w:t xml:space="preserve"> policy </w:t>
      </w:r>
      <w:r w:rsidDel="00000000" w:rsidR="00000000" w:rsidRPr="00000000">
        <w:rPr>
          <w:rFonts w:ascii="Roboto Mono" w:cs="Roboto Mono" w:eastAsia="Roboto Mono" w:hAnsi="Roboto Mono"/>
          <w:color w:val="188038"/>
          <w:rtl w:val="0"/>
        </w:rPr>
        <w:t xml:space="preserve">appliesTo</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w:t>
      </w:r>
    </w:p>
    <w:p w:rsidR="00000000" w:rsidDel="00000000" w:rsidP="00000000" w:rsidRDefault="00000000" w:rsidRPr="00000000" w14:paraId="0000018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retention policies to the specific types of data they govern, ensuring clarity and enforceability of data lifecycle management.</w:t>
      </w:r>
    </w:p>
    <w:p w:rsidR="00000000" w:rsidDel="00000000" w:rsidP="00000000" w:rsidRDefault="00000000" w:rsidRPr="00000000" w14:paraId="0000018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retention policy must apply to at least one data category)</w:t>
      </w:r>
    </w:p>
    <w:p w:rsidR="00000000" w:rsidDel="00000000" w:rsidP="00000000" w:rsidRDefault="00000000" w:rsidRPr="00000000" w14:paraId="00000189">
      <w:pPr>
        <w:pStyle w:val="Heading2"/>
        <w:rPr/>
      </w:pPr>
      <w:bookmarkStart w:colFirst="0" w:colLast="0" w:name="_aci9zh6mlyai" w:id="21"/>
      <w:bookmarkEnd w:id="21"/>
      <w:r w:rsidDel="00000000" w:rsidR="00000000" w:rsidRPr="00000000">
        <w:rPr>
          <w:rtl w:val="0"/>
        </w:rPr>
        <w:t xml:space="preserve">8. LawfulBasis Class</w:t>
      </w:r>
    </w:p>
    <w:p w:rsidR="00000000" w:rsidDel="00000000" w:rsidP="00000000" w:rsidRDefault="00000000" w:rsidRPr="00000000" w14:paraId="0000018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LawfulBasis</w:t>
      </w:r>
      <w:r w:rsidDel="00000000" w:rsidR="00000000" w:rsidRPr="00000000">
        <w:rPr>
          <w:rtl w:val="0"/>
        </w:rPr>
        <w:t xml:space="preserve"> class represents the legal grounds for processing personal data.</w:t>
      </w:r>
    </w:p>
    <w:p w:rsidR="00000000" w:rsidDel="00000000" w:rsidP="00000000" w:rsidRDefault="00000000" w:rsidRPr="00000000" w14:paraId="0000018B">
      <w:pPr>
        <w:pStyle w:val="Heading3"/>
        <w:rPr/>
      </w:pPr>
      <w:bookmarkStart w:colFirst="0" w:colLast="0" w:name="_gr1vammra31h" w:id="22"/>
      <w:bookmarkEnd w:id="22"/>
      <w:r w:rsidDel="00000000" w:rsidR="00000000" w:rsidRPr="00000000">
        <w:rPr>
          <w:rtl w:val="0"/>
        </w:rPr>
        <w:t xml:space="preserve">Attributes of LawfulBasis:</w:t>
      </w:r>
    </w:p>
    <w:p w:rsidR="00000000" w:rsidDel="00000000" w:rsidP="00000000" w:rsidRDefault="00000000" w:rsidRPr="00000000" w14:paraId="0000018C">
      <w:pPr>
        <w:numPr>
          <w:ilvl w:val="0"/>
          <w:numId w:val="1"/>
        </w:numPr>
        <w:ind w:left="720" w:hanging="360"/>
      </w:pPr>
      <w:r w:rsidDel="00000000" w:rsidR="00000000" w:rsidRPr="00000000">
        <w:rPr>
          <w:b w:val="1"/>
          <w:rtl w:val="0"/>
        </w:rPr>
        <w:t xml:space="preserve">lawfulBasisID:</w:t>
      </w:r>
      <w:r w:rsidDel="00000000" w:rsidR="00000000" w:rsidRPr="00000000">
        <w:rPr>
          <w:rtl w:val="0"/>
        </w:rPr>
        <w:t xml:space="preserve"> A unique identifier for the lawful basis.</w:t>
      </w:r>
    </w:p>
    <w:p w:rsidR="00000000" w:rsidDel="00000000" w:rsidP="00000000" w:rsidRDefault="00000000" w:rsidRPr="00000000" w14:paraId="0000018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lawful bases is crucial for accurate record-keeping, demonstrating compliance, and ensuring transparency about the legal grounds for processing.</w:t>
      </w:r>
    </w:p>
    <w:p w:rsidR="00000000" w:rsidDel="00000000" w:rsidP="00000000" w:rsidRDefault="00000000" w:rsidRPr="00000000" w14:paraId="0000018E">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6 specifies the lawful bases for processing personal data (e.g., consent, contract, legal obligation, vital interests, public task, legitimate interests). Article 30(1)(c) requires the record to specify the ‘legal basis for the processing’. Unique IDs facilitate managing these bases.</w:t>
      </w:r>
    </w:p>
    <w:p w:rsidR="00000000" w:rsidDel="00000000" w:rsidP="00000000" w:rsidRDefault="00000000" w:rsidRPr="00000000" w14:paraId="0000018F">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6 and Article 30(1)(c) apply.</w:t>
      </w:r>
    </w:p>
    <w:p w:rsidR="00000000" w:rsidDel="00000000" w:rsidP="00000000" w:rsidRDefault="00000000" w:rsidRPr="00000000" w14:paraId="00000190">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7 lists the legal bases for processing personal data. Unique IDs facilitate managing these bases.</w:t>
      </w:r>
    </w:p>
    <w:p w:rsidR="00000000" w:rsidDel="00000000" w:rsidP="00000000" w:rsidRDefault="00000000" w:rsidRPr="00000000" w14:paraId="00000191">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lists the legal bases for processing personal information. Unique IDs facilitate managing these bases.</w:t>
      </w:r>
    </w:p>
    <w:p w:rsidR="00000000" w:rsidDel="00000000" w:rsidP="00000000" w:rsidRDefault="00000000" w:rsidRPr="00000000" w14:paraId="00000192">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4.3 requires organizations to identify the purposes for which personal information is collected. The legal basis for collection is implicitly linked to the purpose, and unique identification aids this.</w:t>
      </w:r>
    </w:p>
    <w:p w:rsidR="00000000" w:rsidDel="00000000" w:rsidP="00000000" w:rsidRDefault="00000000" w:rsidRPr="00000000" w14:paraId="00000193">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While not using the term ‘lawful basis’ explicitly, APPI requires personal information to be handled appropriately and within the scope necessary to achieve the purpose of utilization, which aligns with the concept of a legal basis. Unique IDs aid in tracking this.</w:t>
      </w:r>
    </w:p>
    <w:p w:rsidR="00000000" w:rsidDel="00000000" w:rsidP="00000000" w:rsidRDefault="00000000" w:rsidRPr="00000000" w14:paraId="00000194">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Sections 13-17 outline various bases for collection, use, and disclosure of personal data. Unique IDs aid in tracking this.</w:t>
      </w:r>
    </w:p>
    <w:p w:rsidR="00000000" w:rsidDel="00000000" w:rsidP="00000000" w:rsidRDefault="00000000" w:rsidRPr="00000000" w14:paraId="00000195">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implies a legal basis for processing. Unique IDs aid in tracking this.</w:t>
      </w:r>
    </w:p>
    <w:p w:rsidR="00000000" w:rsidDel="00000000" w:rsidP="00000000" w:rsidRDefault="00000000" w:rsidRPr="00000000" w14:paraId="0000019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97">
      <w:pPr>
        <w:numPr>
          <w:ilvl w:val="0"/>
          <w:numId w:val="1"/>
        </w:numPr>
        <w:ind w:left="720" w:hanging="360"/>
      </w:pPr>
      <w:r w:rsidDel="00000000" w:rsidR="00000000" w:rsidRPr="00000000">
        <w:rPr>
          <w:b w:val="1"/>
          <w:rtl w:val="0"/>
        </w:rPr>
        <w:t xml:space="preserve">basisType:</w:t>
      </w:r>
      <w:r w:rsidDel="00000000" w:rsidR="00000000" w:rsidRPr="00000000">
        <w:rPr>
          <w:rtl w:val="0"/>
        </w:rPr>
        <w:t xml:space="preserve"> The type of lawful basis (e.g., ‘Consent’, ‘Contract’, ‘Legal Obligation’, ‘Legitimate Interest’).</w:t>
      </w:r>
    </w:p>
    <w:p w:rsidR="00000000" w:rsidDel="00000000" w:rsidP="00000000" w:rsidRDefault="00000000" w:rsidRPr="00000000" w14:paraId="0000019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Explicitly stating the type of lawful basis is a direct requirement in many privacy laws, ensuring clarity and legal compliance.</w:t>
      </w:r>
    </w:p>
    <w:p w:rsidR="00000000" w:rsidDel="00000000" w:rsidP="00000000" w:rsidRDefault="00000000" w:rsidRPr="00000000" w14:paraId="00000199">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6 explicitly lists the types of lawful bases.</w:t>
      </w:r>
    </w:p>
    <w:p w:rsidR="00000000" w:rsidDel="00000000" w:rsidP="00000000" w:rsidRDefault="00000000" w:rsidRPr="00000000" w14:paraId="0000019A">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6 applies.</w:t>
      </w:r>
    </w:p>
    <w:p w:rsidR="00000000" w:rsidDel="00000000" w:rsidP="00000000" w:rsidRDefault="00000000" w:rsidRPr="00000000" w14:paraId="0000019B">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7 explicitly lists the types of legal bases.</w:t>
      </w:r>
    </w:p>
    <w:p w:rsidR="00000000" w:rsidDel="00000000" w:rsidP="00000000" w:rsidRDefault="00000000" w:rsidRPr="00000000" w14:paraId="0000019C">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13 explicitly lists the types of legal bases.</w:t>
      </w:r>
    </w:p>
    <w:p w:rsidR="00000000" w:rsidDel="00000000" w:rsidP="00000000" w:rsidRDefault="00000000" w:rsidRPr="00000000" w14:paraId="0000019D">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Sections 13-17 outline various bases for collection, use, and disclosure of personal data.</w:t>
      </w:r>
    </w:p>
    <w:p w:rsidR="00000000" w:rsidDel="00000000" w:rsidP="00000000" w:rsidRDefault="00000000" w:rsidRPr="00000000" w14:paraId="0000019E">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which implies a type of legal basis.</w:t>
      </w:r>
    </w:p>
    <w:p w:rsidR="00000000" w:rsidDel="00000000" w:rsidP="00000000" w:rsidRDefault="00000000" w:rsidRPr="00000000" w14:paraId="0000019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A0">
      <w:pPr>
        <w:numPr>
          <w:ilvl w:val="0"/>
          <w:numId w:val="1"/>
        </w:numPr>
        <w:ind w:left="720" w:hanging="360"/>
      </w:pPr>
      <w:r w:rsidDel="00000000" w:rsidR="00000000" w:rsidRPr="00000000">
        <w:rPr>
          <w:b w:val="1"/>
          <w:rtl w:val="0"/>
        </w:rPr>
        <w:t xml:space="preserve">basisDescription:</w:t>
      </w:r>
      <w:r w:rsidDel="00000000" w:rsidR="00000000" w:rsidRPr="00000000">
        <w:rPr>
          <w:rtl w:val="0"/>
        </w:rPr>
        <w:t xml:space="preserve"> A detailed description of the specific lawful basis, including any conditions or safeguards.</w:t>
      </w:r>
    </w:p>
    <w:p w:rsidR="00000000" w:rsidDel="00000000" w:rsidP="00000000" w:rsidRDefault="00000000" w:rsidRPr="00000000" w14:paraId="000001A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Detailed descriptions are necessary to demonstrate the validity and specific application of the chosen lawful basis, especially for complex bases like legitimate interest.</w:t>
      </w:r>
    </w:p>
    <w:p w:rsidR="00000000" w:rsidDel="00000000" w:rsidP="00000000" w:rsidRDefault="00000000" w:rsidRPr="00000000" w14:paraId="000001A2">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For legitimate interest, Recital 47 requires a balancing test. For consent, Article 7 outlines conditions. Detailed descriptions support these requirements.</w:t>
      </w:r>
    </w:p>
    <w:p w:rsidR="00000000" w:rsidDel="00000000" w:rsidP="00000000" w:rsidRDefault="00000000" w:rsidRPr="00000000" w14:paraId="000001A3">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these requirements apply.</w:t>
      </w:r>
    </w:p>
    <w:p w:rsidR="00000000" w:rsidDel="00000000" w:rsidP="00000000" w:rsidRDefault="00000000" w:rsidRPr="00000000" w14:paraId="000001A4">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For legitimate interest, Article 10 requires a balancing test. For consent, Article 8 outlines conditions. Detailed descriptions support these requirements.</w:t>
      </w:r>
    </w:p>
    <w:p w:rsidR="00000000" w:rsidDel="00000000" w:rsidP="00000000" w:rsidRDefault="00000000" w:rsidRPr="00000000" w14:paraId="000001A5">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14 outlines conditions for obtaining consent. Detailed descriptions support these requirements.</w:t>
      </w:r>
    </w:p>
    <w:p w:rsidR="00000000" w:rsidDel="00000000" w:rsidP="00000000" w:rsidRDefault="00000000" w:rsidRPr="00000000" w14:paraId="000001A6">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6 requires that personal data must be processed lawfully. Detailed descriptions support this.</w:t>
      </w:r>
    </w:p>
    <w:p w:rsidR="00000000" w:rsidDel="00000000" w:rsidP="00000000" w:rsidRDefault="00000000" w:rsidRPr="00000000" w14:paraId="000001A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A8">
      <w:pPr>
        <w:pStyle w:val="Heading3"/>
        <w:rPr/>
      </w:pPr>
      <w:bookmarkStart w:colFirst="0" w:colLast="0" w:name="_tyea6sonqmgl" w:id="23"/>
      <w:bookmarkEnd w:id="23"/>
      <w:r w:rsidDel="00000000" w:rsidR="00000000" w:rsidRPr="00000000">
        <w:rPr>
          <w:rtl w:val="0"/>
        </w:rPr>
        <w:t xml:space="preserve">Relationships of LawfulBasis:</w:t>
      </w:r>
    </w:p>
    <w:p w:rsidR="00000000" w:rsidDel="00000000" w:rsidP="00000000" w:rsidRDefault="00000000" w:rsidRPr="00000000" w14:paraId="000001A9">
      <w:pPr>
        <w:numPr>
          <w:ilvl w:val="0"/>
          <w:numId w:val="1"/>
        </w:numPr>
        <w:ind w:left="720" w:hanging="360"/>
      </w:pPr>
      <w:r w:rsidDel="00000000" w:rsidR="00000000" w:rsidRPr="00000000">
        <w:rPr>
          <w:b w:val="1"/>
          <w:rtl w:val="0"/>
        </w:rPr>
        <w:t xml:space="preserve">isBasedOn RegulatoryRequirement: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LawfulBasis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isBasedOn</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w:t>
      </w:r>
    </w:p>
    <w:p w:rsidR="00000000" w:rsidDel="00000000" w:rsidP="00000000" w:rsidRDefault="00000000" w:rsidRPr="00000000" w14:paraId="000001A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the legal grounds for processing to the specific regulatory provisions that establish them, ensuring traceability and compliance.</w:t>
      </w:r>
    </w:p>
    <w:p w:rsidR="00000000" w:rsidDel="00000000" w:rsidP="00000000" w:rsidRDefault="00000000" w:rsidRPr="00000000" w14:paraId="000001A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lawful basis must be based on at least one regulatory requirement)</w:t>
      </w:r>
    </w:p>
    <w:p w:rsidR="00000000" w:rsidDel="00000000" w:rsidP="00000000" w:rsidRDefault="00000000" w:rsidRPr="00000000" w14:paraId="000001AC">
      <w:pPr>
        <w:pStyle w:val="Heading2"/>
        <w:rPr/>
      </w:pPr>
      <w:bookmarkStart w:colFirst="0" w:colLast="0" w:name="_x6piyyrclora" w:id="24"/>
      <w:bookmarkEnd w:id="24"/>
      <w:r w:rsidDel="00000000" w:rsidR="00000000" w:rsidRPr="00000000">
        <w:rPr>
          <w:rtl w:val="0"/>
        </w:rPr>
        <w:t xml:space="preserve">9. ImpactAssessment Class</w:t>
      </w:r>
    </w:p>
    <w:p w:rsidR="00000000" w:rsidDel="00000000" w:rsidP="00000000" w:rsidRDefault="00000000" w:rsidRPr="00000000" w14:paraId="000001AD">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class represents a Data Protection Impact Assessment (DPIA) or similar privacy impact assessment.</w:t>
      </w:r>
    </w:p>
    <w:p w:rsidR="00000000" w:rsidDel="00000000" w:rsidP="00000000" w:rsidRDefault="00000000" w:rsidRPr="00000000" w14:paraId="000001AE">
      <w:pPr>
        <w:pStyle w:val="Heading3"/>
        <w:rPr/>
      </w:pPr>
      <w:bookmarkStart w:colFirst="0" w:colLast="0" w:name="_8kj0z2e9wo5h" w:id="25"/>
      <w:bookmarkEnd w:id="25"/>
      <w:r w:rsidDel="00000000" w:rsidR="00000000" w:rsidRPr="00000000">
        <w:rPr>
          <w:rtl w:val="0"/>
        </w:rPr>
        <w:t xml:space="preserve">Attributes of ImpactAssessment:</w:t>
      </w:r>
    </w:p>
    <w:p w:rsidR="00000000" w:rsidDel="00000000" w:rsidP="00000000" w:rsidRDefault="00000000" w:rsidRPr="00000000" w14:paraId="000001AF">
      <w:pPr>
        <w:numPr>
          <w:ilvl w:val="0"/>
          <w:numId w:val="1"/>
        </w:numPr>
        <w:ind w:left="720" w:hanging="360"/>
      </w:pPr>
      <w:r w:rsidDel="00000000" w:rsidR="00000000" w:rsidRPr="00000000">
        <w:rPr>
          <w:b w:val="1"/>
          <w:rtl w:val="0"/>
        </w:rPr>
        <w:t xml:space="preserve">impactAssessmentID:</w:t>
      </w:r>
      <w:r w:rsidDel="00000000" w:rsidR="00000000" w:rsidRPr="00000000">
        <w:rPr>
          <w:rtl w:val="0"/>
        </w:rPr>
        <w:t xml:space="preserve"> A unique identifier for the impact assessment.</w:t>
      </w:r>
    </w:p>
    <w:p w:rsidR="00000000" w:rsidDel="00000000" w:rsidP="00000000" w:rsidRDefault="00000000" w:rsidRPr="00000000" w14:paraId="000001B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impact assessments is crucial for managing risk, demonstrating compliance, and auditing purposes.</w:t>
      </w:r>
    </w:p>
    <w:p w:rsidR="00000000" w:rsidDel="00000000" w:rsidP="00000000" w:rsidRDefault="00000000" w:rsidRPr="00000000" w14:paraId="000001B1">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35 mandates DPIAs. Unique IDs facilitate managing these assessments.</w:t>
      </w:r>
    </w:p>
    <w:p w:rsidR="00000000" w:rsidDel="00000000" w:rsidP="00000000" w:rsidRDefault="00000000" w:rsidRPr="00000000" w14:paraId="000001B2">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35 applies.</w:t>
      </w:r>
    </w:p>
    <w:p w:rsidR="00000000" w:rsidDel="00000000" w:rsidP="00000000" w:rsidRDefault="00000000" w:rsidRPr="00000000" w14:paraId="000001B3">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Unique IDs facilitate managing these assessments.</w:t>
      </w:r>
    </w:p>
    <w:p w:rsidR="00000000" w:rsidDel="00000000" w:rsidP="00000000" w:rsidRDefault="00000000" w:rsidRPr="00000000" w14:paraId="000001B4">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Unique IDs facilitate managing these assessments.</w:t>
      </w:r>
    </w:p>
    <w:p w:rsidR="00000000" w:rsidDel="00000000" w:rsidP="00000000" w:rsidRDefault="00000000" w:rsidRPr="00000000" w14:paraId="000001B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B6">
      <w:pPr>
        <w:numPr>
          <w:ilvl w:val="0"/>
          <w:numId w:val="1"/>
        </w:numPr>
        <w:ind w:left="720" w:hanging="360"/>
      </w:pPr>
      <w:r w:rsidDel="00000000" w:rsidR="00000000" w:rsidRPr="00000000">
        <w:rPr>
          <w:b w:val="1"/>
          <w:rtl w:val="0"/>
        </w:rPr>
        <w:t xml:space="preserve">assessmentDate:</w:t>
      </w:r>
      <w:r w:rsidDel="00000000" w:rsidR="00000000" w:rsidRPr="00000000">
        <w:rPr>
          <w:rtl w:val="0"/>
        </w:rPr>
        <w:t xml:space="preserve"> The date the impact assessment was conducted.</w:t>
      </w:r>
    </w:p>
    <w:p w:rsidR="00000000" w:rsidDel="00000000" w:rsidP="00000000" w:rsidRDefault="00000000" w:rsidRPr="00000000" w14:paraId="000001B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the date of assessment is important for demonstrating timely compliance and for tracking the evolution of risk assessments.</w:t>
      </w:r>
    </w:p>
    <w:p w:rsidR="00000000" w:rsidDel="00000000" w:rsidP="00000000" w:rsidRDefault="00000000" w:rsidRPr="00000000" w14:paraId="000001B8">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While not explicitly stated as an attribute in Article 35, the ongoing nature of DPIAs implies the need for a date to track when assessments were performed or updated.</w:t>
      </w:r>
    </w:p>
    <w:p w:rsidR="00000000" w:rsidDel="00000000" w:rsidP="00000000" w:rsidRDefault="00000000" w:rsidRPr="00000000" w14:paraId="000001B9">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1BA">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to be conducted, implying a date of assessment.</w:t>
      </w:r>
    </w:p>
    <w:p w:rsidR="00000000" w:rsidDel="00000000" w:rsidP="00000000" w:rsidRDefault="00000000" w:rsidRPr="00000000" w14:paraId="000001BB">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to be prepared, implying a date of preparation.</w:t>
      </w:r>
    </w:p>
    <w:p w:rsidR="00000000" w:rsidDel="00000000" w:rsidP="00000000" w:rsidRDefault="00000000" w:rsidRPr="00000000" w14:paraId="000001B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BD">
      <w:pPr>
        <w:numPr>
          <w:ilvl w:val="0"/>
          <w:numId w:val="1"/>
        </w:numPr>
        <w:ind w:left="720" w:hanging="360"/>
      </w:pPr>
      <w:r w:rsidDel="00000000" w:rsidR="00000000" w:rsidRPr="00000000">
        <w:rPr>
          <w:b w:val="1"/>
          <w:rtl w:val="0"/>
        </w:rPr>
        <w:t xml:space="preserve">assessmentSummary:</w:t>
      </w:r>
      <w:r w:rsidDel="00000000" w:rsidR="00000000" w:rsidRPr="00000000">
        <w:rPr>
          <w:rtl w:val="0"/>
        </w:rPr>
        <w:t xml:space="preserve"> A summary of the impact assessment findings and recommendations.</w:t>
      </w:r>
    </w:p>
    <w:p w:rsidR="00000000" w:rsidDel="00000000" w:rsidP="00000000" w:rsidRDefault="00000000" w:rsidRPr="00000000" w14:paraId="000001B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Providing a summary allows for quick understanding of the assessment's outcome and key risk mitigation strategies.</w:t>
      </w:r>
    </w:p>
    <w:p w:rsidR="00000000" w:rsidDel="00000000" w:rsidP="00000000" w:rsidRDefault="00000000" w:rsidRPr="00000000" w14:paraId="000001BF">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35(7) outlines the minimum content of a DPIA, which includes measures envisaged to address the risks. A summary helps in presenting this information concisely.</w:t>
      </w:r>
    </w:p>
    <w:p w:rsidR="00000000" w:rsidDel="00000000" w:rsidP="00000000" w:rsidRDefault="00000000" w:rsidRPr="00000000" w14:paraId="000001C0">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35(7) applies.</w:t>
      </w:r>
    </w:p>
    <w:p w:rsidR="00000000" w:rsidDel="00000000" w:rsidP="00000000" w:rsidRDefault="00000000" w:rsidRPr="00000000" w14:paraId="000001C1">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to include the impact on individuals' rights and interests. A summary helps in presenting this.</w:t>
      </w:r>
    </w:p>
    <w:p w:rsidR="00000000" w:rsidDel="00000000" w:rsidP="00000000" w:rsidRDefault="00000000" w:rsidRPr="00000000" w14:paraId="000001C2">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to include measures, safeguards, and mechanisms to mitigate risk. A summary helps in presenting this.</w:t>
      </w:r>
    </w:p>
    <w:p w:rsidR="00000000" w:rsidDel="00000000" w:rsidP="00000000" w:rsidRDefault="00000000" w:rsidRPr="00000000" w14:paraId="000001C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C4">
      <w:pPr>
        <w:numPr>
          <w:ilvl w:val="0"/>
          <w:numId w:val="1"/>
        </w:numPr>
        <w:ind w:left="720" w:hanging="360"/>
      </w:pPr>
      <w:r w:rsidDel="00000000" w:rsidR="00000000" w:rsidRPr="00000000">
        <w:rPr>
          <w:b w:val="1"/>
          <w:rtl w:val="0"/>
        </w:rPr>
        <w:t xml:space="preserve">riskLevel:</w:t>
      </w:r>
      <w:r w:rsidDel="00000000" w:rsidR="00000000" w:rsidRPr="00000000">
        <w:rPr>
          <w:rtl w:val="0"/>
        </w:rPr>
        <w:t xml:space="preserve"> The determined risk level (e.g., ‘Low’, ‘Medium’, ‘High’).</w:t>
      </w:r>
    </w:p>
    <w:p w:rsidR="00000000" w:rsidDel="00000000" w:rsidP="00000000" w:rsidRDefault="00000000" w:rsidRPr="00000000" w14:paraId="000001C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Categorizing the risk level helps in prioritizing mitigation efforts and demonstrating a risk-based approach to data protection.</w:t>
      </w:r>
    </w:p>
    <w:p w:rsidR="00000000" w:rsidDel="00000000" w:rsidP="00000000" w:rsidRDefault="00000000" w:rsidRPr="00000000" w14:paraId="000001C6">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35 mandates DPIAs for processing ‘likely to result in a high risk’. Identifying the risk level is central to this.</w:t>
      </w:r>
    </w:p>
    <w:p w:rsidR="00000000" w:rsidDel="00000000" w:rsidP="00000000" w:rsidRDefault="00000000" w:rsidRPr="00000000" w14:paraId="000001C7">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35 applies.</w:t>
      </w:r>
    </w:p>
    <w:p w:rsidR="00000000" w:rsidDel="00000000" w:rsidP="00000000" w:rsidRDefault="00000000" w:rsidRPr="00000000" w14:paraId="000001C8">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to be conducted, implying an assessment of risk level.</w:t>
      </w:r>
    </w:p>
    <w:p w:rsidR="00000000" w:rsidDel="00000000" w:rsidP="00000000" w:rsidRDefault="00000000" w:rsidRPr="00000000" w14:paraId="000001C9">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when processing may entail ‘high risk’. Identifying the risk level is central to this.</w:t>
      </w:r>
    </w:p>
    <w:p w:rsidR="00000000" w:rsidDel="00000000" w:rsidP="00000000" w:rsidRDefault="00000000" w:rsidRPr="00000000" w14:paraId="000001C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CB">
      <w:pPr>
        <w:pStyle w:val="Heading3"/>
        <w:rPr/>
      </w:pPr>
      <w:bookmarkStart w:colFirst="0" w:colLast="0" w:name="_crwscvf38qxc" w:id="26"/>
      <w:bookmarkEnd w:id="26"/>
      <w:r w:rsidDel="00000000" w:rsidR="00000000" w:rsidRPr="00000000">
        <w:rPr>
          <w:rtl w:val="0"/>
        </w:rPr>
        <w:t xml:space="preserve">Relationships of ImpactAssessment:</w:t>
      </w:r>
    </w:p>
    <w:p w:rsidR="00000000" w:rsidDel="00000000" w:rsidP="00000000" w:rsidRDefault="00000000" w:rsidRPr="00000000" w14:paraId="000001CC">
      <w:pPr>
        <w:numPr>
          <w:ilvl w:val="0"/>
          <w:numId w:val="1"/>
        </w:numPr>
        <w:ind w:left="720" w:hanging="360"/>
      </w:pPr>
      <w:r w:rsidDel="00000000" w:rsidR="00000000" w:rsidRPr="00000000">
        <w:rPr>
          <w:b w:val="1"/>
          <w:rtl w:val="0"/>
        </w:rPr>
        <w:t xml:space="preserve">mitigates Risk:</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mitigates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w:t>
      </w:r>
    </w:p>
    <w:p w:rsidR="00000000" w:rsidDel="00000000" w:rsidP="00000000" w:rsidRDefault="00000000" w:rsidRPr="00000000" w14:paraId="000001C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explicitly links impact assessments to the risks they are designed to identify and mitigate, demonstrating effective risk management.</w:t>
      </w:r>
    </w:p>
    <w:p w:rsidR="00000000" w:rsidDel="00000000" w:rsidP="00000000" w:rsidRDefault="00000000" w:rsidRPr="00000000" w14:paraId="000001C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impact assessment must mitigate at least one risk)</w:t>
      </w:r>
    </w:p>
    <w:p w:rsidR="00000000" w:rsidDel="00000000" w:rsidP="00000000" w:rsidRDefault="00000000" w:rsidRPr="00000000" w14:paraId="000001CF">
      <w:pPr>
        <w:pStyle w:val="Heading2"/>
        <w:rPr/>
      </w:pPr>
      <w:bookmarkStart w:colFirst="0" w:colLast="0" w:name="_1mggfx6xj3tw" w:id="27"/>
      <w:bookmarkEnd w:id="27"/>
      <w:r w:rsidDel="00000000" w:rsidR="00000000" w:rsidRPr="00000000">
        <w:rPr>
          <w:rtl w:val="0"/>
        </w:rPr>
        <w:t xml:space="preserve">10. RegulatoryRequirement Class</w:t>
      </w:r>
    </w:p>
    <w:p w:rsidR="00000000" w:rsidDel="00000000" w:rsidP="00000000" w:rsidRDefault="00000000" w:rsidRPr="00000000" w14:paraId="000001D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class represents specific legal obligations or provisions from privacy laws.</w:t>
      </w:r>
    </w:p>
    <w:p w:rsidR="00000000" w:rsidDel="00000000" w:rsidP="00000000" w:rsidRDefault="00000000" w:rsidRPr="00000000" w14:paraId="000001D1">
      <w:pPr>
        <w:pStyle w:val="Heading3"/>
        <w:rPr/>
      </w:pPr>
      <w:bookmarkStart w:colFirst="0" w:colLast="0" w:name="_frayepjxtc0d" w:id="28"/>
      <w:bookmarkEnd w:id="28"/>
      <w:r w:rsidDel="00000000" w:rsidR="00000000" w:rsidRPr="00000000">
        <w:rPr>
          <w:rtl w:val="0"/>
        </w:rPr>
        <w:t xml:space="preserve">Attributes of RegulatoryRequirement:</w:t>
      </w:r>
    </w:p>
    <w:p w:rsidR="00000000" w:rsidDel="00000000" w:rsidP="00000000" w:rsidRDefault="00000000" w:rsidRPr="00000000" w14:paraId="000001D2">
      <w:pPr>
        <w:numPr>
          <w:ilvl w:val="0"/>
          <w:numId w:val="1"/>
        </w:numPr>
        <w:ind w:left="720" w:hanging="360"/>
      </w:pPr>
      <w:r w:rsidDel="00000000" w:rsidR="00000000" w:rsidRPr="00000000">
        <w:rPr>
          <w:b w:val="1"/>
          <w:rtl w:val="0"/>
        </w:rPr>
        <w:t xml:space="preserve">requirementID:</w:t>
      </w:r>
      <w:r w:rsidDel="00000000" w:rsidR="00000000" w:rsidRPr="00000000">
        <w:rPr>
          <w:rtl w:val="0"/>
        </w:rPr>
        <w:t xml:space="preserve"> A unique identifier for the regulatory requirement.</w:t>
      </w:r>
    </w:p>
    <w:p w:rsidR="00000000" w:rsidDel="00000000" w:rsidP="00000000" w:rsidRDefault="00000000" w:rsidRPr="00000000" w14:paraId="000001D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regulatory requirements is essential for precise compliance mapping, auditing, and demonstrating adherence to specific legal provisions.</w:t>
      </w:r>
    </w:p>
    <w:p w:rsidR="00000000" w:rsidDel="00000000" w:rsidP="00000000" w:rsidRDefault="00000000" w:rsidRPr="00000000" w14:paraId="000001D4">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Each article and recital represents a specific requirement. Unique IDs facilitate tracking these.</w:t>
      </w:r>
    </w:p>
    <w:p w:rsidR="00000000" w:rsidDel="00000000" w:rsidP="00000000" w:rsidRDefault="00000000" w:rsidRPr="00000000" w14:paraId="000001D5">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1D6">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All privacy laws consist of specific articles, sections, or principles that constitute regulatory requirements. Unique identification allows for granular mapping and demonstration of compliance.</w:t>
      </w:r>
    </w:p>
    <w:p w:rsidR="00000000" w:rsidDel="00000000" w:rsidP="00000000" w:rsidRDefault="00000000" w:rsidRPr="00000000" w14:paraId="000001D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D8">
      <w:pPr>
        <w:numPr>
          <w:ilvl w:val="0"/>
          <w:numId w:val="1"/>
        </w:numPr>
        <w:ind w:left="720" w:hanging="360"/>
      </w:pPr>
      <w:r w:rsidDel="00000000" w:rsidR="00000000" w:rsidRPr="00000000">
        <w:rPr>
          <w:b w:val="1"/>
          <w:rtl w:val="0"/>
        </w:rPr>
        <w:t xml:space="preserve">requirementName:</w:t>
      </w:r>
      <w:r w:rsidDel="00000000" w:rsidR="00000000" w:rsidRPr="00000000">
        <w:rPr>
          <w:rtl w:val="0"/>
        </w:rPr>
        <w:t xml:space="preserve"> A human-readable name or summary of the regulatory requirement (e.g., ‘Right to be forgotten’, ‘Data minimization’).</w:t>
      </w:r>
    </w:p>
    <w:p w:rsidR="00000000" w:rsidDel="00000000" w:rsidP="00000000" w:rsidRDefault="00000000" w:rsidRPr="00000000" w14:paraId="000001D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Clear naming of regulatory requirements aids in understanding, communication, and mapping to internal policies and controls.</w:t>
      </w:r>
    </w:p>
    <w:p w:rsidR="00000000" w:rsidDel="00000000" w:rsidP="00000000" w:rsidRDefault="00000000" w:rsidRPr="00000000" w14:paraId="000001DA">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Principles like ‘data minimization’ (Article 5(1)(c)) and rights like ‘right to erasure’ (Article 17) are commonly referred to by name.</w:t>
      </w:r>
    </w:p>
    <w:p w:rsidR="00000000" w:rsidDel="00000000" w:rsidP="00000000" w:rsidRDefault="00000000" w:rsidRPr="00000000" w14:paraId="000001DB">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1DC">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All privacy laws have key principles, rights, and obligations that are often referred to by descriptive names.</w:t>
      </w:r>
    </w:p>
    <w:p w:rsidR="00000000" w:rsidDel="00000000" w:rsidP="00000000" w:rsidRDefault="00000000" w:rsidRPr="00000000" w14:paraId="000001D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DE">
      <w:pPr>
        <w:numPr>
          <w:ilvl w:val="0"/>
          <w:numId w:val="1"/>
        </w:numPr>
        <w:ind w:left="720" w:hanging="360"/>
      </w:pPr>
      <w:r w:rsidDel="00000000" w:rsidR="00000000" w:rsidRPr="00000000">
        <w:rPr>
          <w:b w:val="1"/>
          <w:rtl w:val="0"/>
        </w:rPr>
        <w:t xml:space="preserve">legalReference:</w:t>
      </w:r>
      <w:r w:rsidDel="00000000" w:rsidR="00000000" w:rsidRPr="00000000">
        <w:rPr>
          <w:rtl w:val="0"/>
        </w:rPr>
        <w:t xml:space="preserve"> The specific article, section, or principle from the privacy law (e.g., ‘GDPR Article 17’, ‘CCPA Section 1798.105’).</w:t>
      </w:r>
    </w:p>
    <w:p w:rsidR="00000000" w:rsidDel="00000000" w:rsidP="00000000" w:rsidRDefault="00000000" w:rsidRPr="00000000" w14:paraId="000001D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Providing the exact legal reference is critical for traceability, legal accuracy, and demonstrating direct compliance with the source regulation.</w:t>
      </w:r>
    </w:p>
    <w:p w:rsidR="00000000" w:rsidDel="00000000" w:rsidP="00000000" w:rsidRDefault="00000000" w:rsidRPr="00000000" w14:paraId="000001E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Direct citation of articles is fundamental for legal compliance.</w:t>
      </w:r>
    </w:p>
    <w:p w:rsidR="00000000" w:rsidDel="00000000" w:rsidP="00000000" w:rsidRDefault="00000000" w:rsidRPr="00000000" w14:paraId="000001E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direct citation applies.</w:t>
      </w:r>
    </w:p>
    <w:p w:rsidR="00000000" w:rsidDel="00000000" w:rsidP="00000000" w:rsidRDefault="00000000" w:rsidRPr="00000000" w14:paraId="000001E2">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Precise legal references are essential for all privacy laws to ensure accurate interpretation and application of the requirements.</w:t>
      </w:r>
    </w:p>
    <w:p w:rsidR="00000000" w:rsidDel="00000000" w:rsidP="00000000" w:rsidRDefault="00000000" w:rsidRPr="00000000" w14:paraId="000001E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E4">
      <w:pPr>
        <w:numPr>
          <w:ilvl w:val="0"/>
          <w:numId w:val="1"/>
        </w:numPr>
        <w:ind w:left="720" w:hanging="360"/>
      </w:pPr>
      <w:r w:rsidDel="00000000" w:rsidR="00000000" w:rsidRPr="00000000">
        <w:rPr>
          <w:b w:val="1"/>
          <w:rtl w:val="0"/>
        </w:rPr>
        <w:t xml:space="preserve">jurisdiction:</w:t>
      </w:r>
      <w:r w:rsidDel="00000000" w:rsidR="00000000" w:rsidRPr="00000000">
        <w:rPr>
          <w:rtl w:val="0"/>
        </w:rPr>
        <w:t xml:space="preserve"> The jurisdiction(s) to which the regulatory requirement applies (e.g., ‘EU’, ‘California’, ‘Brazil’).</w:t>
      </w:r>
    </w:p>
    <w:p w:rsidR="00000000" w:rsidDel="00000000" w:rsidP="00000000" w:rsidRDefault="00000000" w:rsidRPr="00000000" w14:paraId="000001E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jurisdiction is crucial for determining the applicability of a regulatory requirement, especially in a global context.</w:t>
      </w:r>
    </w:p>
    <w:p w:rsidR="00000000" w:rsidDel="00000000" w:rsidP="00000000" w:rsidRDefault="00000000" w:rsidRPr="00000000" w14:paraId="000001E6">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Applies to the EU and EEA.</w:t>
      </w:r>
    </w:p>
    <w:p w:rsidR="00000000" w:rsidDel="00000000" w:rsidP="00000000" w:rsidRDefault="00000000" w:rsidRPr="00000000" w14:paraId="000001E7">
      <w:pPr>
        <w:numPr>
          <w:ilvl w:val="2"/>
          <w:numId w:val="1"/>
        </w:numPr>
        <w:ind w:left="2160" w:hanging="360"/>
      </w:pPr>
      <w:r w:rsidDel="00000000" w:rsidR="00000000" w:rsidRPr="00000000">
        <w:rPr>
          <w:b w:val="1"/>
          <w:rtl w:val="0"/>
        </w:rPr>
        <w:t xml:space="preserve">CCPA (California Consumer Privacy Act - US):</w:t>
      </w:r>
      <w:r w:rsidDel="00000000" w:rsidR="00000000" w:rsidRPr="00000000">
        <w:rPr>
          <w:rtl w:val="0"/>
        </w:rPr>
        <w:t xml:space="preserve"> Applies to California.</w:t>
      </w:r>
    </w:p>
    <w:p w:rsidR="00000000" w:rsidDel="00000000" w:rsidP="00000000" w:rsidRDefault="00000000" w:rsidRPr="00000000" w14:paraId="000001E8">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Applies to Brazil.</w:t>
      </w:r>
    </w:p>
    <w:p w:rsidR="00000000" w:rsidDel="00000000" w:rsidP="00000000" w:rsidRDefault="00000000" w:rsidRPr="00000000" w14:paraId="000001E9">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Applies to Mainland China.</w:t>
      </w:r>
    </w:p>
    <w:p w:rsidR="00000000" w:rsidDel="00000000" w:rsidP="00000000" w:rsidRDefault="00000000" w:rsidRPr="00000000" w14:paraId="000001EA">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Applies to Switzerland.</w:t>
      </w:r>
    </w:p>
    <w:p w:rsidR="00000000" w:rsidDel="00000000" w:rsidP="00000000" w:rsidRDefault="00000000" w:rsidRPr="00000000" w14:paraId="000001EB">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Applies to Canada.</w:t>
      </w:r>
    </w:p>
    <w:p w:rsidR="00000000" w:rsidDel="00000000" w:rsidP="00000000" w:rsidRDefault="00000000" w:rsidRPr="00000000" w14:paraId="000001EC">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Applies to Japan.</w:t>
      </w:r>
    </w:p>
    <w:p w:rsidR="00000000" w:rsidDel="00000000" w:rsidP="00000000" w:rsidRDefault="00000000" w:rsidRPr="00000000" w14:paraId="000001ED">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Applies to Singapore.</w:t>
      </w:r>
    </w:p>
    <w:p w:rsidR="00000000" w:rsidDel="00000000" w:rsidP="00000000" w:rsidRDefault="00000000" w:rsidRPr="00000000" w14:paraId="000001EE">
      <w:pPr>
        <w:numPr>
          <w:ilvl w:val="2"/>
          <w:numId w:val="1"/>
        </w:numPr>
        <w:ind w:left="2160" w:hanging="360"/>
      </w:pPr>
      <w:r w:rsidDel="00000000" w:rsidR="00000000" w:rsidRPr="00000000">
        <w:rPr>
          <w:b w:val="1"/>
          <w:rtl w:val="0"/>
        </w:rPr>
        <w:t xml:space="preserve">POPIA (Protection of Personal Information Act - South Africa):</w:t>
      </w:r>
      <w:r w:rsidDel="00000000" w:rsidR="00000000" w:rsidRPr="00000000">
        <w:rPr>
          <w:rtl w:val="0"/>
        </w:rPr>
        <w:t xml:space="preserve"> Applies to South Africa.</w:t>
      </w:r>
    </w:p>
    <w:p w:rsidR="00000000" w:rsidDel="00000000" w:rsidP="00000000" w:rsidRDefault="00000000" w:rsidRPr="00000000" w14:paraId="000001EF">
      <w:pPr>
        <w:numPr>
          <w:ilvl w:val="2"/>
          <w:numId w:val="1"/>
        </w:numPr>
        <w:ind w:left="2160" w:hanging="360"/>
      </w:pPr>
      <w:r w:rsidDel="00000000" w:rsidR="00000000" w:rsidRPr="00000000">
        <w:rPr>
          <w:b w:val="1"/>
          <w:rtl w:val="0"/>
        </w:rPr>
        <w:t xml:space="preserve">Other Laws:</w:t>
      </w:r>
      <w:r w:rsidDel="00000000" w:rsidR="00000000" w:rsidRPr="00000000">
        <w:rPr>
          <w:rtl w:val="0"/>
        </w:rPr>
        <w:t xml:space="preserve"> Each privacy law has a specific geographical or territorial scope.</w:t>
      </w:r>
    </w:p>
    <w:p w:rsidR="00000000" w:rsidDel="00000000" w:rsidP="00000000" w:rsidRDefault="00000000" w:rsidRPr="00000000" w14:paraId="000001F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requirement can apply to multiple jurisdictions)</w:t>
      </w:r>
    </w:p>
    <w:p w:rsidR="00000000" w:rsidDel="00000000" w:rsidP="00000000" w:rsidRDefault="00000000" w:rsidRPr="00000000" w14:paraId="000001F1">
      <w:pPr>
        <w:pStyle w:val="Heading3"/>
        <w:rPr/>
      </w:pPr>
      <w:bookmarkStart w:colFirst="0" w:colLast="0" w:name="_ji2jm694czng" w:id="29"/>
      <w:bookmarkEnd w:id="29"/>
      <w:r w:rsidDel="00000000" w:rsidR="00000000" w:rsidRPr="00000000">
        <w:rPr>
          <w:rtl w:val="0"/>
        </w:rPr>
        <w:t xml:space="preserve">Relationships of RegulatoryRequirement:</w:t>
      </w:r>
    </w:p>
    <w:p w:rsidR="00000000" w:rsidDel="00000000" w:rsidP="00000000" w:rsidRDefault="00000000" w:rsidRPr="00000000" w14:paraId="000001F2">
      <w:pPr>
        <w:numPr>
          <w:ilvl w:val="0"/>
          <w:numId w:val="1"/>
        </w:numPr>
        <w:ind w:left="720" w:hanging="360"/>
      </w:pPr>
      <w:r w:rsidDel="00000000" w:rsidR="00000000" w:rsidRPr="00000000">
        <w:rPr>
          <w:b w:val="1"/>
          <w:rtl w:val="0"/>
        </w:rPr>
        <w:t xml:space="preserve">governs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governs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1F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explicitly links regulatory provisions to the processing activities they regulate, ensuring that all activities are conducted in compliance with applicable laws.</w:t>
      </w:r>
    </w:p>
    <w:p w:rsidR="00000000" w:rsidDel="00000000" w:rsidP="00000000" w:rsidRDefault="00000000" w:rsidRPr="00000000" w14:paraId="000001F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regulatory requirement must govern at least one processing activity)</w:t>
      </w:r>
    </w:p>
    <w:p w:rsidR="00000000" w:rsidDel="00000000" w:rsidP="00000000" w:rsidRDefault="00000000" w:rsidRPr="00000000" w14:paraId="000001F5">
      <w:pPr>
        <w:pStyle w:val="Heading2"/>
        <w:rPr/>
      </w:pPr>
      <w:bookmarkStart w:colFirst="0" w:colLast="0" w:name="_8495lltvcmv1" w:id="30"/>
      <w:bookmarkEnd w:id="30"/>
      <w:r w:rsidDel="00000000" w:rsidR="00000000" w:rsidRPr="00000000">
        <w:rPr>
          <w:rtl w:val="0"/>
        </w:rPr>
        <w:t xml:space="preserve">11. Application Class</w:t>
      </w:r>
    </w:p>
    <w:p w:rsidR="00000000" w:rsidDel="00000000" w:rsidP="00000000" w:rsidRDefault="00000000" w:rsidRPr="00000000" w14:paraId="000001F6">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class represents software applications or systems used in data processing.</w:t>
      </w:r>
    </w:p>
    <w:p w:rsidR="00000000" w:rsidDel="00000000" w:rsidP="00000000" w:rsidRDefault="00000000" w:rsidRPr="00000000" w14:paraId="000001F7">
      <w:pPr>
        <w:pStyle w:val="Heading3"/>
        <w:rPr/>
      </w:pPr>
      <w:bookmarkStart w:colFirst="0" w:colLast="0" w:name="_s0l1yrj355oj" w:id="31"/>
      <w:bookmarkEnd w:id="31"/>
      <w:r w:rsidDel="00000000" w:rsidR="00000000" w:rsidRPr="00000000">
        <w:rPr>
          <w:rtl w:val="0"/>
        </w:rPr>
        <w:t xml:space="preserve">Attributes of Application:</w:t>
      </w:r>
    </w:p>
    <w:p w:rsidR="00000000" w:rsidDel="00000000" w:rsidP="00000000" w:rsidRDefault="00000000" w:rsidRPr="00000000" w14:paraId="000001F8">
      <w:pPr>
        <w:numPr>
          <w:ilvl w:val="0"/>
          <w:numId w:val="1"/>
        </w:numPr>
        <w:ind w:left="720" w:hanging="360"/>
      </w:pPr>
      <w:r w:rsidDel="00000000" w:rsidR="00000000" w:rsidRPr="00000000">
        <w:rPr>
          <w:b w:val="1"/>
          <w:rtl w:val="0"/>
        </w:rPr>
        <w:t xml:space="preserve">applicationID:</w:t>
      </w:r>
      <w:r w:rsidDel="00000000" w:rsidR="00000000" w:rsidRPr="00000000">
        <w:rPr>
          <w:rtl w:val="0"/>
        </w:rPr>
        <w:t xml:space="preserve"> A unique identifier for the application.</w:t>
      </w:r>
    </w:p>
    <w:p w:rsidR="00000000" w:rsidDel="00000000" w:rsidP="00000000" w:rsidRDefault="00000000" w:rsidRPr="00000000" w14:paraId="000001F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applications is crucial for IT asset management, security assessments, and demonstrating compliance with technical and organizational measures.</w:t>
      </w:r>
    </w:p>
    <w:p w:rsidR="00000000" w:rsidDel="00000000" w:rsidP="00000000" w:rsidRDefault="00000000" w:rsidRPr="00000000" w14:paraId="000001FA">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(Security of processing) requires appropriate technical and organizational measures. Identifying applications is part of these technical measures.</w:t>
      </w:r>
    </w:p>
    <w:p w:rsidR="00000000" w:rsidDel="00000000" w:rsidP="00000000" w:rsidRDefault="00000000" w:rsidRPr="00000000" w14:paraId="000001FB">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32 applies.</w:t>
      </w:r>
    </w:p>
    <w:p w:rsidR="00000000" w:rsidDel="00000000" w:rsidP="00000000" w:rsidRDefault="00000000" w:rsidRPr="00000000" w14:paraId="000001FC">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adopt corresponding technical measures to ensure the security of personal information. Applications are a primary technical measure.</w:t>
      </w:r>
    </w:p>
    <w:p w:rsidR="00000000" w:rsidDel="00000000" w:rsidP="00000000" w:rsidRDefault="00000000" w:rsidRPr="00000000" w14:paraId="000001FD">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46 requires security measures to protect personal data. This includes measures implemented within applications.</w:t>
      </w:r>
    </w:p>
    <w:p w:rsidR="00000000" w:rsidDel="00000000" w:rsidP="00000000" w:rsidRDefault="00000000" w:rsidRPr="00000000" w14:paraId="000001FE">
      <w:pPr>
        <w:numPr>
          <w:ilvl w:val="2"/>
          <w:numId w:val="1"/>
        </w:numPr>
        <w:ind w:left="2160" w:hanging="360"/>
      </w:pPr>
      <w:r w:rsidDel="00000000" w:rsidR="00000000" w:rsidRPr="00000000">
        <w:rPr>
          <w:b w:val="1"/>
          <w:rtl w:val="0"/>
        </w:rPr>
        <w:t xml:space="preserve">PIPEDA (Personal Information Protection and Electronic Documents Act - Canada):</w:t>
      </w:r>
      <w:r w:rsidDel="00000000" w:rsidR="00000000" w:rsidRPr="00000000">
        <w:rPr>
          <w:rtl w:val="0"/>
        </w:rPr>
        <w:t xml:space="preserve"> Principle 4.7 states that personal information shall be protected by security safeguards appropriate to the sensitivity of the information. This extends to the applications handling the data.</w:t>
      </w:r>
    </w:p>
    <w:p w:rsidR="00000000" w:rsidDel="00000000" w:rsidP="00000000" w:rsidRDefault="00000000" w:rsidRPr="00000000" w14:paraId="000001FF">
      <w:pPr>
        <w:numPr>
          <w:ilvl w:val="2"/>
          <w:numId w:val="1"/>
        </w:numPr>
        <w:ind w:left="2160" w:hanging="360"/>
      </w:pPr>
      <w:r w:rsidDel="00000000" w:rsidR="00000000" w:rsidRPr="00000000">
        <w:rPr>
          <w:b w:val="1"/>
          <w:rtl w:val="0"/>
        </w:rPr>
        <w:t xml:space="preserve">APPI (Act on the Protection of Personal Information - Japan):</w:t>
      </w:r>
      <w:r w:rsidDel="00000000" w:rsidR="00000000" w:rsidRPr="00000000">
        <w:rPr>
          <w:rtl w:val="0"/>
        </w:rPr>
        <w:t xml:space="preserve"> Article 29 requires personal information handling business operators to endeavor to take necessary and appropriate measures for the secure management of personal data, which includes managing the applications used.</w:t>
      </w:r>
    </w:p>
    <w:p w:rsidR="00000000" w:rsidDel="00000000" w:rsidP="00000000" w:rsidRDefault="00000000" w:rsidRPr="00000000" w14:paraId="00000200">
      <w:pPr>
        <w:numPr>
          <w:ilvl w:val="2"/>
          <w:numId w:val="1"/>
        </w:numPr>
        <w:ind w:left="2160" w:hanging="360"/>
      </w:pPr>
      <w:r w:rsidDel="00000000" w:rsidR="00000000" w:rsidRPr="00000000">
        <w:rPr>
          <w:b w:val="1"/>
          <w:rtl w:val="0"/>
        </w:rPr>
        <w:t xml:space="preserve">PDPA (Personal Data Protection Act - Singapore):</w:t>
      </w:r>
      <w:r w:rsidDel="00000000" w:rsidR="00000000" w:rsidRPr="00000000">
        <w:rPr>
          <w:rtl w:val="0"/>
        </w:rPr>
        <w:t xml:space="preserve"> Section 24 requires organizations to protect personal data in their possession or under their control by making reasonable security arrangements to prevent unauthorised access, collection, use, disclosure, copying, modification, disposal or similar risks. Applications are key to implementing these arrangements.</w:t>
      </w:r>
    </w:p>
    <w:p w:rsidR="00000000" w:rsidDel="00000000" w:rsidP="00000000" w:rsidRDefault="00000000" w:rsidRPr="00000000" w14:paraId="00000201">
      <w:pPr>
        <w:numPr>
          <w:ilvl w:val="2"/>
          <w:numId w:val="1"/>
        </w:numPr>
        <w:ind w:left="2160" w:hanging="360"/>
      </w:pPr>
      <w:r w:rsidDel="00000000" w:rsidR="00000000" w:rsidRPr="00000000">
        <w:rPr>
          <w:b w:val="1"/>
          <w:rtl w:val="0"/>
        </w:rPr>
        <w:t xml:space="preserve">Federal Act on Data Protection (FADP - Switzerland):</w:t>
      </w:r>
      <w:r w:rsidDel="00000000" w:rsidR="00000000" w:rsidRPr="00000000">
        <w:rPr>
          <w:rtl w:val="0"/>
        </w:rPr>
        <w:t xml:space="preserve"> Article 8 requires that personal data must be protected against unauthorized processing through appropriate technical and organizational measures. Applications are part of these technical measures.</w:t>
      </w:r>
    </w:p>
    <w:p w:rsidR="00000000" w:rsidDel="00000000" w:rsidP="00000000" w:rsidRDefault="00000000" w:rsidRPr="00000000" w14:paraId="0000020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03">
      <w:pPr>
        <w:numPr>
          <w:ilvl w:val="0"/>
          <w:numId w:val="1"/>
        </w:numPr>
        <w:ind w:left="720" w:hanging="360"/>
      </w:pPr>
      <w:r w:rsidDel="00000000" w:rsidR="00000000" w:rsidRPr="00000000">
        <w:rPr>
          <w:b w:val="1"/>
          <w:rtl w:val="0"/>
        </w:rPr>
        <w:t xml:space="preserve">applicationName:</w:t>
      </w:r>
      <w:r w:rsidDel="00000000" w:rsidR="00000000" w:rsidRPr="00000000">
        <w:rPr>
          <w:rtl w:val="0"/>
        </w:rPr>
        <w:t xml:space="preserve"> The name of the application.</w:t>
      </w:r>
    </w:p>
    <w:p w:rsidR="00000000" w:rsidDel="00000000" w:rsidP="00000000" w:rsidRDefault="00000000" w:rsidRPr="00000000" w14:paraId="0000020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human-readable name for the application aids in clarity, documentation, and communication within the organization.</w:t>
      </w:r>
    </w:p>
    <w:p w:rsidR="00000000" w:rsidDel="00000000" w:rsidP="00000000" w:rsidRDefault="00000000" w:rsidRPr="00000000" w14:paraId="00000205">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While not explicitly stated, clear identification of systems used for processing supports the accountability principle.</w:t>
      </w:r>
    </w:p>
    <w:p w:rsidR="00000000" w:rsidDel="00000000" w:rsidP="00000000" w:rsidRDefault="00000000" w:rsidRPr="00000000" w14:paraId="00000206">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07">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Clear naming of IT assets is a best practice for information security and data governance, which are implicitly supported by all privacy laws.</w:t>
      </w:r>
    </w:p>
    <w:p w:rsidR="00000000" w:rsidDel="00000000" w:rsidP="00000000" w:rsidRDefault="00000000" w:rsidRPr="00000000" w14:paraId="0000020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09">
      <w:pPr>
        <w:numPr>
          <w:ilvl w:val="0"/>
          <w:numId w:val="1"/>
        </w:numPr>
        <w:ind w:left="720" w:hanging="360"/>
      </w:pPr>
      <w:r w:rsidDel="00000000" w:rsidR="00000000" w:rsidRPr="00000000">
        <w:rPr>
          <w:b w:val="1"/>
          <w:rtl w:val="0"/>
        </w:rPr>
        <w:t xml:space="preserve">applicationType:</w:t>
      </w:r>
      <w:r w:rsidDel="00000000" w:rsidR="00000000" w:rsidRPr="00000000">
        <w:rPr>
          <w:rtl w:val="0"/>
        </w:rPr>
        <w:t xml:space="preserve"> The type of application (e.g., ‘CRM’, ‘HR System’, ‘Marketing Platform’).</w:t>
      </w:r>
    </w:p>
    <w:p w:rsidR="00000000" w:rsidDel="00000000" w:rsidP="00000000" w:rsidRDefault="00000000" w:rsidRPr="00000000" w14:paraId="0000020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Categorizing applications by type helps in understanding their function, the kind of data they typically process, and their relevance to data protection compliance.</w:t>
      </w:r>
    </w:p>
    <w:p w:rsidR="00000000" w:rsidDel="00000000" w:rsidP="00000000" w:rsidRDefault="00000000" w:rsidRPr="00000000" w14:paraId="0000020B">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Understanding the nature and scope of processing (Article 30) can be aided by categorizing the applications involved.</w:t>
      </w:r>
    </w:p>
    <w:p w:rsidR="00000000" w:rsidDel="00000000" w:rsidP="00000000" w:rsidRDefault="00000000" w:rsidRPr="00000000" w14:paraId="0000020C">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0D">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Categorization of systems is a common practice in IT governance and risk management, supporting the broader objectives of data protection.</w:t>
      </w:r>
    </w:p>
    <w:p w:rsidR="00000000" w:rsidDel="00000000" w:rsidP="00000000" w:rsidRDefault="00000000" w:rsidRPr="00000000" w14:paraId="0000020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0F">
      <w:pPr>
        <w:numPr>
          <w:ilvl w:val="0"/>
          <w:numId w:val="1"/>
        </w:numPr>
        <w:ind w:left="720" w:hanging="360"/>
      </w:pPr>
      <w:r w:rsidDel="00000000" w:rsidR="00000000" w:rsidRPr="00000000">
        <w:rPr>
          <w:b w:val="1"/>
          <w:rtl w:val="0"/>
        </w:rPr>
        <w:t xml:space="preserve">vendor:</w:t>
      </w:r>
      <w:r w:rsidDel="00000000" w:rsidR="00000000" w:rsidRPr="00000000">
        <w:rPr>
          <w:rtl w:val="0"/>
        </w:rPr>
        <w:t xml:space="preserve"> The vendor of the application (if applicable).</w:t>
      </w:r>
    </w:p>
    <w:p w:rsidR="00000000" w:rsidDel="00000000" w:rsidP="00000000" w:rsidRDefault="00000000" w:rsidRPr="00000000" w14:paraId="0000021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third-party vendors is crucial for managing processor relationships, conducting due diligence, and ensuring data processing agreements are in place.</w:t>
      </w:r>
    </w:p>
    <w:p w:rsidR="00000000" w:rsidDel="00000000" w:rsidP="00000000" w:rsidRDefault="00000000" w:rsidRPr="00000000" w14:paraId="00000211">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28 governs processor relationships, requiring contracts with specific clauses. Identifying the vendor is the first step.</w:t>
      </w:r>
    </w:p>
    <w:p w:rsidR="00000000" w:rsidDel="00000000" w:rsidP="00000000" w:rsidRDefault="00000000" w:rsidRPr="00000000" w14:paraId="00000212">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Article 28 applies.</w:t>
      </w:r>
    </w:p>
    <w:p w:rsidR="00000000" w:rsidDel="00000000" w:rsidP="00000000" w:rsidRDefault="00000000" w:rsidRPr="00000000" w14:paraId="0000021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39 requires contracts with processors.</w:t>
      </w:r>
    </w:p>
    <w:p w:rsidR="00000000" w:rsidDel="00000000" w:rsidP="00000000" w:rsidRDefault="00000000" w:rsidRPr="00000000" w14:paraId="00000214">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21 requires personal information handlers to enter into agreements with entrusted parties.</w:t>
      </w:r>
    </w:p>
    <w:p w:rsidR="00000000" w:rsidDel="00000000" w:rsidP="00000000" w:rsidRDefault="00000000" w:rsidRPr="00000000" w14:paraId="00000215">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Most privacy laws have provisions for data sharing with third parties, necessitating identification of vendors.</w:t>
      </w:r>
    </w:p>
    <w:p w:rsidR="00000000" w:rsidDel="00000000" w:rsidP="00000000" w:rsidRDefault="00000000" w:rsidRPr="00000000" w14:paraId="0000021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17">
      <w:pPr>
        <w:pStyle w:val="Heading3"/>
        <w:rPr/>
      </w:pPr>
      <w:bookmarkStart w:colFirst="0" w:colLast="0" w:name="_uxniyhph8qsh" w:id="32"/>
      <w:bookmarkEnd w:id="32"/>
      <w:r w:rsidDel="00000000" w:rsidR="00000000" w:rsidRPr="00000000">
        <w:rPr>
          <w:rtl w:val="0"/>
        </w:rPr>
        <w:t xml:space="preserve">Relationships of Application:</w:t>
      </w:r>
    </w:p>
    <w:p w:rsidR="00000000" w:rsidDel="00000000" w:rsidP="00000000" w:rsidRDefault="00000000" w:rsidRPr="00000000" w14:paraId="00000218">
      <w:pPr>
        <w:numPr>
          <w:ilvl w:val="0"/>
          <w:numId w:val="1"/>
        </w:numPr>
        <w:ind w:left="720" w:hanging="360"/>
      </w:pPr>
      <w:r w:rsidDel="00000000" w:rsidR="00000000" w:rsidRPr="00000000">
        <w:rPr>
          <w:b w:val="1"/>
          <w:rtl w:val="0"/>
        </w:rPr>
        <w:t xml:space="preserve">processes DataCategory:</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processes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w:t>
      </w:r>
    </w:p>
    <w:p w:rsidR="00000000" w:rsidDel="00000000" w:rsidP="00000000" w:rsidRDefault="00000000" w:rsidRPr="00000000" w14:paraId="0000021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explicitly links applications to the types of personal data they handle, which is essential for data mapping, risk assessment, and demonstrating data minimization.</w:t>
      </w:r>
    </w:p>
    <w:p w:rsidR="00000000" w:rsidDel="00000000" w:rsidP="00000000" w:rsidRDefault="00000000" w:rsidRPr="00000000" w14:paraId="0000021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application must process at least one data category)</w:t>
      </w:r>
    </w:p>
    <w:p w:rsidR="00000000" w:rsidDel="00000000" w:rsidP="00000000" w:rsidRDefault="00000000" w:rsidRPr="00000000" w14:paraId="0000021B">
      <w:pPr>
        <w:pStyle w:val="Heading2"/>
        <w:rPr/>
      </w:pPr>
      <w:bookmarkStart w:colFirst="0" w:colLast="0" w:name="_1youywq1h80" w:id="33"/>
      <w:bookmarkEnd w:id="33"/>
      <w:r w:rsidDel="00000000" w:rsidR="00000000" w:rsidRPr="00000000">
        <w:rPr>
          <w:rtl w:val="0"/>
        </w:rPr>
        <w:t xml:space="preserve">12. Risk Class</w:t>
      </w:r>
    </w:p>
    <w:p w:rsidR="00000000" w:rsidDel="00000000" w:rsidP="00000000" w:rsidRDefault="00000000" w:rsidRPr="00000000" w14:paraId="0000021C">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class represents potential risks to data subjects' rights and freedoms.</w:t>
      </w:r>
    </w:p>
    <w:p w:rsidR="00000000" w:rsidDel="00000000" w:rsidP="00000000" w:rsidRDefault="00000000" w:rsidRPr="00000000" w14:paraId="0000021D">
      <w:pPr>
        <w:pStyle w:val="Heading3"/>
        <w:rPr/>
      </w:pPr>
      <w:bookmarkStart w:colFirst="0" w:colLast="0" w:name="_b1w053bmllsh" w:id="34"/>
      <w:bookmarkEnd w:id="34"/>
      <w:r w:rsidDel="00000000" w:rsidR="00000000" w:rsidRPr="00000000">
        <w:rPr>
          <w:rtl w:val="0"/>
        </w:rPr>
        <w:t xml:space="preserve">Attributes of Risk:</w:t>
      </w:r>
    </w:p>
    <w:p w:rsidR="00000000" w:rsidDel="00000000" w:rsidP="00000000" w:rsidRDefault="00000000" w:rsidRPr="00000000" w14:paraId="0000021E">
      <w:pPr>
        <w:numPr>
          <w:ilvl w:val="0"/>
          <w:numId w:val="1"/>
        </w:numPr>
        <w:ind w:left="720" w:hanging="360"/>
      </w:pPr>
      <w:r w:rsidDel="00000000" w:rsidR="00000000" w:rsidRPr="00000000">
        <w:rPr>
          <w:b w:val="1"/>
          <w:rtl w:val="0"/>
        </w:rPr>
        <w:t xml:space="preserve">riskID:</w:t>
      </w:r>
      <w:r w:rsidDel="00000000" w:rsidR="00000000" w:rsidRPr="00000000">
        <w:rPr>
          <w:rtl w:val="0"/>
        </w:rPr>
        <w:t xml:space="preserve"> A unique identifier for the risk.</w:t>
      </w:r>
    </w:p>
    <w:p w:rsidR="00000000" w:rsidDel="00000000" w:rsidP="00000000" w:rsidRDefault="00000000" w:rsidRPr="00000000" w14:paraId="0000021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risks is crucial for effective risk management, tracking mitigation efforts, and demonstrating accountability.</w:t>
      </w:r>
    </w:p>
    <w:p w:rsidR="00000000" w:rsidDel="00000000" w:rsidP="00000000" w:rsidRDefault="00000000" w:rsidRPr="00000000" w14:paraId="00000220">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(Security of processing) and Article 35 (DPIA) focus on managing risks to data subjects. Unique IDs facilitate tracking these risks.</w:t>
      </w:r>
    </w:p>
    <w:p w:rsidR="00000000" w:rsidDel="00000000" w:rsidP="00000000" w:rsidRDefault="00000000" w:rsidRPr="00000000" w14:paraId="00000221">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22">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Unique IDs facilitate tracking these risks.</w:t>
      </w:r>
    </w:p>
    <w:p w:rsidR="00000000" w:rsidDel="00000000" w:rsidP="00000000" w:rsidRDefault="00000000" w:rsidRPr="00000000" w14:paraId="00000223">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when processing may entail high risk. Unique IDs facilitate tracking these risks.</w:t>
      </w:r>
    </w:p>
    <w:p w:rsidR="00000000" w:rsidDel="00000000" w:rsidP="00000000" w:rsidRDefault="00000000" w:rsidRPr="00000000" w14:paraId="0000022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25">
      <w:pPr>
        <w:numPr>
          <w:ilvl w:val="0"/>
          <w:numId w:val="1"/>
        </w:numPr>
        <w:ind w:left="720" w:hanging="360"/>
      </w:pPr>
      <w:r w:rsidDel="00000000" w:rsidR="00000000" w:rsidRPr="00000000">
        <w:rPr>
          <w:b w:val="1"/>
          <w:rtl w:val="0"/>
        </w:rPr>
        <w:t xml:space="preserve">riskDescription:</w:t>
      </w:r>
      <w:r w:rsidDel="00000000" w:rsidR="00000000" w:rsidRPr="00000000">
        <w:rPr>
          <w:rtl w:val="0"/>
        </w:rPr>
        <w:t xml:space="preserve"> A detailed description of the risk.</w:t>
      </w:r>
    </w:p>
    <w:p w:rsidR="00000000" w:rsidDel="00000000" w:rsidP="00000000" w:rsidRDefault="00000000" w:rsidRPr="00000000" w14:paraId="0000022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clear and detailed description of the risk is essential for understanding its nature, potential impact, and for developing effective mitigation strategies.</w:t>
      </w:r>
    </w:p>
    <w:p w:rsidR="00000000" w:rsidDel="00000000" w:rsidP="00000000" w:rsidRDefault="00000000" w:rsidRPr="00000000" w14:paraId="00000227">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requires controllers to implement measures to address risks. A clear description of the risk is a prerequisite.</w:t>
      </w:r>
    </w:p>
    <w:p w:rsidR="00000000" w:rsidDel="00000000" w:rsidP="00000000" w:rsidRDefault="00000000" w:rsidRPr="00000000" w14:paraId="00000228">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29">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to include the impact on individuals' rights and interests. A detailed description helps in this.</w:t>
      </w:r>
    </w:p>
    <w:p w:rsidR="00000000" w:rsidDel="00000000" w:rsidP="00000000" w:rsidRDefault="00000000" w:rsidRPr="00000000" w14:paraId="0000022A">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to include measures, safeguards, and mechanisms to mitigate risk. A detailed description of the risk is necessary for this.</w:t>
      </w:r>
    </w:p>
    <w:p w:rsidR="00000000" w:rsidDel="00000000" w:rsidP="00000000" w:rsidRDefault="00000000" w:rsidRPr="00000000" w14:paraId="0000022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2C">
      <w:pPr>
        <w:numPr>
          <w:ilvl w:val="0"/>
          <w:numId w:val="1"/>
        </w:numPr>
        <w:ind w:left="720" w:hanging="360"/>
      </w:pPr>
      <w:r w:rsidDel="00000000" w:rsidR="00000000" w:rsidRPr="00000000">
        <w:rPr>
          <w:b w:val="1"/>
          <w:rtl w:val="0"/>
        </w:rPr>
        <w:t xml:space="preserve">likelihood:</w:t>
      </w:r>
      <w:r w:rsidDel="00000000" w:rsidR="00000000" w:rsidRPr="00000000">
        <w:rPr>
          <w:rtl w:val="0"/>
        </w:rPr>
        <w:t xml:space="preserve"> The likelihood of the risk occurring (e.g., ‘Low’, ‘Medium’, ‘High’).</w:t>
      </w:r>
    </w:p>
    <w:p w:rsidR="00000000" w:rsidDel="00000000" w:rsidP="00000000" w:rsidRDefault="00000000" w:rsidRPr="00000000" w14:paraId="0000022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Assessing the likelihood of a risk is a standard component of risk management frameworks and is implicitly required for effective risk mitigation.</w:t>
      </w:r>
    </w:p>
    <w:p w:rsidR="00000000" w:rsidDel="00000000" w:rsidP="00000000" w:rsidRDefault="00000000" w:rsidRPr="00000000" w14:paraId="0000022E">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requires a level of security appropriate to the risk, taking into account the likelihood and severity. Article 35 mandates DPIAs for processing ‘likely to result in a high risk’.</w:t>
      </w:r>
    </w:p>
    <w:p w:rsidR="00000000" w:rsidDel="00000000" w:rsidP="00000000" w:rsidRDefault="00000000" w:rsidRPr="00000000" w14:paraId="0000022F">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30">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Risk assessment methodologies universally include likelihood as a factor.</w:t>
      </w:r>
    </w:p>
    <w:p w:rsidR="00000000" w:rsidDel="00000000" w:rsidP="00000000" w:rsidRDefault="00000000" w:rsidRPr="00000000" w14:paraId="0000023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32">
      <w:pPr>
        <w:numPr>
          <w:ilvl w:val="0"/>
          <w:numId w:val="1"/>
        </w:numPr>
        <w:ind w:left="720" w:hanging="360"/>
      </w:pPr>
      <w:r w:rsidDel="00000000" w:rsidR="00000000" w:rsidRPr="00000000">
        <w:rPr>
          <w:b w:val="1"/>
          <w:rtl w:val="0"/>
        </w:rPr>
        <w:t xml:space="preserve">impact:</w:t>
      </w:r>
      <w:r w:rsidDel="00000000" w:rsidR="00000000" w:rsidRPr="00000000">
        <w:rPr>
          <w:rtl w:val="0"/>
        </w:rPr>
        <w:t xml:space="preserve"> The potential impact of the risk on data subjects (e.g., ‘Financial Loss’, ‘Reputational Damage’, ‘Discrimination’).</w:t>
      </w:r>
    </w:p>
    <w:p w:rsidR="00000000" w:rsidDel="00000000" w:rsidP="00000000" w:rsidRDefault="00000000" w:rsidRPr="00000000" w14:paraId="0000023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Assessing the impact on data subjects is a core requirement for understanding the severity of a risk and for prioritizing mitigation efforts.</w:t>
      </w:r>
    </w:p>
    <w:p w:rsidR="00000000" w:rsidDel="00000000" w:rsidP="00000000" w:rsidRDefault="00000000" w:rsidRPr="00000000" w14:paraId="00000234">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32 requires a level of security appropriate to the risk, taking into account the likelihood and severity. Article 35 mandates DPIAs for processing ‘likely to result in a high risk to the rights and freedoms of natural persons’.</w:t>
      </w:r>
    </w:p>
    <w:p w:rsidR="00000000" w:rsidDel="00000000" w:rsidP="00000000" w:rsidRDefault="00000000" w:rsidRPr="00000000" w14:paraId="00000235">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36">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55 requires risk assessments to include the impact on individuals' rights and interests. A detailed description helps in this.</w:t>
      </w:r>
    </w:p>
    <w:p w:rsidR="00000000" w:rsidDel="00000000" w:rsidP="00000000" w:rsidRDefault="00000000" w:rsidRPr="00000000" w14:paraId="00000237">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38 requires DPIAs when processing may entail high risk to the fundamental rights and freedoms of data subjects.</w:t>
      </w:r>
    </w:p>
    <w:p w:rsidR="00000000" w:rsidDel="00000000" w:rsidP="00000000" w:rsidRDefault="00000000" w:rsidRPr="00000000" w14:paraId="00000238">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The focus of privacy laws is to protect data subjects, making impact assessment on them critical.</w:t>
      </w:r>
    </w:p>
    <w:p w:rsidR="00000000" w:rsidDel="00000000" w:rsidP="00000000" w:rsidRDefault="00000000" w:rsidRPr="00000000" w14:paraId="0000023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3A">
      <w:pPr>
        <w:pStyle w:val="Heading3"/>
        <w:rPr/>
      </w:pPr>
      <w:bookmarkStart w:colFirst="0" w:colLast="0" w:name="_1rn1ea9aupnx" w:id="35"/>
      <w:bookmarkEnd w:id="35"/>
      <w:r w:rsidDel="00000000" w:rsidR="00000000" w:rsidRPr="00000000">
        <w:rPr>
          <w:rtl w:val="0"/>
        </w:rPr>
        <w:t xml:space="preserve">Relationships of Risk:</w:t>
      </w:r>
    </w:p>
    <w:p w:rsidR="00000000" w:rsidDel="00000000" w:rsidP="00000000" w:rsidRDefault="00000000" w:rsidRPr="00000000" w14:paraId="0000023B">
      <w:pPr>
        <w:numPr>
          <w:ilvl w:val="0"/>
          <w:numId w:val="1"/>
        </w:numPr>
        <w:ind w:left="720" w:hanging="360"/>
      </w:pPr>
      <w:r w:rsidDel="00000000" w:rsidR="00000000" w:rsidRPr="00000000">
        <w:rPr>
          <w:b w:val="1"/>
          <w:rtl w:val="0"/>
        </w:rPr>
        <w:t xml:space="preserve">isAssociatedWith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isAssociatedWith</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23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risks to the specific processing activities that give rise to them, enabling targeted risk management.</w:t>
      </w:r>
    </w:p>
    <w:p w:rsidR="00000000" w:rsidDel="00000000" w:rsidP="00000000" w:rsidRDefault="00000000" w:rsidRPr="00000000" w14:paraId="0000023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risk must be associated with at least one processing activity)</w:t>
      </w:r>
    </w:p>
    <w:p w:rsidR="00000000" w:rsidDel="00000000" w:rsidP="00000000" w:rsidRDefault="00000000" w:rsidRPr="00000000" w14:paraId="0000023E">
      <w:pPr>
        <w:pStyle w:val="Heading2"/>
        <w:rPr/>
      </w:pPr>
      <w:bookmarkStart w:colFirst="0" w:colLast="0" w:name="_kug3pqhsxv9g" w:id="36"/>
      <w:bookmarkEnd w:id="36"/>
      <w:r w:rsidDel="00000000" w:rsidR="00000000" w:rsidRPr="00000000">
        <w:rPr>
          <w:rtl w:val="0"/>
        </w:rPr>
        <w:t xml:space="preserve">13. Country Class</w:t>
      </w:r>
    </w:p>
    <w:p w:rsidR="00000000" w:rsidDel="00000000" w:rsidP="00000000" w:rsidRDefault="00000000" w:rsidRPr="00000000" w14:paraId="0000023F">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class represents the geographical location relevant to data processing, particularly for data transfers and jurisdictional applicability of laws.</w:t>
      </w:r>
    </w:p>
    <w:p w:rsidR="00000000" w:rsidDel="00000000" w:rsidP="00000000" w:rsidRDefault="00000000" w:rsidRPr="00000000" w14:paraId="00000240">
      <w:pPr>
        <w:pStyle w:val="Heading3"/>
        <w:rPr/>
      </w:pPr>
      <w:bookmarkStart w:colFirst="0" w:colLast="0" w:name="_k6w8kpgupjp8" w:id="37"/>
      <w:bookmarkEnd w:id="37"/>
      <w:r w:rsidDel="00000000" w:rsidR="00000000" w:rsidRPr="00000000">
        <w:rPr>
          <w:rtl w:val="0"/>
        </w:rPr>
        <w:t xml:space="preserve">Attributes of Country:</w:t>
      </w:r>
    </w:p>
    <w:p w:rsidR="00000000" w:rsidDel="00000000" w:rsidP="00000000" w:rsidRDefault="00000000" w:rsidRPr="00000000" w14:paraId="00000241">
      <w:pPr>
        <w:numPr>
          <w:ilvl w:val="0"/>
          <w:numId w:val="1"/>
        </w:numPr>
        <w:ind w:left="720" w:hanging="360"/>
      </w:pPr>
      <w:r w:rsidDel="00000000" w:rsidR="00000000" w:rsidRPr="00000000">
        <w:rPr>
          <w:b w:val="1"/>
          <w:rtl w:val="0"/>
        </w:rPr>
        <w:t xml:space="preserve">ISO-3Code:</w:t>
      </w:r>
      <w:r w:rsidDel="00000000" w:rsidR="00000000" w:rsidRPr="00000000">
        <w:rPr>
          <w:rtl w:val="0"/>
        </w:rPr>
        <w:t xml:space="preserve"> The ISO 3166-1 alpha-3 code for the country.</w:t>
      </w:r>
    </w:p>
    <w:p w:rsidR="00000000" w:rsidDel="00000000" w:rsidP="00000000" w:rsidRDefault="00000000" w:rsidRPr="00000000" w14:paraId="0000024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standardized, unambiguous identifier for countries, crucial for international data transfers and regulatory mapping.</w:t>
      </w:r>
    </w:p>
    <w:p w:rsidR="00000000" w:rsidDel="00000000" w:rsidP="00000000" w:rsidRDefault="00000000" w:rsidRPr="00000000" w14:paraId="00000243">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Chapter V (Transfers of personal data to third countries or international organisations) relies on clear identification of countries for adequacy decisions and appropriate safeguards.</w:t>
      </w:r>
    </w:p>
    <w:p w:rsidR="00000000" w:rsidDel="00000000" w:rsidP="00000000" w:rsidRDefault="00000000" w:rsidRPr="00000000" w14:paraId="00000244">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Chapter V applies.</w:t>
      </w:r>
    </w:p>
    <w:p w:rsidR="00000000" w:rsidDel="00000000" w:rsidP="00000000" w:rsidRDefault="00000000" w:rsidRPr="00000000" w14:paraId="00000245">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Chapter V (International Transfer of Personal Data) requires specific conditions for international transfers, necessitating clear country identification.</w:t>
      </w:r>
    </w:p>
    <w:p w:rsidR="00000000" w:rsidDel="00000000" w:rsidP="00000000" w:rsidRDefault="00000000" w:rsidRPr="00000000" w14:paraId="00000246">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Chapter III (Rules for Cross-border Provision of Personal Information) requires specific conditions for cross-border transfers, necessitating clear country identification.</w:t>
      </w:r>
    </w:p>
    <w:p w:rsidR="00000000" w:rsidDel="00000000" w:rsidP="00000000" w:rsidRDefault="00000000" w:rsidRPr="00000000" w14:paraId="00000247">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International data transfer provisions in almost all privacy laws depend on the ability to identify the origin and destination countries of data.</w:t>
      </w:r>
    </w:p>
    <w:p w:rsidR="00000000" w:rsidDel="00000000" w:rsidP="00000000" w:rsidRDefault="00000000" w:rsidRPr="00000000" w14:paraId="0000024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49">
      <w:pPr>
        <w:numPr>
          <w:ilvl w:val="0"/>
          <w:numId w:val="1"/>
        </w:numPr>
        <w:ind w:left="720" w:hanging="360"/>
      </w:pPr>
      <w:r w:rsidDel="00000000" w:rsidR="00000000" w:rsidRPr="00000000">
        <w:rPr>
          <w:b w:val="1"/>
          <w:rtl w:val="0"/>
        </w:rPr>
        <w:t xml:space="preserve">CountryName:</w:t>
      </w:r>
      <w:r w:rsidDel="00000000" w:rsidR="00000000" w:rsidRPr="00000000">
        <w:rPr>
          <w:rtl w:val="0"/>
        </w:rPr>
        <w:t xml:space="preserve"> The full name of the country.</w:t>
      </w:r>
    </w:p>
    <w:p w:rsidR="00000000" w:rsidDel="00000000" w:rsidP="00000000" w:rsidRDefault="00000000" w:rsidRPr="00000000" w14:paraId="0000024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 and ease of use in documentation and communication.</w:t>
      </w:r>
    </w:p>
    <w:p w:rsidR="00000000" w:rsidDel="00000000" w:rsidP="00000000" w:rsidRDefault="00000000" w:rsidRPr="00000000" w14:paraId="0000024B">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While ISO codes are for technical precision, human-readable names are essential for general understanding and reporting.</w:t>
      </w:r>
    </w:p>
    <w:p w:rsidR="00000000" w:rsidDel="00000000" w:rsidP="00000000" w:rsidRDefault="00000000" w:rsidRPr="00000000" w14:paraId="0000024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4D">
      <w:pPr>
        <w:pStyle w:val="Heading3"/>
        <w:rPr/>
      </w:pPr>
      <w:bookmarkStart w:colFirst="0" w:colLast="0" w:name="_xzgzo3mnrzws" w:id="38"/>
      <w:bookmarkEnd w:id="38"/>
      <w:r w:rsidDel="00000000" w:rsidR="00000000" w:rsidRPr="00000000">
        <w:rPr>
          <w:rtl w:val="0"/>
        </w:rPr>
        <w:t xml:space="preserve">Relationships of Country:</w:t>
      </w:r>
    </w:p>
    <w:p w:rsidR="00000000" w:rsidDel="00000000" w:rsidP="00000000" w:rsidRDefault="00000000" w:rsidRPr="00000000" w14:paraId="0000024E">
      <w:pPr>
        <w:numPr>
          <w:ilvl w:val="0"/>
          <w:numId w:val="1"/>
        </w:numPr>
        <w:ind w:left="720" w:hanging="360"/>
      </w:pPr>
      <w:r w:rsidDel="00000000" w:rsidR="00000000" w:rsidRPr="00000000">
        <w:rPr>
          <w:b w:val="1"/>
          <w:rtl w:val="0"/>
        </w:rPr>
        <w:t xml:space="preserve">contributesTo BusinessContext: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contributesTo</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24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indicates the geographical location of a business context, which is vital for determining applicable local laws.</w:t>
      </w:r>
    </w:p>
    <w:p w:rsidR="00000000" w:rsidDel="00000000" w:rsidP="00000000" w:rsidRDefault="00000000" w:rsidRPr="00000000" w14:paraId="0000025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a business context operates within a specific country)</w:t>
      </w:r>
    </w:p>
    <w:p w:rsidR="00000000" w:rsidDel="00000000" w:rsidP="00000000" w:rsidRDefault="00000000" w:rsidRPr="00000000" w14:paraId="00000251">
      <w:pPr>
        <w:pStyle w:val="Heading2"/>
        <w:rPr/>
      </w:pPr>
      <w:bookmarkStart w:colFirst="0" w:colLast="0" w:name="_fzxkwwkzorjx" w:id="39"/>
      <w:bookmarkEnd w:id="39"/>
      <w:r w:rsidDel="00000000" w:rsidR="00000000" w:rsidRPr="00000000">
        <w:rPr>
          <w:rtl w:val="0"/>
        </w:rPr>
        <w:t xml:space="preserve">14. DataTransfer Class</w:t>
      </w:r>
    </w:p>
    <w:p w:rsidR="00000000" w:rsidDel="00000000" w:rsidP="00000000" w:rsidRDefault="00000000" w:rsidRPr="00000000" w14:paraId="0000025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DataTransfer</w:t>
      </w:r>
      <w:r w:rsidDel="00000000" w:rsidR="00000000" w:rsidRPr="00000000">
        <w:rPr>
          <w:rtl w:val="0"/>
        </w:rPr>
        <w:t xml:space="preserve"> class represents the transfer of personal data from one jurisdiction to another.</w:t>
      </w:r>
    </w:p>
    <w:p w:rsidR="00000000" w:rsidDel="00000000" w:rsidP="00000000" w:rsidRDefault="00000000" w:rsidRPr="00000000" w14:paraId="00000253">
      <w:pPr>
        <w:pStyle w:val="Heading3"/>
        <w:rPr/>
      </w:pPr>
      <w:bookmarkStart w:colFirst="0" w:colLast="0" w:name="_katlsfb72l8k" w:id="40"/>
      <w:bookmarkEnd w:id="40"/>
      <w:r w:rsidDel="00000000" w:rsidR="00000000" w:rsidRPr="00000000">
        <w:rPr>
          <w:rtl w:val="0"/>
        </w:rPr>
        <w:t xml:space="preserve">Attributes of DataTransfer:</w:t>
      </w:r>
    </w:p>
    <w:p w:rsidR="00000000" w:rsidDel="00000000" w:rsidP="00000000" w:rsidRDefault="00000000" w:rsidRPr="00000000" w14:paraId="00000254">
      <w:pPr>
        <w:numPr>
          <w:ilvl w:val="0"/>
          <w:numId w:val="1"/>
        </w:numPr>
        <w:ind w:left="720" w:hanging="360"/>
      </w:pPr>
      <w:r w:rsidDel="00000000" w:rsidR="00000000" w:rsidRPr="00000000">
        <w:rPr>
          <w:b w:val="1"/>
          <w:rtl w:val="0"/>
        </w:rPr>
        <w:t xml:space="preserve">transferID:</w:t>
      </w:r>
      <w:r w:rsidDel="00000000" w:rsidR="00000000" w:rsidRPr="00000000">
        <w:rPr>
          <w:rtl w:val="0"/>
        </w:rPr>
        <w:t xml:space="preserve"> A unique identifier for the data transfer.</w:t>
      </w:r>
    </w:p>
    <w:p w:rsidR="00000000" w:rsidDel="00000000" w:rsidP="00000000" w:rsidRDefault="00000000" w:rsidRPr="00000000" w14:paraId="0000025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data transfers is crucial for tracking, auditing, and demonstrating compliance with cross-border data transfer regulations.</w:t>
      </w:r>
    </w:p>
    <w:p w:rsidR="00000000" w:rsidDel="00000000" w:rsidP="00000000" w:rsidRDefault="00000000" w:rsidRPr="00000000" w14:paraId="00000256">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Chapter V regulates international data transfers. Unique IDs facilitate tracking these transfers.</w:t>
      </w:r>
    </w:p>
    <w:p w:rsidR="00000000" w:rsidDel="00000000" w:rsidP="00000000" w:rsidRDefault="00000000" w:rsidRPr="00000000" w14:paraId="00000257">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Chapter V applies.</w:t>
      </w:r>
    </w:p>
    <w:p w:rsidR="00000000" w:rsidDel="00000000" w:rsidP="00000000" w:rsidRDefault="00000000" w:rsidRPr="00000000" w14:paraId="00000258">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Chapter V (International Transfer of Personal Data) regulates international transfers. Unique IDs facilitate tracking these transfers.</w:t>
      </w:r>
    </w:p>
    <w:p w:rsidR="00000000" w:rsidDel="00000000" w:rsidP="00000000" w:rsidRDefault="00000000" w:rsidRPr="00000000" w14:paraId="00000259">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Chapter III (Rules for Cross-border Provision of Personal Information) regulates cross-border transfers. Unique IDs facilitate tracking these transfers.</w:t>
      </w:r>
    </w:p>
    <w:p w:rsidR="00000000" w:rsidDel="00000000" w:rsidP="00000000" w:rsidRDefault="00000000" w:rsidRPr="00000000" w14:paraId="0000025A">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Most privacy laws have specific provisions for international data transfers, necessitating unique identification for compliance and accountability.</w:t>
      </w:r>
    </w:p>
    <w:p w:rsidR="00000000" w:rsidDel="00000000" w:rsidP="00000000" w:rsidRDefault="00000000" w:rsidRPr="00000000" w14:paraId="0000025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5C">
      <w:pPr>
        <w:numPr>
          <w:ilvl w:val="0"/>
          <w:numId w:val="1"/>
        </w:numPr>
        <w:ind w:left="720" w:hanging="360"/>
      </w:pPr>
      <w:r w:rsidDel="00000000" w:rsidR="00000000" w:rsidRPr="00000000">
        <w:rPr>
          <w:b w:val="1"/>
          <w:rtl w:val="0"/>
        </w:rPr>
        <w:t xml:space="preserve">transferPurpose:</w:t>
      </w:r>
      <w:r w:rsidDel="00000000" w:rsidR="00000000" w:rsidRPr="00000000">
        <w:rPr>
          <w:rtl w:val="0"/>
        </w:rPr>
        <w:t xml:space="preserve"> The purpose of the data transfer.</w:t>
      </w:r>
    </w:p>
    <w:p w:rsidR="00000000" w:rsidDel="00000000" w:rsidP="00000000" w:rsidRDefault="00000000" w:rsidRPr="00000000" w14:paraId="0000025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purpose of the transfer must be legitimate and aligned with the original purpose of collection, supporting the purpose limitation principle.</w:t>
      </w:r>
    </w:p>
    <w:p w:rsidR="00000000" w:rsidDel="00000000" w:rsidP="00000000" w:rsidRDefault="00000000" w:rsidRPr="00000000" w14:paraId="0000025E">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Transfers must be for a specific purpose and compatible with the original purpose of collection.</w:t>
      </w:r>
    </w:p>
    <w:p w:rsidR="00000000" w:rsidDel="00000000" w:rsidP="00000000" w:rsidRDefault="00000000" w:rsidRPr="00000000" w14:paraId="0000025F">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this applies.</w:t>
      </w:r>
    </w:p>
    <w:p w:rsidR="00000000" w:rsidDel="00000000" w:rsidP="00000000" w:rsidRDefault="00000000" w:rsidRPr="00000000" w14:paraId="00000260">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6 (I - Purpose) applies to transfers as well.</w:t>
      </w:r>
    </w:p>
    <w:p w:rsidR="00000000" w:rsidDel="00000000" w:rsidP="00000000" w:rsidRDefault="00000000" w:rsidRPr="00000000" w14:paraId="00000261">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38 requires cross-border transfers to be necessary for the purpose.</w:t>
      </w:r>
    </w:p>
    <w:p w:rsidR="00000000" w:rsidDel="00000000" w:rsidP="00000000" w:rsidRDefault="00000000" w:rsidRPr="00000000" w14:paraId="00000262">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Purpose limitation is a universal principle that extends to data transfers.</w:t>
      </w:r>
    </w:p>
    <w:p w:rsidR="00000000" w:rsidDel="00000000" w:rsidP="00000000" w:rsidRDefault="00000000" w:rsidRPr="00000000" w14:paraId="0000026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64">
      <w:pPr>
        <w:numPr>
          <w:ilvl w:val="0"/>
          <w:numId w:val="1"/>
        </w:numPr>
        <w:ind w:left="720" w:hanging="360"/>
      </w:pPr>
      <w:r w:rsidDel="00000000" w:rsidR="00000000" w:rsidRPr="00000000">
        <w:rPr>
          <w:b w:val="1"/>
          <w:rtl w:val="0"/>
        </w:rPr>
        <w:t xml:space="preserve">transferMechanism:</w:t>
      </w:r>
      <w:r w:rsidDel="00000000" w:rsidR="00000000" w:rsidRPr="00000000">
        <w:rPr>
          <w:rtl w:val="0"/>
        </w:rPr>
        <w:t xml:space="preserve"> The legal mechanism used for the transfer (e.g., ‘Standard Contractual Clauses’, ‘Binding Corporate Rules’, ‘Adequacy Decision’).</w:t>
      </w:r>
    </w:p>
    <w:p w:rsidR="00000000" w:rsidDel="00000000" w:rsidP="00000000" w:rsidRDefault="00000000" w:rsidRPr="00000000" w14:paraId="0000026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the legal mechanism is a direct requirement for international data transfers under many privacy laws, demonstrating compliance with safeguards.</w:t>
      </w:r>
    </w:p>
    <w:p w:rsidR="00000000" w:rsidDel="00000000" w:rsidP="00000000" w:rsidRDefault="00000000" w:rsidRPr="00000000" w14:paraId="00000266">
      <w:pPr>
        <w:numPr>
          <w:ilvl w:val="2"/>
          <w:numId w:val="1"/>
        </w:numPr>
        <w:ind w:left="2160" w:hanging="360"/>
      </w:pPr>
      <w:r w:rsidDel="00000000" w:rsidR="00000000" w:rsidRPr="00000000">
        <w:rPr>
          <w:b w:val="1"/>
          <w:rtl w:val="0"/>
        </w:rPr>
        <w:t xml:space="preserve">GDPR (General Data Protection Regulation - EU):</w:t>
      </w:r>
      <w:r w:rsidDel="00000000" w:rsidR="00000000" w:rsidRPr="00000000">
        <w:rPr>
          <w:rtl w:val="0"/>
        </w:rPr>
        <w:t xml:space="preserve"> Article 46 outlines appropriate safeguards for transfers, including SCCs and BCRs. Article 45 deals with adequacy decisions.</w:t>
      </w:r>
    </w:p>
    <w:p w:rsidR="00000000" w:rsidDel="00000000" w:rsidP="00000000" w:rsidRDefault="00000000" w:rsidRPr="00000000" w14:paraId="00000267">
      <w:pPr>
        <w:numPr>
          <w:ilvl w:val="2"/>
          <w:numId w:val="1"/>
        </w:numPr>
        <w:ind w:left="2160" w:hanging="360"/>
      </w:pPr>
      <w:r w:rsidDel="00000000" w:rsidR="00000000" w:rsidRPr="00000000">
        <w:rPr>
          <w:b w:val="1"/>
          <w:rtl w:val="0"/>
        </w:rPr>
        <w:t xml:space="preserve">UK GDPR:</w:t>
      </w:r>
      <w:r w:rsidDel="00000000" w:rsidR="00000000" w:rsidRPr="00000000">
        <w:rPr>
          <w:rtl w:val="0"/>
        </w:rPr>
        <w:t xml:space="preserve"> Similar to GDPR, these articles apply.</w:t>
      </w:r>
    </w:p>
    <w:p w:rsidR="00000000" w:rsidDel="00000000" w:rsidP="00000000" w:rsidRDefault="00000000" w:rsidRPr="00000000" w14:paraId="00000268">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33 outlines legal bases for international transfers, including specific contractual clauses and international cooperation agreements.</w:t>
      </w:r>
    </w:p>
    <w:p w:rsidR="00000000" w:rsidDel="00000000" w:rsidP="00000000" w:rsidRDefault="00000000" w:rsidRPr="00000000" w14:paraId="00000269">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38 outlines legal bases for cross-border transfers, including security assessment, certification, and standard contracts.</w:t>
      </w:r>
    </w:p>
    <w:p w:rsidR="00000000" w:rsidDel="00000000" w:rsidP="00000000" w:rsidRDefault="00000000" w:rsidRPr="00000000" w14:paraId="0000026A">
      <w:pPr>
        <w:numPr>
          <w:ilvl w:val="2"/>
          <w:numId w:val="1"/>
        </w:numPr>
        <w:ind w:left="2160" w:hanging="360"/>
      </w:pPr>
      <w:r w:rsidDel="00000000" w:rsidR="00000000" w:rsidRPr="00000000">
        <w:rPr>
          <w:b w:val="1"/>
          <w:rtl w:val="0"/>
        </w:rPr>
        <w:t xml:space="preserve">All Privacy Laws:</w:t>
      </w:r>
      <w:r w:rsidDel="00000000" w:rsidR="00000000" w:rsidRPr="00000000">
        <w:rPr>
          <w:rtl w:val="0"/>
        </w:rPr>
        <w:t xml:space="preserve"> Most privacy laws specify legal mechanisms or safeguards for international data transfers.</w:t>
      </w:r>
    </w:p>
    <w:p w:rsidR="00000000" w:rsidDel="00000000" w:rsidP="00000000" w:rsidRDefault="00000000" w:rsidRPr="00000000" w14:paraId="0000026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6C">
      <w:pPr>
        <w:pStyle w:val="Heading3"/>
        <w:rPr/>
      </w:pPr>
      <w:bookmarkStart w:colFirst="0" w:colLast="0" w:name="_t1l9q3jo1cmi" w:id="41"/>
      <w:bookmarkEnd w:id="41"/>
      <w:r w:rsidDel="00000000" w:rsidR="00000000" w:rsidRPr="00000000">
        <w:rPr>
          <w:rtl w:val="0"/>
        </w:rPr>
        <w:t xml:space="preserve">Relationships of DataTransfer:</w:t>
      </w:r>
    </w:p>
    <w:p w:rsidR="00000000" w:rsidDel="00000000" w:rsidP="00000000" w:rsidRDefault="00000000" w:rsidRPr="00000000" w14:paraId="0000026D">
      <w:pPr>
        <w:numPr>
          <w:ilvl w:val="0"/>
          <w:numId w:val="1"/>
        </w:numPr>
        <w:ind w:left="720" w:hanging="360"/>
      </w:pPr>
      <w:r w:rsidDel="00000000" w:rsidR="00000000" w:rsidRPr="00000000">
        <w:rPr>
          <w:b w:val="1"/>
          <w:rtl w:val="0"/>
        </w:rPr>
        <w:t xml:space="preserve">transfersFrom Country: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DataTransfer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transfersFrom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w:t>
      </w:r>
    </w:p>
    <w:p w:rsidR="00000000" w:rsidDel="00000000" w:rsidP="00000000" w:rsidRDefault="00000000" w:rsidRPr="00000000" w14:paraId="0000026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origin country of the data transfer is fundamental for determining the applicable laws and assessing the legality of the transfer.</w:t>
      </w:r>
    </w:p>
    <w:p w:rsidR="00000000" w:rsidDel="00000000" w:rsidP="00000000" w:rsidRDefault="00000000" w:rsidRPr="00000000" w14:paraId="0000026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a data transfer must have an origin country)</w:t>
      </w:r>
    </w:p>
    <w:p w:rsidR="00000000" w:rsidDel="00000000" w:rsidP="00000000" w:rsidRDefault="00000000" w:rsidRPr="00000000" w14:paraId="00000270">
      <w:pPr>
        <w:numPr>
          <w:ilvl w:val="0"/>
          <w:numId w:val="1"/>
        </w:numPr>
        <w:ind w:left="720" w:hanging="360"/>
      </w:pPr>
      <w:r w:rsidDel="00000000" w:rsidR="00000000" w:rsidRPr="00000000">
        <w:rPr>
          <w:b w:val="1"/>
          <w:rtl w:val="0"/>
        </w:rPr>
        <w:t xml:space="preserve">transfersTo Country: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DataTransfer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transfersTo</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w:t>
      </w:r>
    </w:p>
    <w:p w:rsidR="00000000" w:rsidDel="00000000" w:rsidP="00000000" w:rsidRDefault="00000000" w:rsidRPr="00000000" w14:paraId="0000027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destination country of the data transfer is fundamental for determining the applicable laws and assessing the legality of the transfer.</w:t>
      </w:r>
    </w:p>
    <w:p w:rsidR="00000000" w:rsidDel="00000000" w:rsidP="00000000" w:rsidRDefault="00000000" w:rsidRPr="00000000" w14:paraId="0000027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a data transfer must have a destination country)</w:t>
      </w:r>
    </w:p>
    <w:p w:rsidR="00000000" w:rsidDel="00000000" w:rsidP="00000000" w:rsidRDefault="00000000" w:rsidRPr="00000000" w14:paraId="00000273">
      <w:pPr>
        <w:numPr>
          <w:ilvl w:val="0"/>
          <w:numId w:val="1"/>
        </w:numPr>
        <w:ind w:left="720" w:hanging="360"/>
      </w:pPr>
      <w:r w:rsidDel="00000000" w:rsidR="00000000" w:rsidRPr="00000000">
        <w:rPr>
          <w:b w:val="1"/>
          <w:rtl w:val="0"/>
        </w:rPr>
        <w:t xml:space="preserve">involves DataCategory: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DataTransfer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involves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w:t>
      </w:r>
    </w:p>
    <w:p w:rsidR="00000000" w:rsidDel="00000000" w:rsidP="00000000" w:rsidRDefault="00000000" w:rsidRPr="00000000" w14:paraId="0000027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the categories of data being transferred is crucial for assessing the risk of the transfer and ensuring appropriate safeguards are in place.</w:t>
      </w:r>
    </w:p>
    <w:p w:rsidR="00000000" w:rsidDel="00000000" w:rsidP="00000000" w:rsidRDefault="00000000" w:rsidRPr="00000000" w14:paraId="0000027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data transfer must involve at least one data category)</w:t>
      </w:r>
    </w:p>
    <w:p w:rsidR="00000000" w:rsidDel="00000000" w:rsidP="00000000" w:rsidRDefault="00000000" w:rsidRPr="00000000" w14:paraId="00000276">
      <w:pPr>
        <w:pStyle w:val="Heading2"/>
        <w:rPr/>
      </w:pPr>
      <w:bookmarkStart w:colFirst="0" w:colLast="0" w:name="_5rwlsnpvc8wv" w:id="42"/>
      <w:bookmarkEnd w:id="42"/>
      <w:r w:rsidDel="00000000" w:rsidR="00000000" w:rsidRPr="00000000">
        <w:rPr>
          <w:rtl w:val="0"/>
        </w:rPr>
        <w:t xml:space="preserve">15. Risk Class (Revisited - to be removed or merged)</w:t>
      </w:r>
    </w:p>
    <w:p w:rsidR="00000000" w:rsidDel="00000000" w:rsidP="00000000" w:rsidRDefault="00000000" w:rsidRPr="00000000" w14:paraId="00000277">
      <w:pPr>
        <w:rPr/>
      </w:pPr>
      <w:r w:rsidDel="00000000" w:rsidR="00000000" w:rsidRPr="00000000">
        <w:rPr>
          <w:rtl w:val="0"/>
        </w:rPr>
        <w:t xml:space="preserve">This class was previously defined. It should be reviewed for merging or removal if its attributes are better placed elsewhere or if a more granular risk model is developed.</w:t>
      </w:r>
    </w:p>
    <w:p w:rsidR="00000000" w:rsidDel="00000000" w:rsidP="00000000" w:rsidRDefault="00000000" w:rsidRPr="00000000" w14:paraId="00000278">
      <w:pPr>
        <w:pStyle w:val="Heading2"/>
        <w:rPr/>
      </w:pPr>
      <w:bookmarkStart w:colFirst="0" w:colLast="0" w:name="_sveukki22ud0" w:id="43"/>
      <w:bookmarkEnd w:id="43"/>
      <w:r w:rsidDel="00000000" w:rsidR="00000000" w:rsidRPr="00000000">
        <w:rPr>
          <w:rtl w:val="0"/>
        </w:rPr>
        <w:t xml:space="preserve">16. Standardization of the Metamodel</w:t>
      </w:r>
    </w:p>
    <w:p w:rsidR="00000000" w:rsidDel="00000000" w:rsidP="00000000" w:rsidRDefault="00000000" w:rsidRPr="00000000" w14:paraId="00000279">
      <w:pPr>
        <w:rPr/>
      </w:pPr>
      <w:r w:rsidDel="00000000" w:rsidR="00000000" w:rsidRPr="00000000">
        <w:rPr>
          <w:rtl w:val="0"/>
        </w:rPr>
        <w:t xml:space="preserve">To enhance the robustness and interoperability of the metamodel, it is beneficial to consider existing standards and frameworks in data privacy and information governance. Aligning with these standards can provide a common language, best practices, and potentially facilitate automated compliance checks.</w:t>
      </w:r>
    </w:p>
    <w:p w:rsidR="00000000" w:rsidDel="00000000" w:rsidP="00000000" w:rsidRDefault="00000000" w:rsidRPr="00000000" w14:paraId="0000027A">
      <w:pPr>
        <w:pStyle w:val="Heading3"/>
        <w:rPr/>
      </w:pPr>
      <w:bookmarkStart w:colFirst="0" w:colLast="0" w:name="_3uezmzhkygoz" w:id="44"/>
      <w:bookmarkEnd w:id="44"/>
      <w:r w:rsidDel="00000000" w:rsidR="00000000" w:rsidRPr="00000000">
        <w:rPr>
          <w:rtl w:val="0"/>
        </w:rPr>
        <w:t xml:space="preserve">Key Standards and Frameworks:</w:t>
      </w:r>
    </w:p>
    <w:p w:rsidR="00000000" w:rsidDel="00000000" w:rsidP="00000000" w:rsidRDefault="00000000" w:rsidRPr="00000000" w14:paraId="0000027B">
      <w:pPr>
        <w:numPr>
          <w:ilvl w:val="0"/>
          <w:numId w:val="1"/>
        </w:numPr>
        <w:ind w:left="720" w:hanging="360"/>
      </w:pPr>
      <w:r w:rsidDel="00000000" w:rsidR="00000000" w:rsidRPr="00000000">
        <w:rPr>
          <w:b w:val="1"/>
          <w:rtl w:val="0"/>
        </w:rPr>
        <w:t xml:space="preserve">ISO/IEC 27701 (Privacy Information Management System - PIMS):</w:t>
      </w:r>
      <w:r w:rsidDel="00000000" w:rsidR="00000000" w:rsidRPr="00000000">
        <w:rPr>
          <w:rtl w:val="0"/>
        </w:rPr>
        <w:t xml:space="preserve"> This is an extension to ISO/IEC 27001 (Information Security Management System - ISMS) and ISO/IEC 27002 for privacy management. It provides a framework for organizations to manage privacy risks and comply with privacy regulations. The metamodel aligns with the principles of PIMS by providing structured information necessary for demonstrating accountability and managing privacy-related records.</w:t>
      </w:r>
    </w:p>
    <w:p w:rsidR="00000000" w:rsidDel="00000000" w:rsidP="00000000" w:rsidRDefault="00000000" w:rsidRPr="00000000" w14:paraId="0000027C">
      <w:pPr>
        <w:numPr>
          <w:ilvl w:val="1"/>
          <w:numId w:val="1"/>
        </w:numPr>
        <w:ind w:left="1440" w:hanging="360"/>
      </w:pPr>
      <w:r w:rsidDel="00000000" w:rsidR="00000000" w:rsidRPr="00000000">
        <w:rPr>
          <w:b w:val="1"/>
          <w:rtl w:val="0"/>
        </w:rPr>
        <w:t xml:space="preserve">Relevance to Metamodel:</w:t>
      </w:r>
      <w:r w:rsidDel="00000000" w:rsidR="00000000" w:rsidRPr="00000000">
        <w:rPr>
          <w:rtl w:val="0"/>
        </w:rPr>
        <w:t xml:space="preserve"> The classes like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(Controller/Processor),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directly support the documentation requirements of ISO 27701, particularly Annex A (PIMS-specific guidance for ISO 27002) and Annex B (PIMS-related requirements for ISO 27001).</w:t>
      </w:r>
    </w:p>
    <w:p w:rsidR="00000000" w:rsidDel="00000000" w:rsidP="00000000" w:rsidRDefault="00000000" w:rsidRPr="00000000" w14:paraId="0000027D">
      <w:pPr>
        <w:numPr>
          <w:ilvl w:val="0"/>
          <w:numId w:val="1"/>
        </w:numPr>
        <w:ind w:left="720" w:hanging="360"/>
      </w:pPr>
      <w:r w:rsidDel="00000000" w:rsidR="00000000" w:rsidRPr="00000000">
        <w:rPr>
          <w:b w:val="1"/>
          <w:rtl w:val="0"/>
        </w:rPr>
        <w:t xml:space="preserve">NIST Privacy Framework:</w:t>
      </w:r>
      <w:r w:rsidDel="00000000" w:rsidR="00000000" w:rsidRPr="00000000">
        <w:rPr>
          <w:rtl w:val="0"/>
        </w:rPr>
        <w:t xml:space="preserve"> Developed by the National Institute of Standards and Technology, this framework provides a flexible approach to managing privacy risks. It is organized around five key functions: Identify, Govern, Control, Communicate, and Protect. The metamodel can support the 'Identify' and 'Govern' functions by providing structured data about processing activities, data flows, and responsible parties.</w:t>
      </w:r>
    </w:p>
    <w:p w:rsidR="00000000" w:rsidDel="00000000" w:rsidP="00000000" w:rsidRDefault="00000000" w:rsidRPr="00000000" w14:paraId="0000027E">
      <w:pPr>
        <w:numPr>
          <w:ilvl w:val="1"/>
          <w:numId w:val="1"/>
        </w:numPr>
        <w:ind w:left="1440" w:hanging="360"/>
      </w:pPr>
      <w:r w:rsidDel="00000000" w:rsidR="00000000" w:rsidRPr="00000000">
        <w:rPr>
          <w:b w:val="1"/>
          <w:rtl w:val="0"/>
        </w:rPr>
        <w:t xml:space="preserve">Relevance to Metamodel:</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classes contribute to identifying privacy risks and establishing governance structures as outlined in the NIST Privacy Framework.</w:t>
      </w:r>
    </w:p>
    <w:p w:rsidR="00000000" w:rsidDel="00000000" w:rsidP="00000000" w:rsidRDefault="00000000" w:rsidRPr="00000000" w14:paraId="0000027F">
      <w:pPr>
        <w:numPr>
          <w:ilvl w:val="0"/>
          <w:numId w:val="1"/>
        </w:numPr>
        <w:ind w:left="720" w:hanging="360"/>
      </w:pPr>
      <w:r w:rsidDel="00000000" w:rsidR="00000000" w:rsidRPr="00000000">
        <w:rPr>
          <w:b w:val="1"/>
          <w:rtl w:val="0"/>
        </w:rPr>
        <w:t xml:space="preserve">DAMA-DMBOK (Data Management Body of Knowledge):</w:t>
      </w:r>
      <w:r w:rsidDel="00000000" w:rsidR="00000000" w:rsidRPr="00000000">
        <w:rPr>
          <w:rtl w:val="0"/>
        </w:rPr>
        <w:t xml:space="preserve"> While not privacy-specific, DAMA-DMBOK provides a comprehensive guide to data management functions, including data governance, data architecture, data modeling, and data quality. A well-structured metamodel for RoPA aligns with good data modeling practices advocated by DAMA-DMBOK, ensuring data quality and consistency.</w:t>
      </w:r>
    </w:p>
    <w:p w:rsidR="00000000" w:rsidDel="00000000" w:rsidP="00000000" w:rsidRDefault="00000000" w:rsidRPr="00000000" w14:paraId="00000280">
      <w:pPr>
        <w:numPr>
          <w:ilvl w:val="1"/>
          <w:numId w:val="1"/>
        </w:numPr>
        <w:ind w:left="1440" w:hanging="360"/>
      </w:pPr>
      <w:r w:rsidDel="00000000" w:rsidR="00000000" w:rsidRPr="00000000">
        <w:rPr>
          <w:b w:val="1"/>
          <w:rtl w:val="0"/>
        </w:rPr>
        <w:t xml:space="preserve">Relevance to Metamodel:</w:t>
      </w:r>
      <w:r w:rsidDel="00000000" w:rsidR="00000000" w:rsidRPr="00000000">
        <w:rPr>
          <w:rtl w:val="0"/>
        </w:rPr>
        <w:t xml:space="preserve"> The principles of data modeling and data governance from DAMA-DMBOK can inform the design and attributes of the metamodel classes, ensuring logical consistency and data integrity.</w:t>
      </w:r>
    </w:p>
    <w:p w:rsidR="00000000" w:rsidDel="00000000" w:rsidP="00000000" w:rsidRDefault="00000000" w:rsidRPr="00000000" w14:paraId="00000281">
      <w:pPr>
        <w:numPr>
          <w:ilvl w:val="0"/>
          <w:numId w:val="1"/>
        </w:numPr>
        <w:ind w:left="720" w:hanging="360"/>
      </w:pPr>
      <w:r w:rsidDel="00000000" w:rsidR="00000000" w:rsidRPr="00000000">
        <w:rPr>
          <w:b w:val="1"/>
          <w:rtl w:val="0"/>
        </w:rPr>
        <w:t xml:space="preserve">Enterprise Architecture Frameworks (e.g., TOGAF, Zachman Framework):</w:t>
      </w:r>
      <w:r w:rsidDel="00000000" w:rsidR="00000000" w:rsidRPr="00000000">
        <w:rPr>
          <w:rtl w:val="0"/>
        </w:rPr>
        <w:t xml:space="preserve"> These frameworks provide methodologies for designing and managing enterprise architecture, including business, data, application, and technology architectures. Integrating the RoPA metamodel within an enterprise architecture framework can ensure that privacy considerations are embedded throughout the organization's systems and processes.</w:t>
      </w:r>
    </w:p>
    <w:p w:rsidR="00000000" w:rsidDel="00000000" w:rsidP="00000000" w:rsidRDefault="00000000" w:rsidRPr="00000000" w14:paraId="00000282">
      <w:pPr>
        <w:numPr>
          <w:ilvl w:val="1"/>
          <w:numId w:val="1"/>
        </w:numPr>
        <w:ind w:left="1440" w:hanging="360"/>
      </w:pPr>
      <w:r w:rsidDel="00000000" w:rsidR="00000000" w:rsidRPr="00000000">
        <w:rPr>
          <w:b w:val="1"/>
          <w:rtl w:val="0"/>
        </w:rPr>
        <w:t xml:space="preserve">Relevance to Metamodel:</w:t>
      </w:r>
      <w:r w:rsidDel="00000000" w:rsidR="00000000" w:rsidRPr="00000000">
        <w:rPr>
          <w:rtl w:val="0"/>
        </w:rPr>
        <w:t xml:space="preserve"> The metamodel can serve as a critical component within the data and application layers of an enterprise architecture, linking privacy requirements to business processes and IT systems.</w:t>
      </w:r>
    </w:p>
    <w:p w:rsidR="00000000" w:rsidDel="00000000" w:rsidP="00000000" w:rsidRDefault="00000000" w:rsidRPr="00000000" w14:paraId="00000283">
      <w:pPr>
        <w:pStyle w:val="Heading3"/>
        <w:rPr/>
      </w:pPr>
      <w:bookmarkStart w:colFirst="0" w:colLast="0" w:name="_dj1ql4k3zjtl" w:id="45"/>
      <w:bookmarkEnd w:id="45"/>
      <w:r w:rsidDel="00000000" w:rsidR="00000000" w:rsidRPr="00000000">
        <w:rPr>
          <w:rtl w:val="0"/>
        </w:rPr>
        <w:t xml:space="preserve">How the Metamodel Supports Standardization:</w:t>
      </w:r>
    </w:p>
    <w:p w:rsidR="00000000" w:rsidDel="00000000" w:rsidP="00000000" w:rsidRDefault="00000000" w:rsidRPr="00000000" w14:paraId="00000284">
      <w:pPr>
        <w:numPr>
          <w:ilvl w:val="0"/>
          <w:numId w:val="2"/>
        </w:numPr>
        <w:ind w:left="720" w:hanging="360"/>
      </w:pPr>
      <w:r w:rsidDel="00000000" w:rsidR="00000000" w:rsidRPr="00000000">
        <w:rPr>
          <w:b w:val="1"/>
          <w:rtl w:val="0"/>
        </w:rPr>
        <w:t xml:space="preserve">Structured Data for Reporting:</w:t>
      </w:r>
      <w:r w:rsidDel="00000000" w:rsidR="00000000" w:rsidRPr="00000000">
        <w:rPr>
          <w:rtl w:val="0"/>
        </w:rPr>
        <w:t xml:space="preserve"> The defined classes and attributes provide a structured way to capture RoPA information, which can be easily mapped to reporting requirements of various standards and regulations.</w:t>
      </w:r>
    </w:p>
    <w:p w:rsidR="00000000" w:rsidDel="00000000" w:rsidP="00000000" w:rsidRDefault="00000000" w:rsidRPr="00000000" w14:paraId="00000285">
      <w:pPr>
        <w:numPr>
          <w:ilvl w:val="0"/>
          <w:numId w:val="2"/>
        </w:numPr>
        <w:ind w:left="720" w:hanging="360"/>
      </w:pPr>
      <w:r w:rsidDel="00000000" w:rsidR="00000000" w:rsidRPr="00000000">
        <w:rPr>
          <w:b w:val="1"/>
          <w:rtl w:val="0"/>
        </w:rPr>
        <w:t xml:space="preserve">Interoperability:</w:t>
      </w:r>
      <w:r w:rsidDel="00000000" w:rsidR="00000000" w:rsidRPr="00000000">
        <w:rPr>
          <w:rtl w:val="0"/>
        </w:rPr>
        <w:t xml:space="preserve"> By using clear definitions and relationships, the metamodel promotes interoperability with other data governance and compliance tools.</w:t>
      </w:r>
    </w:p>
    <w:p w:rsidR="00000000" w:rsidDel="00000000" w:rsidP="00000000" w:rsidRDefault="00000000" w:rsidRPr="00000000" w14:paraId="00000286">
      <w:pPr>
        <w:numPr>
          <w:ilvl w:val="0"/>
          <w:numId w:val="2"/>
        </w:numPr>
        <w:ind w:left="720" w:hanging="360"/>
      </w:pPr>
      <w:r w:rsidDel="00000000" w:rsidR="00000000" w:rsidRPr="00000000">
        <w:rPr>
          <w:b w:val="1"/>
          <w:rtl w:val="0"/>
        </w:rPr>
        <w:t xml:space="preserve">Auditability and Accountability:</w:t>
      </w:r>
      <w:r w:rsidDel="00000000" w:rsidR="00000000" w:rsidRPr="00000000">
        <w:rPr>
          <w:rtl w:val="0"/>
        </w:rPr>
        <w:t xml:space="preserve"> The detailed justifications and cardinalities enhance the auditability of the RoPA, making it easier to demonstrate compliance with accountability principles across different legal frameworks.</w:t>
      </w:r>
    </w:p>
    <w:p w:rsidR="00000000" w:rsidDel="00000000" w:rsidP="00000000" w:rsidRDefault="00000000" w:rsidRPr="00000000" w14:paraId="00000287">
      <w:pPr>
        <w:numPr>
          <w:ilvl w:val="0"/>
          <w:numId w:val="2"/>
        </w:numPr>
        <w:ind w:left="720" w:hanging="360"/>
      </w:pPr>
      <w:r w:rsidDel="00000000" w:rsidR="00000000" w:rsidRPr="00000000">
        <w:rPr>
          <w:b w:val="1"/>
          <w:rtl w:val="0"/>
        </w:rPr>
        <w:t xml:space="preserve">Foundation for Automation:</w:t>
      </w:r>
      <w:r w:rsidDel="00000000" w:rsidR="00000000" w:rsidRPr="00000000">
        <w:rPr>
          <w:rtl w:val="0"/>
        </w:rPr>
        <w:t xml:space="preserve"> A well-defined metamodel is a prerequisite for automating aspects of privacy compliance, such as generating reports or identifying gaps.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By incorporating these considerations, the metamodel not only fulfills the immediate requirement for RoPA but also serves as a robust and extensible foundation for comprehensive privacy information management, aligning with global best practices and standards.</w:t>
      </w:r>
    </w:p>
    <w:p w:rsidR="00000000" w:rsidDel="00000000" w:rsidP="00000000" w:rsidRDefault="00000000" w:rsidRPr="00000000" w14:paraId="0000028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