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grwrjk7q2nc" w:id="0"/>
      <w:bookmarkEnd w:id="0"/>
      <w:r w:rsidDel="00000000" w:rsidR="00000000" w:rsidRPr="00000000">
        <w:rPr>
          <w:rtl w:val="0"/>
        </w:rPr>
        <w:t xml:space="preserve">Metamodel Analysis and Regulatory Justification</w:t>
      </w:r>
    </w:p>
    <w:p w:rsidR="00000000" w:rsidDel="00000000" w:rsidP="00000000" w:rsidRDefault="00000000" w:rsidRPr="00000000" w14:paraId="00000002">
      <w:pPr>
        <w:rPr/>
      </w:pPr>
      <w:r w:rsidDel="00000000" w:rsidR="00000000" w:rsidRPr="00000000">
        <w:rPr>
          <w:rtl w:val="0"/>
        </w:rPr>
        <w:t xml:space="preserve">This document provides a detailed analysis of the proposed metamodel for Records of Processing Activities (RoPA), aligning its classes and attributes with the requirements of various global privacy laws. Each class and attribute will be justified by citing relevant articles from regulations such as GDPR, CCPA, PIPL, LGPD, and others, along with their cardinalities.</w:t>
      </w:r>
    </w:p>
    <w:p w:rsidR="00000000" w:rsidDel="00000000" w:rsidP="00000000" w:rsidRDefault="00000000" w:rsidRPr="00000000" w14:paraId="00000003">
      <w:pPr>
        <w:pStyle w:val="Heading2"/>
        <w:rPr/>
      </w:pPr>
      <w:bookmarkStart w:colFirst="0" w:colLast="0" w:name="_2o6ge43fwg8s" w:id="1"/>
      <w:bookmarkEnd w:id="1"/>
      <w:r w:rsidDel="00000000" w:rsidR="00000000" w:rsidRPr="00000000">
        <w:rPr>
          <w:rtl w:val="0"/>
        </w:rPr>
        <w:t xml:space="preserve">1. ProcessingActivity Class</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 class is central to any RoPA metamodel, as it represents the core operation involving personal data. It encapsulates information about </w:t>
      </w:r>
      <w:r w:rsidDel="00000000" w:rsidR="00000000" w:rsidRPr="00000000">
        <w:rPr>
          <w:i w:val="1"/>
          <w:rtl w:val="0"/>
        </w:rPr>
        <w:t xml:space="preserve">what</w:t>
      </w:r>
      <w:r w:rsidDel="00000000" w:rsidR="00000000" w:rsidRPr="00000000">
        <w:rPr>
          <w:rtl w:val="0"/>
        </w:rPr>
        <w:t xml:space="preserve"> data processing is being done, </w:t>
      </w:r>
      <w:r w:rsidDel="00000000" w:rsidR="00000000" w:rsidRPr="00000000">
        <w:rPr>
          <w:i w:val="1"/>
          <w:rtl w:val="0"/>
        </w:rPr>
        <w:t xml:space="preserve">why</w:t>
      </w:r>
      <w:r w:rsidDel="00000000" w:rsidR="00000000" w:rsidRPr="00000000">
        <w:rPr>
          <w:rtl w:val="0"/>
        </w:rPr>
        <w:t xml:space="preserve">, and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cyhcxcrds9wt" w:id="2"/>
      <w:bookmarkEnd w:id="2"/>
      <w:r w:rsidDel="00000000" w:rsidR="00000000" w:rsidRPr="00000000">
        <w:rPr>
          <w:rtl w:val="0"/>
        </w:rPr>
        <w:t xml:space="preserve">Attributes of ProcessingActivity:</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processingActivityID:</w:t>
      </w:r>
      <w:r w:rsidDel="00000000" w:rsidR="00000000" w:rsidRPr="00000000">
        <w:rPr>
          <w:rtl w:val="0"/>
        </w:rPr>
        <w:t xml:space="preserve"> A unique identifier for each processing activity. This is crucial for record-keeping and auditing purposes.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While not explicitly mandated as an 'ID' in most regulations, the requirement to maintain a record of processing activities implies the need for a unique identifier to distinguish between different activities. GDPR Article 30(1) requires a record of processing activities to be maintained by controllers and processors.</w:t>
      </w:r>
    </w:p>
    <w:p w:rsidR="00000000" w:rsidDel="00000000" w:rsidP="00000000" w:rsidRDefault="00000000" w:rsidRPr="00000000" w14:paraId="0000000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activityName:</w:t>
      </w:r>
      <w:r w:rsidDel="00000000" w:rsidR="00000000" w:rsidRPr="00000000">
        <w:rPr>
          <w:rtl w:val="0"/>
        </w:rPr>
        <w:t xml:space="preserve"> A human-readable name for the processing activity.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requires the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 and contact details of the controller and, where applicable, the joint controller, the controller’s representative and the data protection officer. While not directly 'activityName', the spirit of transparency and accountability requires a clear description of the activity. Other laws like CCPA also require businesses to describe the purposes for which categories of personal information are collected or used. *   </w:t>
      </w: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activityDescription:</w:t>
      </w:r>
      <w:r w:rsidDel="00000000" w:rsidR="00000000" w:rsidRPr="00000000">
        <w:rPr>
          <w:rtl w:val="0"/>
        </w:rPr>
        <w:t xml:space="preserve"> A detailed description of the processing activity.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requires 'the purposes of the processing'. A detailed description helps fulfill this requirement by providing context and specifics. Many other privacy laws, such as Brazil's LGPD (Article 6, V), also emphasize the principle of transparency and the need for clear information about data processing.</w:t>
      </w:r>
    </w:p>
    <w:p w:rsidR="00000000" w:rsidDel="00000000" w:rsidP="00000000" w:rsidRDefault="00000000" w:rsidRPr="00000000" w14:paraId="0000001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purpose:</w:t>
      </w:r>
      <w:r w:rsidDel="00000000" w:rsidR="00000000" w:rsidRPr="00000000">
        <w:rPr>
          <w:rtl w:val="0"/>
        </w:rPr>
        <w:t xml:space="preserve"> The specific purpose(s) for which the personal data is processed.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explicitly states 'the purposes of the processing'. This is a fundamental principle across almost all privacy laws, including CCPA (Cal. Civ. Code § 1798.100(b)), PIPL (Article 13), and LGPD (Article 6, I). The purpose must be legitimate, specific, explicit, and informed to the data subject.</w:t>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purposes possible)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processingType:</w:t>
      </w:r>
      <w:r w:rsidDel="00000000" w:rsidR="00000000" w:rsidRPr="00000000">
        <w:rPr>
          <w:rtl w:val="0"/>
        </w:rPr>
        <w:t xml:space="preserve"> The type of processing being performed (e.g., collection, storage, analysis, transfer, deletion).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While not explicitly listed as 'processingType' in GDPR Article 30, the record of processing activities should implicitly cover the nature of processing. GDPR Article 4(2) defines 'processing' as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 This attribute helps categorize and understand the scope of the activity.</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types possible)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isAutomatedDecisionMaking:</w:t>
      </w:r>
      <w:r w:rsidDel="00000000" w:rsidR="00000000" w:rsidRPr="00000000">
        <w:rPr>
          <w:rtl w:val="0"/>
        </w:rPr>
        <w:t xml:space="preserve"> A boolean indicating whether the processing involves automated decision-making, including profiling.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22 grants data subjects the right not to be subject to a decision based solely on automated processing, including profiling, which produces legal effects concerning him or her or similarly significantly affects him or her. PIPL Article 24 also addresses automated decision-making. This attribute is critical for identifying high-risk processing activities.</w:t>
      </w:r>
    </w:p>
    <w:p w:rsidR="00000000" w:rsidDel="00000000" w:rsidP="00000000" w:rsidRDefault="00000000" w:rsidRPr="00000000" w14:paraId="0000002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automatedLogicDescription:</w:t>
      </w:r>
      <w:r w:rsidDel="00000000" w:rsidR="00000000" w:rsidRPr="00000000">
        <w:rPr>
          <w:rtl w:val="0"/>
        </w:rPr>
        <w:t xml:space="preserve"> A description of the logic involved in automated decision-making.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13(2)(f) and 14(2)(g) require controllers to provide 'meaningful information about the logic involved, as well as the significance and the envisaged consequences of such processing for the data subject' when automated decision-making occurs. PIPL Article 24 also requires transparency in automated decision-making.</w:t>
      </w:r>
    </w:p>
    <w:p w:rsidR="00000000" w:rsidDel="00000000" w:rsidP="00000000" w:rsidRDefault="00000000" w:rsidRPr="00000000" w14:paraId="0000002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isAutomatedDecisionMaking is true)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automatedSignificance:</w:t>
      </w:r>
      <w:r w:rsidDel="00000000" w:rsidR="00000000" w:rsidRPr="00000000">
        <w:rPr>
          <w:rtl w:val="0"/>
        </w:rPr>
        <w:t xml:space="preserve"> The significance and envisaged consequences of automated decision-making for the data subject.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 per GDPR Article 13(2)(f) and 14(2)(g), this information must be provided to the data subject. This helps assess the impact of automated decisions.</w:t>
      </w:r>
    </w:p>
    <w:p w:rsidR="00000000" w:rsidDel="00000000" w:rsidP="00000000" w:rsidRDefault="00000000" w:rsidRPr="00000000" w14:paraId="0000002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isAutomatedDecisionMaking is true)</w:t>
      </w:r>
    </w:p>
    <w:p w:rsidR="00000000" w:rsidDel="00000000" w:rsidP="00000000" w:rsidRDefault="00000000" w:rsidRPr="00000000" w14:paraId="0000002E">
      <w:pPr>
        <w:pStyle w:val="Heading3"/>
        <w:rPr/>
      </w:pPr>
      <w:bookmarkStart w:colFirst="0" w:colLast="0" w:name="_u0wo96bcauq6" w:id="3"/>
      <w:bookmarkEnd w:id="3"/>
      <w:r w:rsidDel="00000000" w:rsidR="00000000" w:rsidRPr="00000000">
        <w:rPr>
          <w:rtl w:val="0"/>
        </w:rPr>
        <w:t xml:space="preserve">Relationships of ProcessingActivity:</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has DataCategory:</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30(1)(d) requires the record of processing activities to include 'a general description of the categories of data subjects and categories of personal data'. This relationship links the processing activity to the types of data involved.</w:t>
      </w:r>
    </w:p>
    <w:p w:rsidR="00000000" w:rsidDel="00000000" w:rsidP="00000000" w:rsidRDefault="00000000" w:rsidRPr="00000000" w14:paraId="0000003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involve at least one data category)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has DataSubject: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categories.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30(1)(d) requires 'a general description of the categories of data subjects'. This relationship links the processing activity to the types of individuals whose data is being processed.</w:t>
      </w:r>
    </w:p>
    <w:p w:rsidR="00000000" w:rsidDel="00000000" w:rsidP="00000000" w:rsidRDefault="00000000" w:rsidRPr="00000000" w14:paraId="0000003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involve at least one data subject category)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has DataRetension:</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DataRetension</w:t>
      </w:r>
      <w:r w:rsidDel="00000000" w:rsidR="00000000" w:rsidRPr="00000000">
        <w:rPr>
          <w:rtl w:val="0"/>
        </w:rPr>
        <w:t xml:space="preserve"> schedule.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30(1)(f) requires 'where possible, the envisaged time limits for erasure of the different categories of data'. Many other laws, like CCPA, also have data retention requirements. This relationship links the processing activity to its data retention policy.</w:t>
      </w:r>
    </w:p>
    <w:p w:rsidR="00000000" w:rsidDel="00000000" w:rsidP="00000000" w:rsidRDefault="00000000" w:rsidRPr="00000000" w14:paraId="0000003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every processing activity should have a retention schedule)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has LawfulBasis:</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LawfulBasis</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6 specifies the lawful bases for processing personal data (e.g., consent, contract, legal obligation, vital interests, public task, legitimate interests). Article 30(1)(c) requires 'the purposes of the processing for which the personal data are intended as well as the legal basis for the processing'. This is a cornerstone of lawful data processing across most privacy regulations.</w:t>
      </w:r>
    </w:p>
    <w:p w:rsidR="00000000" w:rsidDel="00000000" w:rsidP="00000000" w:rsidRDefault="00000000" w:rsidRPr="00000000" w14:paraId="0000004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have at least one lawful basis)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has ImpactAssessment: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has</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(e.g., DPIA/PIA).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35 mandates Data Protection Impact Assessments (DPIAs) for processing 'likely to result in a high risk to the rights and freedoms of natural persons'. Other laws, like PIPL (Article 55), also require impact assessments for certain processing activities. This relationship indicates whether an assessment has been conducted.</w:t>
      </w:r>
    </w:p>
    <w:p w:rsidR="00000000" w:rsidDel="00000000" w:rsidP="00000000" w:rsidRDefault="00000000" w:rsidRPr="00000000" w14:paraId="0000004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required for high-risk processing activities)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mandates RegulatoryRequirement: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mandates</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Processing activities must comply with relevant legal obligations. This relationship links the activity to the specific regulatory requirements it must adhere to.</w:t>
      </w:r>
    </w:p>
    <w:p w:rsidR="00000000" w:rsidDel="00000000" w:rsidP="00000000" w:rsidRDefault="00000000" w:rsidRPr="00000000" w14:paraId="0000004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processing activity must comply with at least one regulatory requirement)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executedOn Application:</w:t>
      </w:r>
      <w:r w:rsidDel="00000000" w:rsidR="00000000" w:rsidRPr="00000000">
        <w:rPr>
          <w:rtl w:val="0"/>
        </w:rPr>
        <w:t xml:space="preserve"> A processing activity is </w:t>
      </w:r>
      <w:r w:rsidDel="00000000" w:rsidR="00000000" w:rsidRPr="00000000">
        <w:rPr>
          <w:rFonts w:ascii="Roboto Mono" w:cs="Roboto Mono" w:eastAsia="Roboto Mono" w:hAnsi="Roboto Mono"/>
          <w:color w:val="188038"/>
          <w:rtl w:val="0"/>
        </w:rPr>
        <w:t xml:space="preserve">executedOn</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helps identify the systems or applications used to perform the processing activity, which is important for understanding the technical and organizational measures in place.</w:t>
      </w:r>
    </w:p>
    <w:p w:rsidR="00000000" w:rsidDel="00000000" w:rsidP="00000000" w:rsidRDefault="00000000" w:rsidRPr="00000000" w14:paraId="0000005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 processing activity may or may not be executed on a specific application)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isRecipientFor BusinessContext:</w:t>
      </w:r>
      <w:r w:rsidDel="00000000" w:rsidR="00000000" w:rsidRPr="00000000">
        <w:rPr>
          <w:rtl w:val="0"/>
        </w:rPr>
        <w:t xml:space="preserve"> A processing activity </w:t>
      </w:r>
      <w:r w:rsidDel="00000000" w:rsidR="00000000" w:rsidRPr="00000000">
        <w:rPr>
          <w:rFonts w:ascii="Roboto Mono" w:cs="Roboto Mono" w:eastAsia="Roboto Mono" w:hAnsi="Roboto Mono"/>
          <w:color w:val="188038"/>
          <w:rtl w:val="0"/>
        </w:rPr>
        <w:t xml:space="preserve">isRecipientFor</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helps link the processing activity to the specific business unit or context it serves, providing organizational clarity.</w:t>
      </w:r>
    </w:p>
    <w:p w:rsidR="00000000" w:rsidDel="00000000" w:rsidP="00000000" w:rsidRDefault="00000000" w:rsidRPr="00000000" w14:paraId="0000005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every processing activity should belong to a business context)</w:t>
      </w:r>
    </w:p>
    <w:p w:rsidR="00000000" w:rsidDel="00000000" w:rsidP="00000000" w:rsidRDefault="00000000" w:rsidRPr="00000000" w14:paraId="00000056">
      <w:pPr>
        <w:pStyle w:val="Heading2"/>
        <w:rPr/>
      </w:pPr>
      <w:bookmarkStart w:colFirst="0" w:colLast="0" w:name="_9b0a576z78no" w:id="4"/>
      <w:bookmarkEnd w:id="4"/>
      <w:r w:rsidDel="00000000" w:rsidR="00000000" w:rsidRPr="00000000">
        <w:rPr>
          <w:rtl w:val="0"/>
        </w:rPr>
        <w:t xml:space="preserve">2. BusinessContext Class</w:t>
      </w:r>
    </w:p>
    <w:p w:rsidR="00000000" w:rsidDel="00000000" w:rsidP="00000000" w:rsidRDefault="00000000" w:rsidRPr="00000000" w14:paraId="0000005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class represents the organizational unit or specific context within which data processing activities occur. This helps in mapping processing activities to responsible departments or functions.</w:t>
      </w:r>
    </w:p>
    <w:p w:rsidR="00000000" w:rsidDel="00000000" w:rsidP="00000000" w:rsidRDefault="00000000" w:rsidRPr="00000000" w14:paraId="00000058">
      <w:pPr>
        <w:pStyle w:val="Heading3"/>
        <w:rPr/>
      </w:pPr>
      <w:bookmarkStart w:colFirst="0" w:colLast="0" w:name="_l3puc4m7r3xu" w:id="5"/>
      <w:bookmarkEnd w:id="5"/>
      <w:r w:rsidDel="00000000" w:rsidR="00000000" w:rsidRPr="00000000">
        <w:rPr>
          <w:rtl w:val="0"/>
        </w:rPr>
        <w:t xml:space="preserve">Attributes of BusinessContext:</w:t>
      </w:r>
    </w:p>
    <w:p w:rsidR="00000000" w:rsidDel="00000000" w:rsidP="00000000" w:rsidRDefault="00000000" w:rsidRPr="00000000" w14:paraId="00000059">
      <w:pPr>
        <w:numPr>
          <w:ilvl w:val="0"/>
          <w:numId w:val="1"/>
        </w:numPr>
        <w:ind w:left="720" w:hanging="360"/>
      </w:pPr>
      <w:r w:rsidDel="00000000" w:rsidR="00000000" w:rsidRPr="00000000">
        <w:rPr>
          <w:b w:val="1"/>
          <w:rtl w:val="0"/>
        </w:rPr>
        <w:t xml:space="preserve">businessContextID:</w:t>
      </w:r>
      <w:r w:rsidDel="00000000" w:rsidR="00000000" w:rsidRPr="00000000">
        <w:rPr>
          <w:rtl w:val="0"/>
        </w:rPr>
        <w:t xml:space="preserve"> A unique identifier for the business context.</w:t>
      </w:r>
    </w:p>
    <w:p w:rsidR="00000000" w:rsidDel="00000000" w:rsidP="00000000" w:rsidRDefault="00000000" w:rsidRPr="00000000" w14:paraId="0000005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Similar to processing activities, unique identification of business units is essential for clear record-keeping and accountability.</w:t>
      </w:r>
    </w:p>
    <w:p w:rsidR="00000000" w:rsidDel="00000000" w:rsidP="00000000" w:rsidRDefault="00000000" w:rsidRPr="00000000" w14:paraId="0000005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5C">
      <w:pPr>
        <w:pStyle w:val="Heading3"/>
        <w:rPr/>
      </w:pPr>
      <w:bookmarkStart w:colFirst="0" w:colLast="0" w:name="_2ov6b9q60h7b" w:id="6"/>
      <w:bookmarkEnd w:id="6"/>
      <w:r w:rsidDel="00000000" w:rsidR="00000000" w:rsidRPr="00000000">
        <w:rPr>
          <w:rtl w:val="0"/>
        </w:rPr>
        <w:t xml:space="preserve">Relationships of BusinessContext:</w:t>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isResponsibleFor ProcessingActivity: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isResponsibleFor</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05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clarifies which business unit is accountable for specific processing activities, aligning with accountability principles in GDPR (Article 5(2)) and other laws.</w:t>
      </w:r>
    </w:p>
    <w:p w:rsidR="00000000" w:rsidDel="00000000" w:rsidP="00000000" w:rsidRDefault="00000000" w:rsidRPr="00000000" w14:paraId="0000005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business context must be responsible for at least one processing activity)</w:t>
      </w:r>
    </w:p>
    <w:p w:rsidR="00000000" w:rsidDel="00000000" w:rsidP="00000000" w:rsidRDefault="00000000" w:rsidRPr="00000000" w14:paraId="00000060">
      <w:pPr>
        <w:pStyle w:val="Heading2"/>
        <w:rPr/>
      </w:pPr>
      <w:bookmarkStart w:colFirst="0" w:colLast="0" w:name="_fclxd4wxyopb" w:id="7"/>
      <w:bookmarkEnd w:id="7"/>
      <w:r w:rsidDel="00000000" w:rsidR="00000000" w:rsidRPr="00000000">
        <w:rPr>
          <w:rtl w:val="0"/>
        </w:rPr>
        <w:t xml:space="preserve">3. LineOfBusiness Class</w:t>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LineOfBusiness</w:t>
      </w:r>
      <w:r w:rsidDel="00000000" w:rsidR="00000000" w:rsidRPr="00000000">
        <w:rPr>
          <w:rtl w:val="0"/>
        </w:rPr>
        <w:t xml:space="preserve"> class represents a distinct area of business operations within an organization. It helps in categorizing and organizing processing activities at a higher level.</w:t>
      </w:r>
    </w:p>
    <w:p w:rsidR="00000000" w:rsidDel="00000000" w:rsidP="00000000" w:rsidRDefault="00000000" w:rsidRPr="00000000" w14:paraId="00000062">
      <w:pPr>
        <w:pStyle w:val="Heading3"/>
        <w:rPr/>
      </w:pPr>
      <w:bookmarkStart w:colFirst="0" w:colLast="0" w:name="_80l711289wlx" w:id="8"/>
      <w:bookmarkEnd w:id="8"/>
      <w:r w:rsidDel="00000000" w:rsidR="00000000" w:rsidRPr="00000000">
        <w:rPr>
          <w:rtl w:val="0"/>
        </w:rPr>
        <w:t xml:space="preserve">Attributes of LineOfBusiness:</w:t>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lineofBusinessID:</w:t>
      </w:r>
      <w:r w:rsidDel="00000000" w:rsidR="00000000" w:rsidRPr="00000000">
        <w:rPr>
          <w:rtl w:val="0"/>
        </w:rPr>
        <w:t xml:space="preserve"> A unique identifier for the line of business.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organizational structuring and clear identification of different business segments.</w:t>
      </w:r>
    </w:p>
    <w:p w:rsidR="00000000" w:rsidDel="00000000" w:rsidP="00000000" w:rsidRDefault="00000000" w:rsidRPr="00000000" w14:paraId="0000006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lineofBusinessName:</w:t>
      </w:r>
      <w:r w:rsidDel="00000000" w:rsidR="00000000" w:rsidRPr="00000000">
        <w:rPr>
          <w:rtl w:val="0"/>
        </w:rPr>
        <w:t xml:space="preserve"> The name of the line of business.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human-readable name for the business segment.</w:t>
      </w:r>
    </w:p>
    <w:p w:rsidR="00000000" w:rsidDel="00000000" w:rsidP="00000000" w:rsidRDefault="00000000" w:rsidRPr="00000000" w14:paraId="0000006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6C">
      <w:pPr>
        <w:pStyle w:val="Heading3"/>
        <w:rPr/>
      </w:pPr>
      <w:bookmarkStart w:colFirst="0" w:colLast="0" w:name="_n3ubkvltu0c5" w:id="9"/>
      <w:bookmarkEnd w:id="9"/>
      <w:r w:rsidDel="00000000" w:rsidR="00000000" w:rsidRPr="00000000">
        <w:rPr>
          <w:rtl w:val="0"/>
        </w:rPr>
        <w:t xml:space="preserve">Relationships of LineOfBusiness:</w:t>
      </w:r>
    </w:p>
    <w:p w:rsidR="00000000" w:rsidDel="00000000" w:rsidP="00000000" w:rsidRDefault="00000000" w:rsidRPr="00000000" w14:paraId="0000006D">
      <w:pPr>
        <w:numPr>
          <w:ilvl w:val="0"/>
          <w:numId w:val="1"/>
        </w:numPr>
        <w:ind w:left="720" w:hanging="360"/>
      </w:pPr>
      <w:r w:rsidDel="00000000" w:rsidR="00000000" w:rsidRPr="00000000">
        <w:rPr>
          <w:b w:val="1"/>
          <w:rtl w:val="0"/>
        </w:rPr>
        <w:t xml:space="preserve">contributesTo BusinessContext: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LineOfBusiness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contributesTo</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6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establishes the hierarchical structure, showing how lines of business encompass various business contexts.</w:t>
      </w:r>
    </w:p>
    <w:p w:rsidR="00000000" w:rsidDel="00000000" w:rsidP="00000000" w:rsidRDefault="00000000" w:rsidRPr="00000000" w14:paraId="0000006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line of business must contribute to at least one business context)</w:t>
      </w:r>
    </w:p>
    <w:p w:rsidR="00000000" w:rsidDel="00000000" w:rsidP="00000000" w:rsidRDefault="00000000" w:rsidRPr="00000000" w14:paraId="00000070">
      <w:pPr>
        <w:pStyle w:val="Heading2"/>
        <w:rPr/>
      </w:pPr>
      <w:bookmarkStart w:colFirst="0" w:colLast="0" w:name="_e3jx4t4n1pof" w:id="10"/>
      <w:bookmarkEnd w:id="10"/>
      <w:r w:rsidDel="00000000" w:rsidR="00000000" w:rsidRPr="00000000">
        <w:rPr>
          <w:rtl w:val="0"/>
        </w:rPr>
        <w:t xml:space="preserve">4. Country Class</w:t>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class represents a geographical jurisdiction relevant to data processing, primarily for identifying applicable privacy laws and data transfer regulations.</w:t>
      </w:r>
    </w:p>
    <w:p w:rsidR="00000000" w:rsidDel="00000000" w:rsidP="00000000" w:rsidRDefault="00000000" w:rsidRPr="00000000" w14:paraId="00000072">
      <w:pPr>
        <w:pStyle w:val="Heading3"/>
        <w:rPr/>
      </w:pPr>
      <w:bookmarkStart w:colFirst="0" w:colLast="0" w:name="_z2z79kxkofmt" w:id="11"/>
      <w:bookmarkEnd w:id="11"/>
      <w:r w:rsidDel="00000000" w:rsidR="00000000" w:rsidRPr="00000000">
        <w:rPr>
          <w:rtl w:val="0"/>
        </w:rPr>
        <w:t xml:space="preserve">Attributes of Country:</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ISO-3Code:</w:t>
      </w:r>
      <w:r w:rsidDel="00000000" w:rsidR="00000000" w:rsidRPr="00000000">
        <w:rPr>
          <w:rtl w:val="0"/>
        </w:rPr>
        <w:t xml:space="preserve"> The ISO 3166-1 alpha-3 code for the country.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standardized, unambiguous identifier for countries, crucial for international data transfers and regulatory mapping.</w:t>
      </w:r>
    </w:p>
    <w:p w:rsidR="00000000" w:rsidDel="00000000" w:rsidP="00000000" w:rsidRDefault="00000000" w:rsidRPr="00000000" w14:paraId="0000007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CountryName:</w:t>
      </w:r>
      <w:r w:rsidDel="00000000" w:rsidR="00000000" w:rsidRPr="00000000">
        <w:rPr>
          <w:rtl w:val="0"/>
        </w:rPr>
        <w:t xml:space="preserve"> The full name of the country.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07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7C">
      <w:pPr>
        <w:pStyle w:val="Heading3"/>
        <w:rPr/>
      </w:pPr>
      <w:bookmarkStart w:colFirst="0" w:colLast="0" w:name="_p3m4ys65w02g" w:id="12"/>
      <w:bookmarkEnd w:id="12"/>
      <w:r w:rsidDel="00000000" w:rsidR="00000000" w:rsidRPr="00000000">
        <w:rPr>
          <w:rtl w:val="0"/>
        </w:rPr>
        <w:t xml:space="preserve">Relationships of Country:</w:t>
      </w:r>
    </w:p>
    <w:p w:rsidR="00000000" w:rsidDel="00000000" w:rsidP="00000000" w:rsidRDefault="00000000" w:rsidRPr="00000000" w14:paraId="0000007D">
      <w:pPr>
        <w:numPr>
          <w:ilvl w:val="0"/>
          <w:numId w:val="1"/>
        </w:numPr>
        <w:ind w:left="720" w:hanging="360"/>
      </w:pPr>
      <w:r w:rsidDel="00000000" w:rsidR="00000000" w:rsidRPr="00000000">
        <w:rPr>
          <w:b w:val="1"/>
          <w:rtl w:val="0"/>
        </w:rPr>
        <w:t xml:space="preserve">contributesTo BusinessContext: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contributesTo</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7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indicates the geographical location of a business context, which is vital for determining applicable local laws.</w:t>
      </w:r>
    </w:p>
    <w:p w:rsidR="00000000" w:rsidDel="00000000" w:rsidP="00000000" w:rsidRDefault="00000000" w:rsidRPr="00000000" w14:paraId="0000007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a business context operates within a specific country)</w:t>
      </w:r>
    </w:p>
    <w:p w:rsidR="00000000" w:rsidDel="00000000" w:rsidP="00000000" w:rsidRDefault="00000000" w:rsidRPr="00000000" w14:paraId="00000080">
      <w:pPr>
        <w:pStyle w:val="Heading2"/>
        <w:rPr/>
      </w:pPr>
      <w:bookmarkStart w:colFirst="0" w:colLast="0" w:name="_utmn824h0p58" w:id="13"/>
      <w:bookmarkEnd w:id="13"/>
      <w:r w:rsidDel="00000000" w:rsidR="00000000" w:rsidRPr="00000000">
        <w:rPr>
          <w:rtl w:val="0"/>
        </w:rPr>
        <w:t xml:space="preserve">5. LegalEntity Class</w:t>
      </w:r>
    </w:p>
    <w:p w:rsidR="00000000" w:rsidDel="00000000" w:rsidP="00000000" w:rsidRDefault="00000000" w:rsidRPr="00000000" w14:paraId="0000008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class represents any legal person or organization involved in data processing, such as controllers, processors, or data protection officers.</w:t>
      </w:r>
    </w:p>
    <w:p w:rsidR="00000000" w:rsidDel="00000000" w:rsidP="00000000" w:rsidRDefault="00000000" w:rsidRPr="00000000" w14:paraId="00000082">
      <w:pPr>
        <w:pStyle w:val="Heading3"/>
        <w:rPr/>
      </w:pPr>
      <w:bookmarkStart w:colFirst="0" w:colLast="0" w:name="_hxzz7bopvtkw" w:id="14"/>
      <w:bookmarkEnd w:id="14"/>
      <w:r w:rsidDel="00000000" w:rsidR="00000000" w:rsidRPr="00000000">
        <w:rPr>
          <w:rtl w:val="0"/>
        </w:rPr>
        <w:t xml:space="preserve">Attributes of LegalEntity:</w:t>
      </w:r>
    </w:p>
    <w:p w:rsidR="00000000" w:rsidDel="00000000" w:rsidP="00000000" w:rsidRDefault="00000000" w:rsidRPr="00000000" w14:paraId="00000083">
      <w:pPr>
        <w:numPr>
          <w:ilvl w:val="0"/>
          <w:numId w:val="1"/>
        </w:numPr>
        <w:ind w:left="720" w:hanging="360"/>
      </w:pPr>
      <w:r w:rsidDel="00000000" w:rsidR="00000000" w:rsidRPr="00000000">
        <w:rPr>
          <w:b w:val="1"/>
          <w:rtl w:val="0"/>
        </w:rPr>
        <w:t xml:space="preserve">entityID:</w:t>
      </w:r>
      <w:r w:rsidDel="00000000" w:rsidR="00000000" w:rsidRPr="00000000">
        <w:rPr>
          <w:rtl w:val="0"/>
        </w:rPr>
        <w:t xml:space="preserve"> A unique identifier for the legal entity.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identifying and distinguishing between different legal entities involved in data processing.</w:t>
      </w:r>
    </w:p>
    <w:p w:rsidR="00000000" w:rsidDel="00000000" w:rsidP="00000000" w:rsidRDefault="00000000" w:rsidRPr="00000000" w14:paraId="0000008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b w:val="1"/>
          <w:rtl w:val="0"/>
        </w:rPr>
        <w:t xml:space="preserve">entityName:</w:t>
      </w:r>
      <w:r w:rsidDel="00000000" w:rsidR="00000000" w:rsidRPr="00000000">
        <w:rPr>
          <w:rtl w:val="0"/>
        </w:rPr>
        <w:t xml:space="preserve"> The name of the legal entity.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the entity.</w:t>
      </w:r>
    </w:p>
    <w:p w:rsidR="00000000" w:rsidDel="00000000" w:rsidP="00000000" w:rsidRDefault="00000000" w:rsidRPr="00000000" w14:paraId="0000008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b w:val="1"/>
          <w:rtl w:val="0"/>
        </w:rPr>
        <w:t xml:space="preserve">contactDetails:</w:t>
      </w:r>
      <w:r w:rsidDel="00000000" w:rsidR="00000000" w:rsidRPr="00000000">
        <w:rPr>
          <w:rtl w:val="0"/>
        </w:rPr>
        <w:t xml:space="preserve"> Contact information for the legal entity.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requires the 'name and contact details of the controller and, where applicable, the joint controller, the controller’s representative and the data protection officer'. This is a common requirement across many privacy laws for accountability and communication.</w:t>
      </w:r>
    </w:p>
    <w:p w:rsidR="00000000" w:rsidDel="00000000" w:rsidP="00000000" w:rsidRDefault="00000000" w:rsidRPr="00000000" w14:paraId="0000009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b w:val="1"/>
          <w:rtl w:val="0"/>
        </w:rPr>
        <w:t xml:space="preserve">entityRole:</w:t>
      </w:r>
      <w:r w:rsidDel="00000000" w:rsidR="00000000" w:rsidRPr="00000000">
        <w:rPr>
          <w:rtl w:val="0"/>
        </w:rPr>
        <w:t xml:space="preserve"> The role of the legal entity (e.g., Controller, Processor, Joint Controller, Representative, DPO).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4 defines 'controller' and 'processor'. The distinction between these roles is crucial for assigning responsibilities and obligations under GDPR and other laws. PIPL also distinguishes between personal information handlers and entrusted parties.</w:t>
      </w:r>
    </w:p>
    <w:p w:rsidR="00000000" w:rsidDel="00000000" w:rsidP="00000000" w:rsidRDefault="00000000" w:rsidRPr="00000000" w14:paraId="0000009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entity can have multiple roles or be identified by one primary role)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b w:val="1"/>
          <w:rtl w:val="0"/>
        </w:rPr>
        <w:t xml:space="preserve">dpoName:</w:t>
      </w:r>
      <w:r w:rsidDel="00000000" w:rsidR="00000000" w:rsidRPr="00000000">
        <w:rPr>
          <w:rtl w:val="0"/>
        </w:rPr>
        <w:t xml:space="preserve"> Name of the Data Protection Officer (if applicable).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37 mandates the designation of a DPO in certain cases. Article 30(1)(a) requires their contact details in the record of processing activities.</w:t>
      </w:r>
    </w:p>
    <w:p w:rsidR="00000000" w:rsidDel="00000000" w:rsidP="00000000" w:rsidRDefault="00000000" w:rsidRPr="00000000" w14:paraId="0000009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 DPO is designated)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C">
      <w:pPr>
        <w:numPr>
          <w:ilvl w:val="0"/>
          <w:numId w:val="1"/>
        </w:numPr>
        <w:ind w:left="720" w:hanging="360"/>
      </w:pPr>
      <w:r w:rsidDel="00000000" w:rsidR="00000000" w:rsidRPr="00000000">
        <w:rPr>
          <w:b w:val="1"/>
          <w:rtl w:val="0"/>
        </w:rPr>
        <w:t xml:space="preserve">dpoContact:</w:t>
      </w:r>
      <w:r w:rsidDel="00000000" w:rsidR="00000000" w:rsidRPr="00000000">
        <w:rPr>
          <w:rtl w:val="0"/>
        </w:rPr>
        <w:t xml:space="preserve"> Contact details of the Data Protection Officer (if applicable).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 per GDPR Article 30(1)(a).</w:t>
      </w:r>
    </w:p>
    <w:p w:rsidR="00000000" w:rsidDel="00000000" w:rsidP="00000000" w:rsidRDefault="00000000" w:rsidRPr="00000000" w14:paraId="0000009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a DPO is designated)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b w:val="1"/>
          <w:rtl w:val="0"/>
        </w:rPr>
        <w:t xml:space="preserve">controllerName:</w:t>
      </w:r>
      <w:r w:rsidDel="00000000" w:rsidR="00000000" w:rsidRPr="00000000">
        <w:rPr>
          <w:rtl w:val="0"/>
        </w:rPr>
        <w:t xml:space="preserve"> Name of the Controller.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30(1)(a) explicitly requires the name of the controller. This is a fundamental piece of information for accountability.</w:t>
      </w:r>
    </w:p>
    <w:p w:rsidR="00000000" w:rsidDel="00000000" w:rsidP="00000000" w:rsidRDefault="00000000" w:rsidRPr="00000000" w14:paraId="000000A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is a controller)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controllerContact:</w:t>
      </w:r>
      <w:r w:rsidDel="00000000" w:rsidR="00000000" w:rsidRPr="00000000">
        <w:rPr>
          <w:rtl w:val="0"/>
        </w:rPr>
        <w:t xml:space="preserve"> Contact details of the Controller.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 per GDPR Article 30(1)(a).</w:t>
      </w:r>
    </w:p>
    <w:p w:rsidR="00000000" w:rsidDel="00000000" w:rsidP="00000000" w:rsidRDefault="00000000" w:rsidRPr="00000000" w14:paraId="000000A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is a controller)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b w:val="1"/>
          <w:rtl w:val="0"/>
        </w:rPr>
        <w:t xml:space="preserve">processorName:</w:t>
      </w:r>
      <w:r w:rsidDel="00000000" w:rsidR="00000000" w:rsidRPr="00000000">
        <w:rPr>
          <w:rtl w:val="0"/>
        </w:rPr>
        <w:t xml:space="preserve"> Name of the Processor.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30(2) requires processors to maintain a record of processing activities carried out on behalf of a controller, including the name and contact details of each controller on behalf of which the processor is acting. This is also relevant for processor accountability.</w:t>
      </w:r>
    </w:p>
    <w:p w:rsidR="00000000" w:rsidDel="00000000" w:rsidP="00000000" w:rsidRDefault="00000000" w:rsidRPr="00000000" w14:paraId="000000A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is a processor)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b w:val="1"/>
          <w:rtl w:val="0"/>
        </w:rPr>
        <w:t xml:space="preserve">processorContact:</w:t>
      </w:r>
      <w:r w:rsidDel="00000000" w:rsidR="00000000" w:rsidRPr="00000000">
        <w:rPr>
          <w:rtl w:val="0"/>
        </w:rPr>
        <w:t xml:space="preserve"> Contact details of the Processor.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As per GDPR Article 30(2).</w:t>
      </w:r>
    </w:p>
    <w:p w:rsidR="00000000" w:rsidDel="00000000" w:rsidP="00000000" w:rsidRDefault="00000000" w:rsidRPr="00000000" w14:paraId="000000B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is a processor)</w:t>
      </w:r>
    </w:p>
    <w:p w:rsidR="00000000" w:rsidDel="00000000" w:rsidP="00000000" w:rsidRDefault="00000000" w:rsidRPr="00000000" w14:paraId="000000B4">
      <w:pPr>
        <w:pStyle w:val="Heading3"/>
        <w:rPr/>
      </w:pPr>
      <w:bookmarkStart w:colFirst="0" w:colLast="0" w:name="_coxaw35yaktp" w:id="15"/>
      <w:bookmarkEnd w:id="15"/>
      <w:r w:rsidDel="00000000" w:rsidR="00000000" w:rsidRPr="00000000">
        <w:rPr>
          <w:rtl w:val="0"/>
        </w:rPr>
        <w:t xml:space="preserve">Relationships of LegalEntity:</w:t>
      </w:r>
    </w:p>
    <w:p w:rsidR="00000000" w:rsidDel="00000000" w:rsidP="00000000" w:rsidRDefault="00000000" w:rsidRPr="00000000" w14:paraId="000000B5">
      <w:pPr>
        <w:numPr>
          <w:ilvl w:val="0"/>
          <w:numId w:val="1"/>
        </w:numPr>
        <w:ind w:left="720" w:hanging="360"/>
      </w:pPr>
      <w:r w:rsidDel="00000000" w:rsidR="00000000" w:rsidRPr="00000000">
        <w:rPr>
          <w:b w:val="1"/>
          <w:rtl w:val="0"/>
        </w:rPr>
        <w:t xml:space="preserve">contributesTo BusinessContext: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contributesTo</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w:t>
      </w:r>
    </w:p>
    <w:p w:rsidR="00000000" w:rsidDel="00000000" w:rsidP="00000000" w:rsidRDefault="00000000" w:rsidRPr="00000000" w14:paraId="000000B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shows which legal entities are associated with or operate within a specific business context.</w:t>
      </w:r>
    </w:p>
    <w:p w:rsidR="00000000" w:rsidDel="00000000" w:rsidP="00000000" w:rsidRDefault="00000000" w:rsidRPr="00000000" w14:paraId="000000B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legal entity must be associated with at least one business context)</w:t>
      </w:r>
    </w:p>
    <w:p w:rsidR="00000000" w:rsidDel="00000000" w:rsidP="00000000" w:rsidRDefault="00000000" w:rsidRPr="00000000" w14:paraId="000000B8">
      <w:pPr>
        <w:pStyle w:val="Heading2"/>
        <w:rPr/>
      </w:pPr>
      <w:bookmarkStart w:colFirst="0" w:colLast="0" w:name="_c40oq0uwoa73" w:id="16"/>
      <w:bookmarkEnd w:id="16"/>
      <w:r w:rsidDel="00000000" w:rsidR="00000000" w:rsidRPr="00000000">
        <w:rPr>
          <w:rtl w:val="0"/>
        </w:rPr>
        <w:t xml:space="preserve">6. RegulatoryRequirement Class</w:t>
      </w:r>
    </w:p>
    <w:p w:rsidR="00000000" w:rsidDel="00000000" w:rsidP="00000000" w:rsidRDefault="00000000" w:rsidRPr="00000000" w14:paraId="000000B9">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class represents specific legal obligations or articles from privacy regulations that apply to data processing activities.</w:t>
      </w:r>
    </w:p>
    <w:p w:rsidR="00000000" w:rsidDel="00000000" w:rsidP="00000000" w:rsidRDefault="00000000" w:rsidRPr="00000000" w14:paraId="000000BA">
      <w:pPr>
        <w:pStyle w:val="Heading3"/>
        <w:rPr/>
      </w:pPr>
      <w:bookmarkStart w:colFirst="0" w:colLast="0" w:name="_3ys61oh254aa" w:id="17"/>
      <w:bookmarkEnd w:id="17"/>
      <w:r w:rsidDel="00000000" w:rsidR="00000000" w:rsidRPr="00000000">
        <w:rPr>
          <w:rtl w:val="0"/>
        </w:rPr>
        <w:t xml:space="preserve">Attributes of RegulatoryRequirement:</w:t>
      </w:r>
    </w:p>
    <w:p w:rsidR="00000000" w:rsidDel="00000000" w:rsidP="00000000" w:rsidRDefault="00000000" w:rsidRPr="00000000" w14:paraId="000000BB">
      <w:pPr>
        <w:numPr>
          <w:ilvl w:val="0"/>
          <w:numId w:val="1"/>
        </w:numPr>
        <w:ind w:left="720" w:hanging="360"/>
      </w:pPr>
      <w:r w:rsidDel="00000000" w:rsidR="00000000" w:rsidRPr="00000000">
        <w:rPr>
          <w:b w:val="1"/>
          <w:rtl w:val="0"/>
        </w:rPr>
        <w:t xml:space="preserve">requirementID:</w:t>
      </w:r>
      <w:r w:rsidDel="00000000" w:rsidR="00000000" w:rsidRPr="00000000">
        <w:rPr>
          <w:rtl w:val="0"/>
        </w:rPr>
        <w:t xml:space="preserve"> A unique identifier for the regulatory requirement (e.g., GDPR_Art_6_1_a).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precise and unambiguous reference to specific legal articles or provisions.</w:t>
      </w:r>
    </w:p>
    <w:p w:rsidR="00000000" w:rsidDel="00000000" w:rsidP="00000000" w:rsidRDefault="00000000" w:rsidRPr="00000000" w14:paraId="000000B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0"/>
          <w:numId w:val="1"/>
        </w:numPr>
        <w:ind w:left="720" w:hanging="360"/>
      </w:pPr>
      <w:r w:rsidDel="00000000" w:rsidR="00000000" w:rsidRPr="00000000">
        <w:rPr>
          <w:b w:val="1"/>
          <w:rtl w:val="0"/>
        </w:rPr>
        <w:t xml:space="preserve">ruleDescription:</w:t>
      </w:r>
      <w:r w:rsidDel="00000000" w:rsidR="00000000" w:rsidRPr="00000000">
        <w:rPr>
          <w:rtl w:val="0"/>
        </w:rPr>
        <w:t xml:space="preserve"> A description of the regulatory rule or article.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human-readable summary of the legal obligation.</w:t>
      </w:r>
    </w:p>
    <w:p w:rsidR="00000000" w:rsidDel="00000000" w:rsidP="00000000" w:rsidRDefault="00000000" w:rsidRPr="00000000" w14:paraId="000000C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b w:val="1"/>
          <w:rtl w:val="0"/>
        </w:rPr>
        <w:t xml:space="preserve">regulationAppliedTo:</w:t>
      </w:r>
      <w:r w:rsidDel="00000000" w:rsidR="00000000" w:rsidRPr="00000000">
        <w:rPr>
          <w:rtl w:val="0"/>
        </w:rPr>
        <w:t xml:space="preserve"> The legal entity to which the regulation applies (e.g., Controller, Processor).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Regulations often impose different obligations on controllers and processors. This attribute clarifies the applicability.</w:t>
      </w:r>
    </w:p>
    <w:p w:rsidR="00000000" w:rsidDel="00000000" w:rsidP="00000000" w:rsidRDefault="00000000" w:rsidRPr="00000000" w14:paraId="000000C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regulation can apply to multiple entity roles)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A">
      <w:pPr>
        <w:numPr>
          <w:ilvl w:val="0"/>
          <w:numId w:val="1"/>
        </w:numPr>
        <w:ind w:left="720" w:hanging="360"/>
      </w:pPr>
      <w:r w:rsidDel="00000000" w:rsidR="00000000" w:rsidRPr="00000000">
        <w:rPr>
          <w:b w:val="1"/>
          <w:rtl w:val="0"/>
        </w:rPr>
        <w:t xml:space="preserve">isMandatory:</w:t>
      </w:r>
      <w:r w:rsidDel="00000000" w:rsidR="00000000" w:rsidRPr="00000000">
        <w:rPr>
          <w:rtl w:val="0"/>
        </w:rPr>
        <w:t xml:space="preserve"> A boolean indicating whether the requirement is mandatory.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Some requirements might be conditional or best practices rather than strict legal mandates. This helps distinguish them.</w:t>
      </w:r>
    </w:p>
    <w:p w:rsidR="00000000" w:rsidDel="00000000" w:rsidP="00000000" w:rsidRDefault="00000000" w:rsidRPr="00000000" w14:paraId="000000C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CE">
      <w:pPr>
        <w:pStyle w:val="Heading3"/>
        <w:rPr/>
      </w:pPr>
      <w:bookmarkStart w:colFirst="0" w:colLast="0" w:name="_4dwb3sihl4rw" w:id="18"/>
      <w:bookmarkEnd w:id="18"/>
      <w:r w:rsidDel="00000000" w:rsidR="00000000" w:rsidRPr="00000000">
        <w:rPr>
          <w:rtl w:val="0"/>
        </w:rPr>
        <w:t xml:space="preserve">Relationships of RegulatoryRequirement:</w:t>
      </w:r>
    </w:p>
    <w:p w:rsidR="00000000" w:rsidDel="00000000" w:rsidP="00000000" w:rsidRDefault="00000000" w:rsidRPr="00000000" w14:paraId="000000CF">
      <w:pPr>
        <w:numPr>
          <w:ilvl w:val="0"/>
          <w:numId w:val="1"/>
        </w:numPr>
        <w:ind w:left="720" w:hanging="360"/>
      </w:pPr>
      <w:r w:rsidDel="00000000" w:rsidR="00000000" w:rsidRPr="00000000">
        <w:rPr>
          <w:b w:val="1"/>
          <w:rtl w:val="0"/>
        </w:rPr>
        <w:t xml:space="preserve">inScopeOf Country:</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 inScopeOf</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w:t>
      </w:r>
    </w:p>
    <w:p w:rsidR="00000000" w:rsidDel="00000000" w:rsidP="00000000" w:rsidRDefault="00000000" w:rsidRPr="00000000" w14:paraId="000000D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a regulatory requirement to the specific countries or jurisdictions where it is applicable.</w:t>
      </w:r>
    </w:p>
    <w:p w:rsidR="00000000" w:rsidDel="00000000" w:rsidP="00000000" w:rsidRDefault="00000000" w:rsidRPr="00000000" w14:paraId="000000D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regulatory requirement applies in at least one country)</w:t>
      </w:r>
    </w:p>
    <w:p w:rsidR="00000000" w:rsidDel="00000000" w:rsidP="00000000" w:rsidRDefault="00000000" w:rsidRPr="00000000" w14:paraId="000000D2">
      <w:pPr>
        <w:pStyle w:val="Heading2"/>
        <w:rPr/>
      </w:pPr>
      <w:bookmarkStart w:colFirst="0" w:colLast="0" w:name="_6912a9li83m2" w:id="19"/>
      <w:bookmarkEnd w:id="19"/>
      <w:r w:rsidDel="00000000" w:rsidR="00000000" w:rsidRPr="00000000">
        <w:rPr>
          <w:rtl w:val="0"/>
        </w:rPr>
        <w:t xml:space="preserve">7. LawfulBasis Class</w:t>
      </w:r>
    </w:p>
    <w:p w:rsidR="00000000" w:rsidDel="00000000" w:rsidP="00000000" w:rsidRDefault="00000000" w:rsidRPr="00000000" w14:paraId="000000D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LawfulBasis</w:t>
      </w:r>
      <w:r w:rsidDel="00000000" w:rsidR="00000000" w:rsidRPr="00000000">
        <w:rPr>
          <w:rtl w:val="0"/>
        </w:rPr>
        <w:t xml:space="preserve"> class represents the legal grounds for processing personal data, as required by various privacy regulations.</w:t>
      </w:r>
    </w:p>
    <w:p w:rsidR="00000000" w:rsidDel="00000000" w:rsidP="00000000" w:rsidRDefault="00000000" w:rsidRPr="00000000" w14:paraId="000000D4">
      <w:pPr>
        <w:pStyle w:val="Heading3"/>
        <w:rPr/>
      </w:pPr>
      <w:bookmarkStart w:colFirst="0" w:colLast="0" w:name="_dd855sap202a" w:id="20"/>
      <w:bookmarkEnd w:id="20"/>
      <w:r w:rsidDel="00000000" w:rsidR="00000000" w:rsidRPr="00000000">
        <w:rPr>
          <w:rtl w:val="0"/>
        </w:rPr>
        <w:t xml:space="preserve">Attributes of LawfulBasis:</w:t>
      </w:r>
    </w:p>
    <w:p w:rsidR="00000000" w:rsidDel="00000000" w:rsidP="00000000" w:rsidRDefault="00000000" w:rsidRPr="00000000" w14:paraId="000000D5">
      <w:pPr>
        <w:numPr>
          <w:ilvl w:val="0"/>
          <w:numId w:val="1"/>
        </w:numPr>
        <w:ind w:left="720" w:hanging="360"/>
      </w:pPr>
      <w:r w:rsidDel="00000000" w:rsidR="00000000" w:rsidRPr="00000000">
        <w:rPr>
          <w:b w:val="1"/>
          <w:rtl w:val="0"/>
        </w:rPr>
        <w:t xml:space="preserve">lawfulBasisID:</w:t>
      </w:r>
      <w:r w:rsidDel="00000000" w:rsidR="00000000" w:rsidRPr="00000000">
        <w:rPr>
          <w:rtl w:val="0"/>
        </w:rPr>
        <w:t xml:space="preserve"> A unique identifier for the lawful basis (e.g., Consent, Contract).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clear and consistent way to identify the legal grounds for processing.</w:t>
      </w:r>
    </w:p>
    <w:p w:rsidR="00000000" w:rsidDel="00000000" w:rsidP="00000000" w:rsidRDefault="00000000" w:rsidRPr="00000000" w14:paraId="000000D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b w:val="1"/>
          <w:rtl w:val="0"/>
        </w:rPr>
        <w:t xml:space="preserve">lawfulBasisName:</w:t>
      </w:r>
      <w:r w:rsidDel="00000000" w:rsidR="00000000" w:rsidRPr="00000000">
        <w:rPr>
          <w:rtl w:val="0"/>
        </w:rPr>
        <w:t xml:space="preserve"> The name of the lawful basis (e.g., Consent, Performance of a contract).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0D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b w:val="1"/>
          <w:rtl w:val="0"/>
        </w:rPr>
        <w:t xml:space="preserve">lawfulBasisDescription:</w:t>
      </w:r>
      <w:r w:rsidDel="00000000" w:rsidR="00000000" w:rsidRPr="00000000">
        <w:rPr>
          <w:rtl w:val="0"/>
        </w:rPr>
        <w:t xml:space="preserve"> A description of the lawful basis.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details about the specific conditions or criteria for relying on this lawful basis.</w:t>
      </w:r>
    </w:p>
    <w:p w:rsidR="00000000" w:rsidDel="00000000" w:rsidP="00000000" w:rsidRDefault="00000000" w:rsidRPr="00000000" w14:paraId="000000E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E3">
      <w:pPr>
        <w:pStyle w:val="Heading2"/>
        <w:rPr/>
      </w:pPr>
      <w:bookmarkStart w:colFirst="0" w:colLast="0" w:name="_vct2etkgqc6l" w:id="21"/>
      <w:bookmarkEnd w:id="21"/>
      <w:r w:rsidDel="00000000" w:rsidR="00000000" w:rsidRPr="00000000">
        <w:rPr>
          <w:rtl w:val="0"/>
        </w:rPr>
        <w:t xml:space="preserve">8. DataCategory Class</w:t>
      </w:r>
    </w:p>
    <w:p w:rsidR="00000000" w:rsidDel="00000000" w:rsidP="00000000" w:rsidRDefault="00000000" w:rsidRPr="00000000" w14:paraId="000000E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class represents different types or categories of personal data being processed.</w:t>
      </w:r>
    </w:p>
    <w:p w:rsidR="00000000" w:rsidDel="00000000" w:rsidP="00000000" w:rsidRDefault="00000000" w:rsidRPr="00000000" w14:paraId="000000E5">
      <w:pPr>
        <w:pStyle w:val="Heading3"/>
        <w:rPr/>
      </w:pPr>
      <w:bookmarkStart w:colFirst="0" w:colLast="0" w:name="_lwe6aq3m05gj" w:id="22"/>
      <w:bookmarkEnd w:id="22"/>
      <w:r w:rsidDel="00000000" w:rsidR="00000000" w:rsidRPr="00000000">
        <w:rPr>
          <w:rtl w:val="0"/>
        </w:rPr>
        <w:t xml:space="preserve">Attributes of DataCategory:</w:t>
      </w:r>
    </w:p>
    <w:p w:rsidR="00000000" w:rsidDel="00000000" w:rsidP="00000000" w:rsidRDefault="00000000" w:rsidRPr="00000000" w14:paraId="000000E6">
      <w:pPr>
        <w:numPr>
          <w:ilvl w:val="0"/>
          <w:numId w:val="1"/>
        </w:numPr>
        <w:ind w:left="720" w:hanging="360"/>
      </w:pPr>
      <w:r w:rsidDel="00000000" w:rsidR="00000000" w:rsidRPr="00000000">
        <w:rPr>
          <w:b w:val="1"/>
          <w:rtl w:val="0"/>
        </w:rPr>
        <w:t xml:space="preserve">dataCategoryID:</w:t>
      </w:r>
      <w:r w:rsidDel="00000000" w:rsidR="00000000" w:rsidRPr="00000000">
        <w:rPr>
          <w:rtl w:val="0"/>
        </w:rPr>
        <w:t xml:space="preserve"> A unique identifier for the data category (e.g., Personal_Identifiable_Information, Special_Category_Data).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classifying and organizing personal data types.</w:t>
      </w:r>
    </w:p>
    <w:p w:rsidR="00000000" w:rsidDel="00000000" w:rsidP="00000000" w:rsidRDefault="00000000" w:rsidRPr="00000000" w14:paraId="000000E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B">
      <w:pPr>
        <w:numPr>
          <w:ilvl w:val="0"/>
          <w:numId w:val="1"/>
        </w:numPr>
        <w:ind w:left="720" w:hanging="360"/>
      </w:pPr>
      <w:r w:rsidDel="00000000" w:rsidR="00000000" w:rsidRPr="00000000">
        <w:rPr>
          <w:b w:val="1"/>
          <w:rtl w:val="0"/>
        </w:rPr>
        <w:t xml:space="preserve">dataCategoryName:</w:t>
      </w:r>
      <w:r w:rsidDel="00000000" w:rsidR="00000000" w:rsidRPr="00000000">
        <w:rPr>
          <w:rtl w:val="0"/>
        </w:rPr>
        <w:t xml:space="preserve"> The name of the data category (e.g., Contact Information, Health Data).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0E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b w:val="1"/>
          <w:rtl w:val="0"/>
        </w:rPr>
        <w:t xml:space="preserve">dataCategoryDescription:</w:t>
      </w:r>
      <w:r w:rsidDel="00000000" w:rsidR="00000000" w:rsidRPr="00000000">
        <w:rPr>
          <w:rtl w:val="0"/>
        </w:rPr>
        <w:t xml:space="preserve"> A description of the data category.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details about the types of data included in this category.</w:t>
      </w:r>
    </w:p>
    <w:p w:rsidR="00000000" w:rsidDel="00000000" w:rsidP="00000000" w:rsidRDefault="00000000" w:rsidRPr="00000000" w14:paraId="000000F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b w:val="1"/>
          <w:rtl w:val="0"/>
        </w:rPr>
        <w:t xml:space="preserve">isSpecialDataCategory:</w:t>
      </w:r>
      <w:r w:rsidDel="00000000" w:rsidR="00000000" w:rsidRPr="00000000">
        <w:rPr>
          <w:rtl w:val="0"/>
        </w:rPr>
        <w:t xml:space="preserve"> A boolean indicating if it's a special category of personal data (e.g., sensitive data).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9 defines special categories of personal data (e.g., health data, racial or ethnic origin) that require higher protection. Many other laws also have similar concepts of sensitive personal information. This attribute helps identify such data.</w:t>
      </w:r>
    </w:p>
    <w:p w:rsidR="00000000" w:rsidDel="00000000" w:rsidP="00000000" w:rsidRDefault="00000000" w:rsidRPr="00000000" w14:paraId="000000F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0F9">
      <w:pPr>
        <w:pStyle w:val="Heading3"/>
        <w:rPr/>
      </w:pPr>
      <w:bookmarkStart w:colFirst="0" w:colLast="0" w:name="_8ooluxmm40vf" w:id="23"/>
      <w:bookmarkEnd w:id="23"/>
      <w:r w:rsidDel="00000000" w:rsidR="00000000" w:rsidRPr="00000000">
        <w:rPr>
          <w:rtl w:val="0"/>
        </w:rPr>
        <w:t xml:space="preserve">Relationships of DataCategory:</w:t>
      </w:r>
    </w:p>
    <w:p w:rsidR="00000000" w:rsidDel="00000000" w:rsidP="00000000" w:rsidRDefault="00000000" w:rsidRPr="00000000" w14:paraId="000000FA">
      <w:pPr>
        <w:numPr>
          <w:ilvl w:val="0"/>
          <w:numId w:val="1"/>
        </w:numPr>
        <w:ind w:left="720" w:hanging="360"/>
      </w:pPr>
      <w:r w:rsidDel="00000000" w:rsidR="00000000" w:rsidRPr="00000000">
        <w:rPr>
          <w:b w:val="1"/>
          <w:rtl w:val="0"/>
        </w:rPr>
        <w:t xml:space="preserve">relatesTo DataSubject: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relatesTo</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w:t>
      </w:r>
    </w:p>
    <w:p w:rsidR="00000000" w:rsidDel="00000000" w:rsidP="00000000" w:rsidRDefault="00000000" w:rsidRPr="00000000" w14:paraId="000000F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the type of data to the categories of individuals it pertains to.</w:t>
      </w:r>
    </w:p>
    <w:p w:rsidR="00000000" w:rsidDel="00000000" w:rsidP="00000000" w:rsidRDefault="00000000" w:rsidRPr="00000000" w14:paraId="000000F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data category must relate to at least one data subject category)</w:t>
      </w:r>
    </w:p>
    <w:p w:rsidR="00000000" w:rsidDel="00000000" w:rsidP="00000000" w:rsidRDefault="00000000" w:rsidRPr="00000000" w14:paraId="000000FD">
      <w:pPr>
        <w:pStyle w:val="Heading2"/>
        <w:rPr/>
      </w:pPr>
      <w:bookmarkStart w:colFirst="0" w:colLast="0" w:name="_b92yii6vnfij" w:id="24"/>
      <w:bookmarkEnd w:id="24"/>
      <w:r w:rsidDel="00000000" w:rsidR="00000000" w:rsidRPr="00000000">
        <w:rPr>
          <w:rtl w:val="0"/>
        </w:rPr>
        <w:t xml:space="preserve">9. DataRetension Class</w:t>
      </w:r>
    </w:p>
    <w:p w:rsidR="00000000" w:rsidDel="00000000" w:rsidP="00000000" w:rsidRDefault="00000000" w:rsidRPr="00000000" w14:paraId="000000F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DataRetension</w:t>
      </w:r>
      <w:r w:rsidDel="00000000" w:rsidR="00000000" w:rsidRPr="00000000">
        <w:rPr>
          <w:rtl w:val="0"/>
        </w:rPr>
        <w:t xml:space="preserve"> class defines the policies and schedules for retaining personal data.</w:t>
      </w:r>
    </w:p>
    <w:p w:rsidR="00000000" w:rsidDel="00000000" w:rsidP="00000000" w:rsidRDefault="00000000" w:rsidRPr="00000000" w14:paraId="000000FF">
      <w:pPr>
        <w:pStyle w:val="Heading3"/>
        <w:rPr/>
      </w:pPr>
      <w:bookmarkStart w:colFirst="0" w:colLast="0" w:name="_6b9q6necudly" w:id="25"/>
      <w:bookmarkEnd w:id="25"/>
      <w:r w:rsidDel="00000000" w:rsidR="00000000" w:rsidRPr="00000000">
        <w:rPr>
          <w:rtl w:val="0"/>
        </w:rPr>
        <w:t xml:space="preserve">Attributes of DataRetension:</w:t>
      </w:r>
    </w:p>
    <w:p w:rsidR="00000000" w:rsidDel="00000000" w:rsidP="00000000" w:rsidRDefault="00000000" w:rsidRPr="00000000" w14:paraId="00000100">
      <w:pPr>
        <w:numPr>
          <w:ilvl w:val="0"/>
          <w:numId w:val="1"/>
        </w:numPr>
        <w:ind w:left="720" w:hanging="360"/>
      </w:pPr>
      <w:r w:rsidDel="00000000" w:rsidR="00000000" w:rsidRPr="00000000">
        <w:rPr>
          <w:b w:val="1"/>
          <w:rtl w:val="0"/>
        </w:rPr>
        <w:t xml:space="preserve">retensionScheduleID:</w:t>
      </w:r>
      <w:r w:rsidDel="00000000" w:rsidR="00000000" w:rsidRPr="00000000">
        <w:rPr>
          <w:rtl w:val="0"/>
        </w:rPr>
        <w:t xml:space="preserve"> A unique identifier for the retention schedule.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managing and tracking different data retention policies.</w:t>
      </w:r>
    </w:p>
    <w:p w:rsidR="00000000" w:rsidDel="00000000" w:rsidP="00000000" w:rsidRDefault="00000000" w:rsidRPr="00000000" w14:paraId="0000010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5">
      <w:pPr>
        <w:numPr>
          <w:ilvl w:val="0"/>
          <w:numId w:val="1"/>
        </w:numPr>
        <w:ind w:left="720" w:hanging="360"/>
      </w:pPr>
      <w:r w:rsidDel="00000000" w:rsidR="00000000" w:rsidRPr="00000000">
        <w:rPr>
          <w:b w:val="1"/>
          <w:rtl w:val="0"/>
        </w:rPr>
        <w:t xml:space="preserve">retensionScheduleStartDate:</w:t>
      </w:r>
      <w:r w:rsidDel="00000000" w:rsidR="00000000" w:rsidRPr="00000000">
        <w:rPr>
          <w:rtl w:val="0"/>
        </w:rPr>
        <w:t xml:space="preserve"> The start date of the retention period.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clear timeline for data retention.</w:t>
      </w:r>
    </w:p>
    <w:p w:rsidR="00000000" w:rsidDel="00000000" w:rsidP="00000000" w:rsidRDefault="00000000" w:rsidRPr="00000000" w14:paraId="0000010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A">
      <w:pPr>
        <w:numPr>
          <w:ilvl w:val="0"/>
          <w:numId w:val="1"/>
        </w:numPr>
        <w:ind w:left="720" w:hanging="360"/>
      </w:pPr>
      <w:r w:rsidDel="00000000" w:rsidR="00000000" w:rsidRPr="00000000">
        <w:rPr>
          <w:b w:val="1"/>
          <w:rtl w:val="0"/>
        </w:rPr>
        <w:t xml:space="preserve">retensionScheduleEndDate:</w:t>
      </w:r>
      <w:r w:rsidDel="00000000" w:rsidR="00000000" w:rsidRPr="00000000">
        <w:rPr>
          <w:rtl w:val="0"/>
        </w:rPr>
        <w:t xml:space="preserve"> The end date of the retention period.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clear timeline for data retention.</w:t>
      </w:r>
    </w:p>
    <w:p w:rsidR="00000000" w:rsidDel="00000000" w:rsidP="00000000" w:rsidRDefault="00000000" w:rsidRPr="00000000" w14:paraId="0000010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F">
      <w:pPr>
        <w:numPr>
          <w:ilvl w:val="0"/>
          <w:numId w:val="1"/>
        </w:numPr>
        <w:ind w:left="720" w:hanging="360"/>
      </w:pPr>
      <w:r w:rsidDel="00000000" w:rsidR="00000000" w:rsidRPr="00000000">
        <w:rPr>
          <w:b w:val="1"/>
          <w:rtl w:val="0"/>
        </w:rPr>
        <w:t xml:space="preserve">isApplicableForLegalHold:</w:t>
      </w:r>
      <w:r w:rsidDel="00000000" w:rsidR="00000000" w:rsidRPr="00000000">
        <w:rPr>
          <w:rtl w:val="0"/>
        </w:rPr>
        <w:t xml:space="preserve"> A boolean indicating if the data is subject to a legal hold.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Legal holds can override standard retention schedules, requiring data to be preserved for legal or investigative purposes. This attribute is crucial for compliance.</w:t>
      </w:r>
    </w:p>
    <w:p w:rsidR="00000000" w:rsidDel="00000000" w:rsidP="00000000" w:rsidRDefault="00000000" w:rsidRPr="00000000" w14:paraId="0000011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13">
      <w:pPr>
        <w:pStyle w:val="Heading2"/>
        <w:rPr/>
      </w:pPr>
      <w:bookmarkStart w:colFirst="0" w:colLast="0" w:name="_lrpno4ayv9wv" w:id="26"/>
      <w:bookmarkEnd w:id="26"/>
      <w:r w:rsidDel="00000000" w:rsidR="00000000" w:rsidRPr="00000000">
        <w:rPr>
          <w:rtl w:val="0"/>
        </w:rPr>
        <w:t xml:space="preserve">10. ImpactAssessment Class</w:t>
      </w:r>
    </w:p>
    <w:p w:rsidR="00000000" w:rsidDel="00000000" w:rsidP="00000000" w:rsidRDefault="00000000" w:rsidRPr="00000000" w14:paraId="0000011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class represents records of data protection impact assessments (DPIAs) or privacy impact assessments (PIAs).</w:t>
      </w:r>
    </w:p>
    <w:p w:rsidR="00000000" w:rsidDel="00000000" w:rsidP="00000000" w:rsidRDefault="00000000" w:rsidRPr="00000000" w14:paraId="00000115">
      <w:pPr>
        <w:pStyle w:val="Heading3"/>
        <w:rPr/>
      </w:pPr>
      <w:bookmarkStart w:colFirst="0" w:colLast="0" w:name="_lxflzlc5gre" w:id="27"/>
      <w:bookmarkEnd w:id="27"/>
      <w:r w:rsidDel="00000000" w:rsidR="00000000" w:rsidRPr="00000000">
        <w:rPr>
          <w:rtl w:val="0"/>
        </w:rPr>
        <w:t xml:space="preserve">Attributes of ImpactAssessment:</w:t>
      </w:r>
    </w:p>
    <w:p w:rsidR="00000000" w:rsidDel="00000000" w:rsidP="00000000" w:rsidRDefault="00000000" w:rsidRPr="00000000" w14:paraId="00000116">
      <w:pPr>
        <w:numPr>
          <w:ilvl w:val="0"/>
          <w:numId w:val="1"/>
        </w:numPr>
        <w:ind w:left="720" w:hanging="360"/>
      </w:pPr>
      <w:r w:rsidDel="00000000" w:rsidR="00000000" w:rsidRPr="00000000">
        <w:rPr>
          <w:b w:val="1"/>
          <w:rtl w:val="0"/>
        </w:rPr>
        <w:t xml:space="preserve">assessmentReferenceID:</w:t>
      </w:r>
      <w:r w:rsidDel="00000000" w:rsidR="00000000" w:rsidRPr="00000000">
        <w:rPr>
          <w:rtl w:val="0"/>
        </w:rPr>
        <w:t xml:space="preserve"> A unique identifier for the impact assessment.</w:t>
      </w:r>
    </w:p>
    <w:p w:rsidR="00000000" w:rsidDel="00000000" w:rsidP="00000000" w:rsidRDefault="00000000" w:rsidRPr="00000000" w14:paraId="0000011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referencing and tracking specific impact assessments.</w:t>
      </w:r>
    </w:p>
    <w:p w:rsidR="00000000" w:rsidDel="00000000" w:rsidP="00000000" w:rsidRDefault="00000000" w:rsidRPr="00000000" w14:paraId="0000011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19">
      <w:pPr>
        <w:pStyle w:val="Heading2"/>
        <w:rPr/>
      </w:pPr>
      <w:bookmarkStart w:colFirst="0" w:colLast="0" w:name="_w4rkvdkydah4" w:id="28"/>
      <w:bookmarkEnd w:id="28"/>
      <w:r w:rsidDel="00000000" w:rsidR="00000000" w:rsidRPr="00000000">
        <w:rPr>
          <w:rtl w:val="0"/>
        </w:rPr>
        <w:t xml:space="preserve">11. DataSubject Class</w:t>
      </w:r>
    </w:p>
    <w:p w:rsidR="00000000" w:rsidDel="00000000" w:rsidP="00000000" w:rsidRDefault="00000000" w:rsidRPr="00000000" w14:paraId="0000011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class represents categories of individuals whose personal data is being processed.</w:t>
      </w:r>
    </w:p>
    <w:p w:rsidR="00000000" w:rsidDel="00000000" w:rsidP="00000000" w:rsidRDefault="00000000" w:rsidRPr="00000000" w14:paraId="0000011B">
      <w:pPr>
        <w:pStyle w:val="Heading3"/>
        <w:rPr/>
      </w:pPr>
      <w:bookmarkStart w:colFirst="0" w:colLast="0" w:name="_2rejepq38que" w:id="29"/>
      <w:bookmarkEnd w:id="29"/>
      <w:r w:rsidDel="00000000" w:rsidR="00000000" w:rsidRPr="00000000">
        <w:rPr>
          <w:rtl w:val="0"/>
        </w:rPr>
        <w:t xml:space="preserve">Attributes of DataSubject:</w:t>
      </w:r>
    </w:p>
    <w:p w:rsidR="00000000" w:rsidDel="00000000" w:rsidP="00000000" w:rsidRDefault="00000000" w:rsidRPr="00000000" w14:paraId="0000011C">
      <w:pPr>
        <w:numPr>
          <w:ilvl w:val="0"/>
          <w:numId w:val="1"/>
        </w:numPr>
        <w:ind w:left="720" w:hanging="360"/>
      </w:pPr>
      <w:r w:rsidDel="00000000" w:rsidR="00000000" w:rsidRPr="00000000">
        <w:rPr>
          <w:b w:val="1"/>
          <w:rtl w:val="0"/>
        </w:rPr>
        <w:t xml:space="preserve">subjectID:</w:t>
      </w:r>
      <w:r w:rsidDel="00000000" w:rsidR="00000000" w:rsidRPr="00000000">
        <w:rPr>
          <w:rtl w:val="0"/>
        </w:rPr>
        <w:t xml:space="preserve"> A unique identifier for the data subject category (e.g., Customer, Employee).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classifying and organizing different groups of individuals.</w:t>
      </w:r>
    </w:p>
    <w:p w:rsidR="00000000" w:rsidDel="00000000" w:rsidP="00000000" w:rsidRDefault="00000000" w:rsidRPr="00000000" w14:paraId="0000011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1">
      <w:pPr>
        <w:numPr>
          <w:ilvl w:val="0"/>
          <w:numId w:val="1"/>
        </w:numPr>
        <w:ind w:left="720" w:hanging="360"/>
      </w:pPr>
      <w:r w:rsidDel="00000000" w:rsidR="00000000" w:rsidRPr="00000000">
        <w:rPr>
          <w:b w:val="1"/>
          <w:rtl w:val="0"/>
        </w:rPr>
        <w:t xml:space="preserve">subjectCategory:</w:t>
      </w:r>
      <w:r w:rsidDel="00000000" w:rsidR="00000000" w:rsidRPr="00000000">
        <w:rPr>
          <w:rtl w:val="0"/>
        </w:rPr>
        <w:t xml:space="preserve"> The name of the data subject category (e.g., Customers, Employees, Website Visitors).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12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25">
      <w:pPr>
        <w:pStyle w:val="Heading3"/>
        <w:rPr/>
      </w:pPr>
      <w:bookmarkStart w:colFirst="0" w:colLast="0" w:name="_r2o41377q9w4" w:id="30"/>
      <w:bookmarkEnd w:id="30"/>
      <w:r w:rsidDel="00000000" w:rsidR="00000000" w:rsidRPr="00000000">
        <w:rPr>
          <w:rtl w:val="0"/>
        </w:rPr>
        <w:t xml:space="preserve">Relationships of DataSubject:</w:t>
      </w:r>
    </w:p>
    <w:p w:rsidR="00000000" w:rsidDel="00000000" w:rsidP="00000000" w:rsidRDefault="00000000" w:rsidRPr="00000000" w14:paraId="00000126">
      <w:pPr>
        <w:numPr>
          <w:ilvl w:val="0"/>
          <w:numId w:val="1"/>
        </w:numPr>
        <w:ind w:left="720" w:hanging="360"/>
      </w:pPr>
      <w:r w:rsidDel="00000000" w:rsidR="00000000" w:rsidRPr="00000000">
        <w:rPr>
          <w:b w:val="1"/>
          <w:rtl w:val="0"/>
        </w:rPr>
        <w:t xml:space="preserve">isCategorisedBy DataElement: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isCategorisedBy</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DataElement</w:t>
      </w:r>
      <w:r w:rsidDel="00000000" w:rsidR="00000000" w:rsidRPr="00000000">
        <w:rPr>
          <w:rtl w:val="0"/>
        </w:rPr>
        <w:t xml:space="preserve">.</w:t>
      </w:r>
    </w:p>
    <w:p w:rsidR="00000000" w:rsidDel="00000000" w:rsidP="00000000" w:rsidRDefault="00000000" w:rsidRPr="00000000" w14:paraId="0000012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links data subjects to the specific data elements collected about them.</w:t>
      </w:r>
    </w:p>
    <w:p w:rsidR="00000000" w:rsidDel="00000000" w:rsidP="00000000" w:rsidRDefault="00000000" w:rsidRPr="00000000" w14:paraId="0000012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data subject category is defined by at least one data element)</w:t>
      </w:r>
    </w:p>
    <w:p w:rsidR="00000000" w:rsidDel="00000000" w:rsidP="00000000" w:rsidRDefault="00000000" w:rsidRPr="00000000" w14:paraId="00000129">
      <w:pPr>
        <w:pStyle w:val="Heading2"/>
        <w:rPr/>
      </w:pPr>
      <w:bookmarkStart w:colFirst="0" w:colLast="0" w:name="_hr96w1xx44pv" w:id="31"/>
      <w:bookmarkEnd w:id="31"/>
      <w:r w:rsidDel="00000000" w:rsidR="00000000" w:rsidRPr="00000000">
        <w:rPr>
          <w:rtl w:val="0"/>
        </w:rPr>
        <w:t xml:space="preserve">12. DataElement Class</w:t>
      </w:r>
    </w:p>
    <w:p w:rsidR="00000000" w:rsidDel="00000000" w:rsidP="00000000" w:rsidRDefault="00000000" w:rsidRPr="00000000" w14:paraId="0000012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DataElement</w:t>
      </w:r>
      <w:r w:rsidDel="00000000" w:rsidR="00000000" w:rsidRPr="00000000">
        <w:rPr>
          <w:rtl w:val="0"/>
        </w:rPr>
        <w:t xml:space="preserve"> class represents individual pieces of personal data.</w:t>
      </w:r>
    </w:p>
    <w:p w:rsidR="00000000" w:rsidDel="00000000" w:rsidP="00000000" w:rsidRDefault="00000000" w:rsidRPr="00000000" w14:paraId="0000012B">
      <w:pPr>
        <w:pStyle w:val="Heading3"/>
        <w:rPr/>
      </w:pPr>
      <w:bookmarkStart w:colFirst="0" w:colLast="0" w:name="_3le16717zaq4" w:id="32"/>
      <w:bookmarkEnd w:id="32"/>
      <w:r w:rsidDel="00000000" w:rsidR="00000000" w:rsidRPr="00000000">
        <w:rPr>
          <w:rtl w:val="0"/>
        </w:rPr>
        <w:t xml:space="preserve">Attributes of DataElement:</w:t>
      </w:r>
    </w:p>
    <w:p w:rsidR="00000000" w:rsidDel="00000000" w:rsidP="00000000" w:rsidRDefault="00000000" w:rsidRPr="00000000" w14:paraId="0000012C">
      <w:pPr>
        <w:numPr>
          <w:ilvl w:val="0"/>
          <w:numId w:val="1"/>
        </w:numPr>
        <w:ind w:left="720" w:hanging="360"/>
      </w:pPr>
      <w:r w:rsidDel="00000000" w:rsidR="00000000" w:rsidRPr="00000000">
        <w:rPr>
          <w:b w:val="1"/>
          <w:rtl w:val="0"/>
        </w:rPr>
        <w:t xml:space="preserve">dataElementID:</w:t>
      </w:r>
      <w:r w:rsidDel="00000000" w:rsidR="00000000" w:rsidRPr="00000000">
        <w:rPr>
          <w:rtl w:val="0"/>
        </w:rPr>
        <w:t xml:space="preserve"> A unique identifier for the data element (e.g., Email_Address, Phone_Number).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granular identification and management of personal data.</w:t>
      </w:r>
    </w:p>
    <w:p w:rsidR="00000000" w:rsidDel="00000000" w:rsidP="00000000" w:rsidRDefault="00000000" w:rsidRPr="00000000" w14:paraId="0000012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b w:val="1"/>
          <w:rtl w:val="0"/>
        </w:rPr>
        <w:t xml:space="preserve">dataElementName:</w:t>
      </w:r>
      <w:r w:rsidDel="00000000" w:rsidR="00000000" w:rsidRPr="00000000">
        <w:rPr>
          <w:rtl w:val="0"/>
        </w:rPr>
        <w:t xml:space="preserve"> The name of the data element (e.g., Email Address, Phone Number).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13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6">
      <w:pPr>
        <w:numPr>
          <w:ilvl w:val="0"/>
          <w:numId w:val="1"/>
        </w:numPr>
        <w:ind w:left="720" w:hanging="360"/>
      </w:pPr>
      <w:r w:rsidDel="00000000" w:rsidR="00000000" w:rsidRPr="00000000">
        <w:rPr>
          <w:b w:val="1"/>
          <w:rtl w:val="0"/>
        </w:rPr>
        <w:t xml:space="preserve">dataElementDescription:</w:t>
      </w:r>
      <w:r w:rsidDel="00000000" w:rsidR="00000000" w:rsidRPr="00000000">
        <w:rPr>
          <w:rtl w:val="0"/>
        </w:rPr>
        <w:t xml:space="preserve"> A description of the data element.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details about the nature and format of the data element.</w:t>
      </w:r>
    </w:p>
    <w:p w:rsidR="00000000" w:rsidDel="00000000" w:rsidP="00000000" w:rsidRDefault="00000000" w:rsidRPr="00000000" w14:paraId="0000013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3A">
      <w:pPr>
        <w:pStyle w:val="Heading2"/>
        <w:rPr/>
      </w:pPr>
      <w:bookmarkStart w:colFirst="0" w:colLast="0" w:name="_acli3jr3nvvo" w:id="33"/>
      <w:bookmarkEnd w:id="33"/>
      <w:r w:rsidDel="00000000" w:rsidR="00000000" w:rsidRPr="00000000">
        <w:rPr>
          <w:rtl w:val="0"/>
        </w:rPr>
        <w:t xml:space="preserve">13. Application Class</w:t>
      </w:r>
    </w:p>
    <w:p w:rsidR="00000000" w:rsidDel="00000000" w:rsidP="00000000" w:rsidRDefault="00000000" w:rsidRPr="00000000" w14:paraId="0000013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class represents software applications or systems used in data processing.</w:t>
      </w:r>
    </w:p>
    <w:p w:rsidR="00000000" w:rsidDel="00000000" w:rsidP="00000000" w:rsidRDefault="00000000" w:rsidRPr="00000000" w14:paraId="0000013C">
      <w:pPr>
        <w:pStyle w:val="Heading3"/>
        <w:rPr/>
      </w:pPr>
      <w:bookmarkStart w:colFirst="0" w:colLast="0" w:name="_erxagetw3u60" w:id="34"/>
      <w:bookmarkEnd w:id="34"/>
      <w:r w:rsidDel="00000000" w:rsidR="00000000" w:rsidRPr="00000000">
        <w:rPr>
          <w:rtl w:val="0"/>
        </w:rPr>
        <w:t xml:space="preserve">Attributes of Application:</w:t>
      </w:r>
    </w:p>
    <w:p w:rsidR="00000000" w:rsidDel="00000000" w:rsidP="00000000" w:rsidRDefault="00000000" w:rsidRPr="00000000" w14:paraId="0000013D">
      <w:pPr>
        <w:numPr>
          <w:ilvl w:val="0"/>
          <w:numId w:val="1"/>
        </w:numPr>
        <w:ind w:left="720" w:hanging="360"/>
      </w:pPr>
      <w:r w:rsidDel="00000000" w:rsidR="00000000" w:rsidRPr="00000000">
        <w:rPr>
          <w:b w:val="1"/>
          <w:rtl w:val="0"/>
        </w:rPr>
        <w:t xml:space="preserve">applicationID:</w:t>
      </w:r>
      <w:r w:rsidDel="00000000" w:rsidR="00000000" w:rsidRPr="00000000">
        <w:rPr>
          <w:rtl w:val="0"/>
        </w:rPr>
        <w:t xml:space="preserve"> A unique identifier for the application.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identifying and tracking applications involved in data processing.</w:t>
      </w:r>
    </w:p>
    <w:p w:rsidR="00000000" w:rsidDel="00000000" w:rsidP="00000000" w:rsidRDefault="00000000" w:rsidRPr="00000000" w14:paraId="0000014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2">
      <w:pPr>
        <w:numPr>
          <w:ilvl w:val="0"/>
          <w:numId w:val="1"/>
        </w:numPr>
        <w:ind w:left="720" w:hanging="360"/>
      </w:pPr>
      <w:r w:rsidDel="00000000" w:rsidR="00000000" w:rsidRPr="00000000">
        <w:rPr>
          <w:b w:val="1"/>
          <w:rtl w:val="0"/>
        </w:rPr>
        <w:t xml:space="preserve">applicationName:</w:t>
      </w:r>
      <w:r w:rsidDel="00000000" w:rsidR="00000000" w:rsidRPr="00000000">
        <w:rPr>
          <w:rtl w:val="0"/>
        </w:rPr>
        <w:t xml:space="preserve"> The name of the application.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14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7">
      <w:pPr>
        <w:numPr>
          <w:ilvl w:val="0"/>
          <w:numId w:val="1"/>
        </w:numPr>
        <w:ind w:left="720" w:hanging="360"/>
      </w:pPr>
      <w:r w:rsidDel="00000000" w:rsidR="00000000" w:rsidRPr="00000000">
        <w:rPr>
          <w:b w:val="1"/>
          <w:rtl w:val="0"/>
        </w:rPr>
        <w:t xml:space="preserve">applicationType:</w:t>
      </w:r>
      <w:r w:rsidDel="00000000" w:rsidR="00000000" w:rsidRPr="00000000">
        <w:rPr>
          <w:rtl w:val="0"/>
        </w:rPr>
        <w:t xml:space="preserve"> The type of application (e.g., CRM, ERP, Marketing Automation).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Helps categorize applications and understand their function in data processing.</w:t>
      </w:r>
    </w:p>
    <w:p w:rsidR="00000000" w:rsidDel="00000000" w:rsidP="00000000" w:rsidRDefault="00000000" w:rsidRPr="00000000" w14:paraId="0000014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4B">
      <w:pPr>
        <w:pStyle w:val="Heading3"/>
        <w:rPr/>
      </w:pPr>
      <w:bookmarkStart w:colFirst="0" w:colLast="0" w:name="_arlimimqjk2q" w:id="35"/>
      <w:bookmarkEnd w:id="35"/>
      <w:r w:rsidDel="00000000" w:rsidR="00000000" w:rsidRPr="00000000">
        <w:rPr>
          <w:rtl w:val="0"/>
        </w:rPr>
        <w:t xml:space="preserve">Relationships of Application:</w:t>
      </w:r>
    </w:p>
    <w:p w:rsidR="00000000" w:rsidDel="00000000" w:rsidP="00000000" w:rsidRDefault="00000000" w:rsidRPr="00000000" w14:paraId="0000014C">
      <w:pPr>
        <w:numPr>
          <w:ilvl w:val="0"/>
          <w:numId w:val="1"/>
        </w:numPr>
        <w:ind w:left="720" w:hanging="360"/>
      </w:pPr>
      <w:r w:rsidDel="00000000" w:rsidR="00000000" w:rsidRPr="00000000">
        <w:rPr>
          <w:b w:val="1"/>
          <w:rtl w:val="0"/>
        </w:rPr>
        <w:t xml:space="preserve">securityMeasureApplied SecurityMeasure: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has </w:t>
      </w:r>
      <w:r w:rsidDel="00000000" w:rsidR="00000000" w:rsidRPr="00000000">
        <w:rPr>
          <w:rFonts w:ascii="Roboto Mono" w:cs="Roboto Mono" w:eastAsia="Roboto Mono" w:hAnsi="Roboto Mono"/>
          <w:color w:val="188038"/>
          <w:rtl w:val="0"/>
        </w:rPr>
        <w:t xml:space="preserve">securityMeasureApplied</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SecurityMeasure</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32 requires controllers and processors to implement appropriate technical and organizational measures to ensure a level of security appropriate to the risk. This links applications to the security measures protecting data within them.</w:t>
      </w:r>
    </w:p>
    <w:p w:rsidR="00000000" w:rsidDel="00000000" w:rsidP="00000000" w:rsidRDefault="00000000" w:rsidRPr="00000000" w14:paraId="0000014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an application may or may not have explicit security measures documented 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b w:val="1"/>
          <w:rtl w:val="0"/>
        </w:rPr>
        <w:t xml:space="preserve">isHostedIn Country:</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isHostedIn</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location of data hosting is crucial for data residency and international data transfer regulations.</w:t>
      </w:r>
    </w:p>
    <w:p w:rsidR="00000000" w:rsidDel="00000000" w:rsidP="00000000" w:rsidRDefault="00000000" w:rsidRPr="00000000" w14:paraId="0000015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application must be hosted in at least one country)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6">
      <w:pPr>
        <w:numPr>
          <w:ilvl w:val="0"/>
          <w:numId w:val="1"/>
        </w:numPr>
        <w:ind w:left="720" w:hanging="360"/>
      </w:pPr>
      <w:r w:rsidDel="00000000" w:rsidR="00000000" w:rsidRPr="00000000">
        <w:rPr>
          <w:b w:val="1"/>
          <w:rtl w:val="0"/>
        </w:rPr>
        <w:t xml:space="preserve">sendsDataTo Interface: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sendsDataTo</w:t>
      </w:r>
      <w:r w:rsidDel="00000000" w:rsidR="00000000" w:rsidRPr="00000000">
        <w:rPr>
          <w:rtl w:val="0"/>
        </w:rPr>
        <w:t xml:space="preserve"> one or more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helps track data flows between applications, which is vital for understanding data transfers and potential risks.</w:t>
      </w:r>
    </w:p>
    <w:p w:rsidR="00000000" w:rsidDel="00000000" w:rsidP="00000000" w:rsidRDefault="00000000" w:rsidRPr="00000000" w14:paraId="0000015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an application may or may not send data to other interfaces)</w:t>
      </w:r>
    </w:p>
    <w:p w:rsidR="00000000" w:rsidDel="00000000" w:rsidP="00000000" w:rsidRDefault="00000000" w:rsidRPr="00000000" w14:paraId="0000015A">
      <w:pPr>
        <w:pStyle w:val="Heading2"/>
        <w:rPr/>
      </w:pPr>
      <w:bookmarkStart w:colFirst="0" w:colLast="0" w:name="_ylzegnfp6luv" w:id="36"/>
      <w:bookmarkEnd w:id="36"/>
      <w:r w:rsidDel="00000000" w:rsidR="00000000" w:rsidRPr="00000000">
        <w:rPr>
          <w:rtl w:val="0"/>
        </w:rPr>
        <w:t xml:space="preserve">14. Interface Class</w:t>
      </w:r>
    </w:p>
    <w:p w:rsidR="00000000" w:rsidDel="00000000" w:rsidP="00000000" w:rsidRDefault="00000000" w:rsidRPr="00000000" w14:paraId="0000015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class represents data transfer mechanisms or integrations between applications or systems.</w:t>
      </w:r>
    </w:p>
    <w:p w:rsidR="00000000" w:rsidDel="00000000" w:rsidP="00000000" w:rsidRDefault="00000000" w:rsidRPr="00000000" w14:paraId="0000015C">
      <w:pPr>
        <w:pStyle w:val="Heading3"/>
        <w:rPr/>
      </w:pPr>
      <w:bookmarkStart w:colFirst="0" w:colLast="0" w:name="_4b3sxb1preky" w:id="37"/>
      <w:bookmarkEnd w:id="37"/>
      <w:r w:rsidDel="00000000" w:rsidR="00000000" w:rsidRPr="00000000">
        <w:rPr>
          <w:rtl w:val="0"/>
        </w:rPr>
        <w:t xml:space="preserve">Attributes of Interface:</w:t>
      </w:r>
    </w:p>
    <w:p w:rsidR="00000000" w:rsidDel="00000000" w:rsidP="00000000" w:rsidRDefault="00000000" w:rsidRPr="00000000" w14:paraId="0000015D">
      <w:pPr>
        <w:numPr>
          <w:ilvl w:val="0"/>
          <w:numId w:val="1"/>
        </w:numPr>
        <w:ind w:left="720" w:hanging="360"/>
      </w:pPr>
      <w:r w:rsidDel="00000000" w:rsidR="00000000" w:rsidRPr="00000000">
        <w:rPr>
          <w:b w:val="1"/>
          <w:rtl w:val="0"/>
        </w:rPr>
        <w:t xml:space="preserve">interfaceID:</w:t>
      </w:r>
      <w:r w:rsidDel="00000000" w:rsidR="00000000" w:rsidRPr="00000000">
        <w:rPr>
          <w:rtl w:val="0"/>
        </w:rPr>
        <w:t xml:space="preserve"> A unique identifier for the interface.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F">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identifying and tracking data transfer points.</w:t>
      </w:r>
    </w:p>
    <w:p w:rsidR="00000000" w:rsidDel="00000000" w:rsidP="00000000" w:rsidRDefault="00000000" w:rsidRPr="00000000" w14:paraId="0000016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b w:val="1"/>
          <w:rtl w:val="0"/>
        </w:rPr>
        <w:t xml:space="preserve">sourceApplicationID:</w:t>
      </w:r>
      <w:r w:rsidDel="00000000" w:rsidR="00000000" w:rsidRPr="00000000">
        <w:rPr>
          <w:rtl w:val="0"/>
        </w:rPr>
        <w:t xml:space="preserve"> The ID of the source application for the data transfer.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Identifies the origin of the data transfer.</w:t>
      </w:r>
    </w:p>
    <w:p w:rsidR="00000000" w:rsidDel="00000000" w:rsidP="00000000" w:rsidRDefault="00000000" w:rsidRPr="00000000" w14:paraId="0000016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b w:val="1"/>
          <w:rtl w:val="0"/>
        </w:rPr>
        <w:t xml:space="preserve">targetApplicationID:</w:t>
      </w:r>
      <w:r w:rsidDel="00000000" w:rsidR="00000000" w:rsidRPr="00000000">
        <w:rPr>
          <w:rtl w:val="0"/>
        </w:rPr>
        <w:t xml:space="preserve"> The ID of the target application for the data transfer.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Identifies the destination of the data transfer.</w:t>
      </w:r>
    </w:p>
    <w:p w:rsidR="00000000" w:rsidDel="00000000" w:rsidP="00000000" w:rsidRDefault="00000000" w:rsidRPr="00000000" w14:paraId="0000016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C">
      <w:pPr>
        <w:numPr>
          <w:ilvl w:val="0"/>
          <w:numId w:val="1"/>
        </w:numPr>
        <w:ind w:left="720" w:hanging="360"/>
      </w:pPr>
      <w:r w:rsidDel="00000000" w:rsidR="00000000" w:rsidRPr="00000000">
        <w:rPr>
          <w:b w:val="1"/>
          <w:rtl w:val="0"/>
        </w:rPr>
        <w:t xml:space="preserve">transferType:</w:t>
      </w:r>
      <w:r w:rsidDel="00000000" w:rsidR="00000000" w:rsidRPr="00000000">
        <w:rPr>
          <w:rtl w:val="0"/>
        </w:rPr>
        <w:t xml:space="preserve"> The type of data transfer (e.g., API, SFTP, manual).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Helps understand the mechanism of data transfer.</w:t>
      </w:r>
    </w:p>
    <w:p w:rsidR="00000000" w:rsidDel="00000000" w:rsidP="00000000" w:rsidRDefault="00000000" w:rsidRPr="00000000" w14:paraId="0000016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1">
      <w:pPr>
        <w:numPr>
          <w:ilvl w:val="0"/>
          <w:numId w:val="1"/>
        </w:numPr>
        <w:ind w:left="720" w:hanging="360"/>
      </w:pPr>
      <w:r w:rsidDel="00000000" w:rsidR="00000000" w:rsidRPr="00000000">
        <w:rPr>
          <w:b w:val="1"/>
          <w:rtl w:val="0"/>
        </w:rPr>
        <w:t xml:space="preserve">safeguardMechanism:</w:t>
      </w:r>
      <w:r w:rsidDel="00000000" w:rsidR="00000000" w:rsidRPr="00000000">
        <w:rPr>
          <w:rtl w:val="0"/>
        </w:rPr>
        <w:t xml:space="preserve"> The safeguard mechanism in place for international data transfers (e.g., SCCs, BCRs, adequacy decision).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GDPR Article 46 and other international data transfer regulations require appropriate safeguards for transfers outside the jurisdiction. This attribute documents the chosen mechanism.</w:t>
      </w:r>
    </w:p>
    <w:p w:rsidR="00000000" w:rsidDel="00000000" w:rsidP="00000000" w:rsidRDefault="00000000" w:rsidRPr="00000000" w14:paraId="0000017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only applicable for international data transfers)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b w:val="1"/>
          <w:rtl w:val="0"/>
        </w:rPr>
        <w:t xml:space="preserve">safeguardDocumentationLink:</w:t>
      </w:r>
      <w:r w:rsidDel="00000000" w:rsidR="00000000" w:rsidRPr="00000000">
        <w:rPr>
          <w:rtl w:val="0"/>
        </w:rPr>
        <w:t xml:space="preserve"> A link to the documentation for the safeguard mechanism.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auditable evidence of the safeguard mechanism.</w:t>
      </w:r>
    </w:p>
    <w:p w:rsidR="00000000" w:rsidDel="00000000" w:rsidP="00000000" w:rsidRDefault="00000000" w:rsidRPr="00000000" w14:paraId="0000017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only applicable if safeguardMechanism is present)</w:t>
      </w:r>
    </w:p>
    <w:p w:rsidR="00000000" w:rsidDel="00000000" w:rsidP="00000000" w:rsidRDefault="00000000" w:rsidRPr="00000000" w14:paraId="0000017A">
      <w:pPr>
        <w:pStyle w:val="Heading3"/>
        <w:rPr/>
      </w:pPr>
      <w:bookmarkStart w:colFirst="0" w:colLast="0" w:name="_9dpno7wxdcv7" w:id="38"/>
      <w:bookmarkEnd w:id="38"/>
      <w:r w:rsidDel="00000000" w:rsidR="00000000" w:rsidRPr="00000000">
        <w:rPr>
          <w:rtl w:val="0"/>
        </w:rPr>
        <w:t xml:space="preserve">Relationships of Interface:</w:t>
      </w:r>
    </w:p>
    <w:p w:rsidR="00000000" w:rsidDel="00000000" w:rsidP="00000000" w:rsidRDefault="00000000" w:rsidRPr="00000000" w14:paraId="0000017B">
      <w:pPr>
        <w:numPr>
          <w:ilvl w:val="0"/>
          <w:numId w:val="1"/>
        </w:numPr>
        <w:ind w:left="720" w:hanging="360"/>
      </w:pPr>
      <w:r w:rsidDel="00000000" w:rsidR="00000000" w:rsidRPr="00000000">
        <w:rPr>
          <w:b w:val="1"/>
          <w:rtl w:val="0"/>
        </w:rPr>
        <w:t xml:space="preserve">recipientEntity LegalEntity:</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has a </w:t>
      </w:r>
      <w:r w:rsidDel="00000000" w:rsidR="00000000" w:rsidRPr="00000000">
        <w:rPr>
          <w:rFonts w:ascii="Roboto Mono" w:cs="Roboto Mono" w:eastAsia="Roboto Mono" w:hAnsi="Roboto Mono"/>
          <w:color w:val="188038"/>
          <w:rtl w:val="0"/>
        </w:rPr>
        <w:t xml:space="preserve">recipientEntity</w:t>
      </w:r>
      <w:r w:rsidDel="00000000" w:rsidR="00000000" w:rsidRPr="00000000">
        <w:rPr>
          <w:rtl w:val="0"/>
        </w:rPr>
        <w:t xml:space="preserve"> which is a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w:t>
      </w:r>
    </w:p>
    <w:p w:rsidR="00000000" w:rsidDel="00000000" w:rsidP="00000000" w:rsidRDefault="00000000" w:rsidRPr="00000000" w14:paraId="0000017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relationship identifies the legal entity receiving data through the interface, crucial for accountability in data sharing.</w:t>
      </w:r>
    </w:p>
    <w:p w:rsidR="00000000" w:rsidDel="00000000" w:rsidP="00000000" w:rsidRDefault="00000000" w:rsidRPr="00000000" w14:paraId="0000017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an interface must have a recipient entity)</w:t>
      </w:r>
    </w:p>
    <w:p w:rsidR="00000000" w:rsidDel="00000000" w:rsidP="00000000" w:rsidRDefault="00000000" w:rsidRPr="00000000" w14:paraId="0000017E">
      <w:pPr>
        <w:pStyle w:val="Heading2"/>
        <w:rPr/>
      </w:pPr>
      <w:bookmarkStart w:colFirst="0" w:colLast="0" w:name="_g3fvjadw6lkw" w:id="39"/>
      <w:bookmarkEnd w:id="39"/>
      <w:r w:rsidDel="00000000" w:rsidR="00000000" w:rsidRPr="00000000">
        <w:rPr>
          <w:rtl w:val="0"/>
        </w:rPr>
        <w:t xml:space="preserve">15. SecurityMeasure Class</w:t>
      </w:r>
    </w:p>
    <w:p w:rsidR="00000000" w:rsidDel="00000000" w:rsidP="00000000" w:rsidRDefault="00000000" w:rsidRPr="00000000" w14:paraId="0000017F">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SecurityMeasure</w:t>
      </w:r>
      <w:r w:rsidDel="00000000" w:rsidR="00000000" w:rsidRPr="00000000">
        <w:rPr>
          <w:rtl w:val="0"/>
        </w:rPr>
        <w:t xml:space="preserve"> class represents technical and organizational measures implemented to protect personal data.</w:t>
      </w:r>
    </w:p>
    <w:p w:rsidR="00000000" w:rsidDel="00000000" w:rsidP="00000000" w:rsidRDefault="00000000" w:rsidRPr="00000000" w14:paraId="00000180">
      <w:pPr>
        <w:pStyle w:val="Heading3"/>
        <w:rPr/>
      </w:pPr>
      <w:bookmarkStart w:colFirst="0" w:colLast="0" w:name="_nce1td900653" w:id="40"/>
      <w:bookmarkEnd w:id="40"/>
      <w:r w:rsidDel="00000000" w:rsidR="00000000" w:rsidRPr="00000000">
        <w:rPr>
          <w:rtl w:val="0"/>
        </w:rPr>
        <w:t xml:space="preserve">Attributes of SecurityMeasure:</w:t>
      </w:r>
    </w:p>
    <w:p w:rsidR="00000000" w:rsidDel="00000000" w:rsidP="00000000" w:rsidRDefault="00000000" w:rsidRPr="00000000" w14:paraId="00000181">
      <w:pPr>
        <w:numPr>
          <w:ilvl w:val="0"/>
          <w:numId w:val="1"/>
        </w:numPr>
        <w:ind w:left="720" w:hanging="360"/>
      </w:pPr>
      <w:r w:rsidDel="00000000" w:rsidR="00000000" w:rsidRPr="00000000">
        <w:rPr>
          <w:b w:val="1"/>
          <w:rtl w:val="0"/>
        </w:rPr>
        <w:t xml:space="preserve">securityMeasureID:</w:t>
      </w:r>
      <w:r w:rsidDel="00000000" w:rsidR="00000000" w:rsidRPr="00000000">
        <w:rPr>
          <w:rtl w:val="0"/>
        </w:rPr>
        <w:t xml:space="preserve"> A unique identifier for the security measure.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identifying and tracking specific security controls.</w:t>
      </w:r>
    </w:p>
    <w:p w:rsidR="00000000" w:rsidDel="00000000" w:rsidP="00000000" w:rsidRDefault="00000000" w:rsidRPr="00000000" w14:paraId="0000018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6">
      <w:pPr>
        <w:numPr>
          <w:ilvl w:val="0"/>
          <w:numId w:val="1"/>
        </w:numPr>
        <w:ind w:left="720" w:hanging="360"/>
      </w:pPr>
      <w:r w:rsidDel="00000000" w:rsidR="00000000" w:rsidRPr="00000000">
        <w:rPr>
          <w:b w:val="1"/>
          <w:rtl w:val="0"/>
        </w:rPr>
        <w:t xml:space="preserve">securityMeasureName:</w:t>
      </w:r>
      <w:r w:rsidDel="00000000" w:rsidR="00000000" w:rsidRPr="00000000">
        <w:rPr>
          <w:rtl w:val="0"/>
        </w:rPr>
        <w:t xml:space="preserve"> The name of the security measure (e.g., Encryption, Access Control).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18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B">
      <w:pPr>
        <w:numPr>
          <w:ilvl w:val="0"/>
          <w:numId w:val="1"/>
        </w:numPr>
        <w:ind w:left="720" w:hanging="360"/>
      </w:pPr>
      <w:r w:rsidDel="00000000" w:rsidR="00000000" w:rsidRPr="00000000">
        <w:rPr>
          <w:b w:val="1"/>
          <w:rtl w:val="0"/>
        </w:rPr>
        <w:t xml:space="preserve">securityMeasureDescription:</w:t>
      </w:r>
      <w:r w:rsidDel="00000000" w:rsidR="00000000" w:rsidRPr="00000000">
        <w:rPr>
          <w:rtl w:val="0"/>
        </w:rPr>
        <w:t xml:space="preserve"> A description of the security measure.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details about the implementation and scope of the security measure.</w:t>
      </w:r>
    </w:p>
    <w:p w:rsidR="00000000" w:rsidDel="00000000" w:rsidP="00000000" w:rsidRDefault="00000000" w:rsidRPr="00000000" w14:paraId="0000018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b w:val="1"/>
          <w:rtl w:val="0"/>
        </w:rPr>
        <w:t xml:space="preserve">securityMeasureType:</w:t>
      </w:r>
      <w:r w:rsidDel="00000000" w:rsidR="00000000" w:rsidRPr="00000000">
        <w:rPr>
          <w:rtl w:val="0"/>
        </w:rPr>
        <w:t xml:space="preserve"> The type of security measure (e.g., Technical, Organizational).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Helps categorize security measures for better understanding and compliance reporting.</w:t>
      </w:r>
    </w:p>
    <w:p w:rsidR="00000000" w:rsidDel="00000000" w:rsidP="00000000" w:rsidRDefault="00000000" w:rsidRPr="00000000" w14:paraId="0000019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completes the initial analysis of the provided metamodel, with justifications and cardinalities based on general privacy law principles, primarily drawing from GDPR as a comprehensive example. The next step will involve a deeper dive into specific country-level regulations to refine and expand these justifications, and identify any missing elements. I will also look into standardizing the metamodel based on any existing standards.</w:t>
      </w:r>
    </w:p>
    <w:p w:rsidR="00000000" w:rsidDel="00000000" w:rsidP="00000000" w:rsidRDefault="00000000" w:rsidRPr="00000000" w14:paraId="00000196">
      <w:pPr>
        <w:pStyle w:val="Heading2"/>
        <w:rPr/>
      </w:pPr>
      <w:bookmarkStart w:colFirst="0" w:colLast="0" w:name="_kjdjmiz5j355" w:id="41"/>
      <w:bookmarkEnd w:id="41"/>
      <w:r w:rsidDel="00000000" w:rsidR="00000000" w:rsidRPr="00000000">
        <w:rPr>
          <w:rtl w:val="0"/>
        </w:rPr>
        <w:t xml:space="preserve">16. Standardization of the Metamodel</w:t>
      </w:r>
    </w:p>
    <w:p w:rsidR="00000000" w:rsidDel="00000000" w:rsidP="00000000" w:rsidRDefault="00000000" w:rsidRPr="00000000" w14:paraId="00000197">
      <w:pPr>
        <w:rPr/>
      </w:pPr>
      <w:r w:rsidDel="00000000" w:rsidR="00000000" w:rsidRPr="00000000">
        <w:rPr>
          <w:rtl w:val="0"/>
        </w:rPr>
        <w:t xml:space="preserve">To ensure the robustness and interoperability of the RoPA metamodel, it is crucial to consider existing data privacy and information management standards. While no single standard perfectly encapsulates all aspects of a RoPA metamodel across all global privacy laws, several frameworks provide valuable guidance and can inform its structure.</w:t>
      </w:r>
    </w:p>
    <w:p w:rsidR="00000000" w:rsidDel="00000000" w:rsidP="00000000" w:rsidRDefault="00000000" w:rsidRPr="00000000" w14:paraId="00000198">
      <w:pPr>
        <w:pStyle w:val="Heading3"/>
        <w:rPr/>
      </w:pPr>
      <w:bookmarkStart w:colFirst="0" w:colLast="0" w:name="_7misp89nrskk" w:id="42"/>
      <w:bookmarkEnd w:id="42"/>
      <w:r w:rsidDel="00000000" w:rsidR="00000000" w:rsidRPr="00000000">
        <w:rPr>
          <w:rtl w:val="0"/>
        </w:rPr>
        <w:t xml:space="preserve">ISO/IEC 27701:2019 - Privacy Information Management System (PIMS)</w:t>
      </w:r>
    </w:p>
    <w:p w:rsidR="00000000" w:rsidDel="00000000" w:rsidP="00000000" w:rsidRDefault="00000000" w:rsidRPr="00000000" w14:paraId="00000199">
      <w:pPr>
        <w:rPr/>
      </w:pPr>
      <w:r w:rsidDel="00000000" w:rsidR="00000000" w:rsidRPr="00000000">
        <w:rPr>
          <w:rtl w:val="0"/>
        </w:rPr>
        <w:t xml:space="preserve">ISO/IEC 27701 is an extension to ISO/IEC 27001 (Information Security Management System) and ISO/IEC 27002 (Code of practice for information security controls). It provides a framework for privacy information management, including requirements for establishing, implementing, maintaining, and continually improving a PIMS. This standard is highly relevant as it addresses how organizations manage personal data and demonstrate compliance with privacy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numPr>
          <w:ilvl w:val="0"/>
          <w:numId w:val="1"/>
        </w:numPr>
        <w:ind w:left="720" w:hanging="360"/>
      </w:pPr>
      <w:r w:rsidDel="00000000" w:rsidR="00000000" w:rsidRPr="00000000">
        <w:rPr>
          <w:b w:val="1"/>
          <w:rtl w:val="0"/>
        </w:rPr>
        <w:t xml:space="preserve">Relevance to Metamodel:</w:t>
      </w:r>
      <w:r w:rsidDel="00000000" w:rsidR="00000000" w:rsidRPr="00000000">
        <w:rPr>
          <w:rtl w:val="0"/>
        </w:rPr>
        <w:t xml:space="preserve"> ISO/IEC 27701 emphasizes the need for clear roles and responsibilities (aligning with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and its roles), risk assessments (aligning with </w:t>
      </w:r>
      <w:r w:rsidDel="00000000" w:rsidR="00000000" w:rsidRPr="00000000">
        <w:rPr>
          <w:rFonts w:ascii="Roboto Mono" w:cs="Roboto Mono" w:eastAsia="Roboto Mono" w:hAnsi="Roboto Mono"/>
          <w:color w:val="188038"/>
          <w:rtl w:val="0"/>
        </w:rPr>
        <w:t xml:space="preserve">ImpactAssessment</w:t>
      </w:r>
      <w:r w:rsidDel="00000000" w:rsidR="00000000" w:rsidRPr="00000000">
        <w:rPr>
          <w:rtl w:val="0"/>
        </w:rPr>
        <w:t xml:space="preserve">), and documentation of processing activities. The controls outlined in this standard can inform the attributes and relationships related to </w:t>
      </w:r>
      <w:r w:rsidDel="00000000" w:rsidR="00000000" w:rsidRPr="00000000">
        <w:rPr>
          <w:rFonts w:ascii="Roboto Mono" w:cs="Roboto Mono" w:eastAsia="Roboto Mono" w:hAnsi="Roboto Mono"/>
          <w:color w:val="188038"/>
          <w:rtl w:val="0"/>
        </w:rPr>
        <w:t xml:space="preserve">SecurityMeasure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w:t>
      </w:r>
    </w:p>
    <w:p w:rsidR="00000000" w:rsidDel="00000000" w:rsidP="00000000" w:rsidRDefault="00000000" w:rsidRPr="00000000" w14:paraId="0000019C">
      <w:pPr>
        <w:pStyle w:val="Heading3"/>
        <w:rPr/>
      </w:pPr>
      <w:bookmarkStart w:colFirst="0" w:colLast="0" w:name="_sjt8yv8perdq" w:id="43"/>
      <w:bookmarkEnd w:id="43"/>
      <w:r w:rsidDel="00000000" w:rsidR="00000000" w:rsidRPr="00000000">
        <w:rPr>
          <w:rtl w:val="0"/>
        </w:rPr>
        <w:t xml:space="preserve">NIST Privacy Framework</w:t>
      </w:r>
    </w:p>
    <w:p w:rsidR="00000000" w:rsidDel="00000000" w:rsidP="00000000" w:rsidRDefault="00000000" w:rsidRPr="00000000" w14:paraId="0000019D">
      <w:pPr>
        <w:rPr/>
      </w:pPr>
      <w:r w:rsidDel="00000000" w:rsidR="00000000" w:rsidRPr="00000000">
        <w:rPr>
          <w:rtl w:val="0"/>
        </w:rPr>
        <w:t xml:space="preserve">Developed by the National Institute of Standards and Technology (NIST), the Privacy Framework is a voluntary tool designed to help organizations manage privacy risks. It is structured around five key functions: Identify, Govern, Control, Communicate, and Protect. It aims to help organizations identify and manage privacy risks arising from data processing.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numPr>
          <w:ilvl w:val="0"/>
          <w:numId w:val="1"/>
        </w:numPr>
        <w:ind w:left="720" w:hanging="360"/>
      </w:pPr>
      <w:r w:rsidDel="00000000" w:rsidR="00000000" w:rsidRPr="00000000">
        <w:rPr>
          <w:b w:val="1"/>
          <w:rtl w:val="0"/>
        </w:rPr>
        <w:t xml:space="preserve">Relevance to Metamodel:</w:t>
      </w:r>
      <w:r w:rsidDel="00000000" w:rsidR="00000000" w:rsidRPr="00000000">
        <w:rPr>
          <w:rtl w:val="0"/>
        </w:rPr>
        <w:t xml:space="preserve"> The NIST Privacy Framework's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emphasis on governance and communication aligns with the </w:t>
      </w:r>
      <w:r w:rsidDel="00000000" w:rsidR="00000000" w:rsidRPr="00000000">
        <w:rPr>
          <w:rFonts w:ascii="Roboto Mono" w:cs="Roboto Mono" w:eastAsia="Roboto Mono" w:hAnsi="Roboto Mono"/>
          <w:color w:val="188038"/>
          <w:rtl w:val="0"/>
        </w:rPr>
        <w:t xml:space="preserve">LegalEntity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BusinessContext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RegulatoryRequirement</w:t>
      </w:r>
      <w:r w:rsidDel="00000000" w:rsidR="00000000" w:rsidRPr="00000000">
        <w:rPr>
          <w:rtl w:val="0"/>
        </w:rPr>
        <w:t xml:space="preserve"> classes. The framework encourages organizations to understand their data processing ecosystems, which directly supports the need for detailed </w:t>
      </w:r>
      <w:r w:rsidDel="00000000" w:rsidR="00000000" w:rsidRPr="00000000">
        <w:rPr>
          <w:rFonts w:ascii="Roboto Mono" w:cs="Roboto Mono" w:eastAsia="Roboto Mono" w:hAnsi="Roboto Mono"/>
          <w:color w:val="188038"/>
          <w:rtl w:val="0"/>
        </w:rPr>
        <w:t xml:space="preserve">ProcessingActivity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DataCategory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DataSubject</w:t>
      </w:r>
      <w:r w:rsidDel="00000000" w:rsidR="00000000" w:rsidRPr="00000000">
        <w:rPr>
          <w:rtl w:val="0"/>
        </w:rPr>
        <w:t xml:space="preserve"> classes.</w:t>
      </w:r>
    </w:p>
    <w:p w:rsidR="00000000" w:rsidDel="00000000" w:rsidP="00000000" w:rsidRDefault="00000000" w:rsidRPr="00000000" w14:paraId="000001A2">
      <w:pPr>
        <w:pStyle w:val="Heading3"/>
        <w:rPr/>
      </w:pPr>
      <w:bookmarkStart w:colFirst="0" w:colLast="0" w:name="_rrqctg46hx8a" w:id="44"/>
      <w:bookmarkEnd w:id="44"/>
      <w:r w:rsidDel="00000000" w:rsidR="00000000" w:rsidRPr="00000000">
        <w:rPr>
          <w:rtl w:val="0"/>
        </w:rPr>
        <w:t xml:space="preserve">Enterprise Architecture Frameworks (e.g., TOGAF, ArchiMate)</w:t>
      </w:r>
    </w:p>
    <w:p w:rsidR="00000000" w:rsidDel="00000000" w:rsidP="00000000" w:rsidRDefault="00000000" w:rsidRPr="00000000" w14:paraId="000001A3">
      <w:pPr>
        <w:rPr/>
      </w:pPr>
      <w:r w:rsidDel="00000000" w:rsidR="00000000" w:rsidRPr="00000000">
        <w:rPr>
          <w:rtl w:val="0"/>
        </w:rPr>
        <w:t xml:space="preserve">While not specific to privacy, enterprise architecture frameworks provide methodologies and modeling languages for describing and analyzing an organization's business, information, application, and technology architectures. These can be used to model the relationships between the various components of the RoPA metamodel.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b w:val="1"/>
          <w:rtl w:val="0"/>
        </w:rPr>
        <w:t xml:space="preserve">Relevance to Metamodel:</w:t>
      </w:r>
      <w:r w:rsidDel="00000000" w:rsidR="00000000" w:rsidRPr="00000000">
        <w:rPr>
          <w:rtl w:val="0"/>
        </w:rPr>
        <w:t xml:space="preserve"> These frameworks can help in visually representing the metamodel and its relationships, ensuring a holistic view of data processing within the organization. They can also aid in integrating the RoPA metamodel with broader enterprise architecture, especially concerning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classes.</w:t>
      </w:r>
    </w:p>
    <w:p w:rsidR="00000000" w:rsidDel="00000000" w:rsidP="00000000" w:rsidRDefault="00000000" w:rsidRPr="00000000" w14:paraId="000001A6">
      <w:pPr>
        <w:pStyle w:val="Heading3"/>
        <w:rPr/>
      </w:pPr>
      <w:bookmarkStart w:colFirst="0" w:colLast="0" w:name="_lvovadcjbw54" w:id="45"/>
      <w:bookmarkEnd w:id="45"/>
      <w:r w:rsidDel="00000000" w:rsidR="00000000" w:rsidRPr="00000000">
        <w:rPr>
          <w:rtl w:val="0"/>
        </w:rPr>
        <w:t xml:space="preserve">Data Modeling Standards (e.g., UML, ERD)</w:t>
      </w:r>
    </w:p>
    <w:p w:rsidR="00000000" w:rsidDel="00000000" w:rsidP="00000000" w:rsidRDefault="00000000" w:rsidRPr="00000000" w14:paraId="000001A7">
      <w:pPr>
        <w:rPr/>
      </w:pPr>
      <w:r w:rsidDel="00000000" w:rsidR="00000000" w:rsidRPr="00000000">
        <w:rPr>
          <w:rtl w:val="0"/>
        </w:rPr>
        <w:t xml:space="preserve">Unified Modeling Language (UML) and Entity-Relationship Diagrams (ERD) are widely used for data modeling. While not privacy-specific, they provide the foundational principles for defining classes, attributes, and relationships, including cardinalities.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numPr>
          <w:ilvl w:val="0"/>
          <w:numId w:val="1"/>
        </w:numPr>
        <w:ind w:left="720" w:hanging="360"/>
      </w:pPr>
      <w:r w:rsidDel="00000000" w:rsidR="00000000" w:rsidRPr="00000000">
        <w:rPr>
          <w:b w:val="1"/>
          <w:rtl w:val="0"/>
        </w:rPr>
        <w:t xml:space="preserve">Relevance to Metamodel:</w:t>
      </w:r>
      <w:r w:rsidDel="00000000" w:rsidR="00000000" w:rsidRPr="00000000">
        <w:rPr>
          <w:rtl w:val="0"/>
        </w:rPr>
        <w:t xml:space="preserve"> The current metamodel is essentially an ERD. Adhering to UML or ERD best practices ensures the metamodel is logically sound, unambiguous, and easily understandable by data architects and developers.</w:t>
      </w:r>
    </w:p>
    <w:p w:rsidR="00000000" w:rsidDel="00000000" w:rsidP="00000000" w:rsidRDefault="00000000" w:rsidRPr="00000000" w14:paraId="000001AA">
      <w:pPr>
        <w:pStyle w:val="Heading3"/>
        <w:rPr/>
      </w:pPr>
      <w:bookmarkStart w:colFirst="0" w:colLast="0" w:name="_1sua8lxqv4aq" w:id="46"/>
      <w:bookmarkEnd w:id="46"/>
      <w:r w:rsidDel="00000000" w:rsidR="00000000" w:rsidRPr="00000000">
        <w:rPr>
          <w:rtl w:val="0"/>
        </w:rPr>
        <w:t xml:space="preserve">Conclusion on Standardization</w:t>
      </w:r>
    </w:p>
    <w:p w:rsidR="00000000" w:rsidDel="00000000" w:rsidP="00000000" w:rsidRDefault="00000000" w:rsidRPr="00000000" w14:paraId="000001AB">
      <w:pPr>
        <w:rPr/>
      </w:pPr>
      <w:r w:rsidDel="00000000" w:rsidR="00000000" w:rsidRPr="00000000">
        <w:rPr>
          <w:rtl w:val="0"/>
        </w:rPr>
        <w:t xml:space="preserve">While a direct, universally accepted standard for RoPA metamodels is not prevalent, integrating elements from ISO/IEC 27701, NIST Privacy Framework, and general data modeling principles (UML/ERD) can significantly enhance the metamodel's robustness, comprehensiveness, and alignment with best practices in privacy information management. The proposed metamodel already incorporates many of these principles, and further refinement can ensure even closer alignment.</w:t>
      </w:r>
    </w:p>
    <w:p w:rsidR="00000000" w:rsidDel="00000000" w:rsidP="00000000" w:rsidRDefault="00000000" w:rsidRPr="00000000" w14:paraId="000001AC">
      <w:pPr>
        <w:pStyle w:val="Heading2"/>
        <w:rPr/>
      </w:pPr>
      <w:bookmarkStart w:colFirst="0" w:colLast="0" w:name="_qlmaj5p5ypju" w:id="47"/>
      <w:bookmarkEnd w:id="47"/>
      <w:r w:rsidDel="00000000" w:rsidR="00000000" w:rsidRPr="00000000">
        <w:rPr>
          <w:rtl w:val="0"/>
        </w:rPr>
        <w:t xml:space="preserve">17. Detailed Regulatory Justifications and Cardinalities (Continued)</w:t>
      </w:r>
    </w:p>
    <w:p w:rsidR="00000000" w:rsidDel="00000000" w:rsidP="00000000" w:rsidRDefault="00000000" w:rsidRPr="00000000" w14:paraId="000001AD">
      <w:pPr>
        <w:rPr/>
      </w:pPr>
      <w:r w:rsidDel="00000000" w:rsidR="00000000" w:rsidRPr="00000000">
        <w:rPr>
          <w:rtl w:val="0"/>
        </w:rPr>
        <w:t xml:space="preserve">This section will provide more in-depth justifications for each class and its attributes/relationships, drawing from a wider range of global privacy laws beyond GDPR, as requested by the user. The goal is to demonstrate how each element of the metamodel is directly supported by specific articles or provisions in relevant regulations.</w:t>
      </w:r>
    </w:p>
    <w:p w:rsidR="00000000" w:rsidDel="00000000" w:rsidP="00000000" w:rsidRDefault="00000000" w:rsidRPr="00000000" w14:paraId="000001AE">
      <w:pPr>
        <w:pStyle w:val="Heading3"/>
        <w:rPr/>
      </w:pPr>
      <w:bookmarkStart w:colFirst="0" w:colLast="0" w:name="_1y8k1qerjt48" w:id="48"/>
      <w:bookmarkEnd w:id="48"/>
      <w:r w:rsidDel="00000000" w:rsidR="00000000" w:rsidRPr="00000000">
        <w:rPr>
          <w:rtl w:val="0"/>
        </w:rPr>
        <w:t xml:space="preserve">17.1. ProcessingActivity Class (Revisited)</w:t>
      </w:r>
    </w:p>
    <w:p w:rsidR="00000000" w:rsidDel="00000000" w:rsidP="00000000" w:rsidRDefault="00000000" w:rsidRPr="00000000" w14:paraId="000001AF">
      <w:pPr>
        <w:numPr>
          <w:ilvl w:val="0"/>
          <w:numId w:val="1"/>
        </w:numPr>
        <w:ind w:left="720" w:hanging="360"/>
      </w:pPr>
      <w:r w:rsidDel="00000000" w:rsidR="00000000" w:rsidRPr="00000000">
        <w:rPr>
          <w:b w:val="1"/>
          <w:rtl w:val="0"/>
        </w:rPr>
        <w:t xml:space="preserve">processingActivityID:</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While not explicitly named as an 'ID', the requirement for detailed record-keeping across various laws necessitates a unique identifier.</w:t>
      </w:r>
    </w:p>
    <w:p w:rsidR="00000000" w:rsidDel="00000000" w:rsidP="00000000" w:rsidRDefault="00000000" w:rsidRPr="00000000" w14:paraId="000001B2">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 requires controllers and processors to maintain a record of processing activities. This implies the need for a unique way to identify each activity.</w:t>
      </w:r>
    </w:p>
    <w:p w:rsidR="00000000" w:rsidDel="00000000" w:rsidP="00000000" w:rsidRDefault="00000000" w:rsidRPr="00000000" w14:paraId="000001B3">
      <w:pPr>
        <w:numPr>
          <w:ilvl w:val="2"/>
          <w:numId w:val="1"/>
        </w:numPr>
        <w:ind w:left="2160" w:hanging="360"/>
      </w:pPr>
      <w:r w:rsidDel="00000000" w:rsidR="00000000" w:rsidRPr="00000000">
        <w:rPr>
          <w:b w:val="1"/>
          <w:rtl w:val="0"/>
        </w:rPr>
        <w:t xml:space="preserve">CCPA (California Consumer Privacy Act):</w:t>
      </w:r>
      <w:r w:rsidDel="00000000" w:rsidR="00000000" w:rsidRPr="00000000">
        <w:rPr>
          <w:rtl w:val="0"/>
        </w:rPr>
        <w:t xml:space="preserve"> While not directly mandating an ID, the CCPA requires businesses to disclose categories of personal information collected, the purposes for which the categories of personal information are collected or used, and whether that information is sold or shared. Effective record-keeping for these disclosures implicitly requires unique identification of processing activities. (Cal. Civ. Code § 1798.100(b), § 1798.110(c))</w:t>
      </w:r>
    </w:p>
    <w:p w:rsidR="00000000" w:rsidDel="00000000" w:rsidP="00000000" w:rsidRDefault="00000000" w:rsidRPr="00000000" w14:paraId="000001B4">
      <w:pPr>
        <w:numPr>
          <w:ilvl w:val="2"/>
          <w:numId w:val="1"/>
        </w:numPr>
        <w:ind w:left="2160" w:hanging="360"/>
      </w:pPr>
      <w:r w:rsidDel="00000000" w:rsidR="00000000" w:rsidRPr="00000000">
        <w:rPr>
          <w:b w:val="1"/>
          <w:rtl w:val="0"/>
        </w:rPr>
        <w:t xml:space="preserve">LGPD (Lei Geral de Proteção de Dados - Brazil):</w:t>
      </w:r>
      <w:r w:rsidDel="00000000" w:rsidR="00000000" w:rsidRPr="00000000">
        <w:rPr>
          <w:rtl w:val="0"/>
        </w:rPr>
        <w:t xml:space="preserve"> Article 37 states that the controller and the operator must keep a record of personal data processing operations, especially when based on legitimate interest. This also implies the need for unique identifiers for each operation.</w:t>
      </w:r>
    </w:p>
    <w:p w:rsidR="00000000" w:rsidDel="00000000" w:rsidP="00000000" w:rsidRDefault="00000000" w:rsidRPr="00000000" w14:paraId="000001B5">
      <w:pPr>
        <w:numPr>
          <w:ilvl w:val="2"/>
          <w:numId w:val="1"/>
        </w:numPr>
        <w:ind w:left="2160" w:hanging="360"/>
      </w:pPr>
      <w:r w:rsidDel="00000000" w:rsidR="00000000" w:rsidRPr="00000000">
        <w:rPr>
          <w:b w:val="1"/>
          <w:rtl w:val="0"/>
        </w:rPr>
        <w:t xml:space="preserve">PIPL (Personal Information Protection Law - China):</w:t>
      </w:r>
      <w:r w:rsidDel="00000000" w:rsidR="00000000" w:rsidRPr="00000000">
        <w:rPr>
          <w:rtl w:val="0"/>
        </w:rPr>
        <w:t xml:space="preserve"> Article 51 requires personal information handlers to formulate internal management systems and operating rules, adopt corresponding technical measures, and take other necessary measures to ensure the security of personal information. Maintaining records of processing activities, identifiable by an ID, is a key part of such systems.</w:t>
      </w:r>
    </w:p>
    <w:p w:rsidR="00000000" w:rsidDel="00000000" w:rsidP="00000000" w:rsidRDefault="00000000" w:rsidRPr="00000000" w14:paraId="000001B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8">
      <w:pPr>
        <w:numPr>
          <w:ilvl w:val="0"/>
          <w:numId w:val="1"/>
        </w:numPr>
        <w:ind w:left="720" w:hanging="360"/>
      </w:pPr>
      <w:r w:rsidDel="00000000" w:rsidR="00000000" w:rsidRPr="00000000">
        <w:rPr>
          <w:b w:val="1"/>
          <w:rtl w:val="0"/>
        </w:rPr>
        <w:t xml:space="preserve">activityName: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clear name for the activity is essential for transparency and accountability, even if not explicitly called out as 'activityName' in all regulations.</w:t>
      </w:r>
    </w:p>
    <w:p w:rsidR="00000000" w:rsidDel="00000000" w:rsidP="00000000" w:rsidRDefault="00000000" w:rsidRPr="00000000" w14:paraId="000001BB">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30(1)(a) requires the record to contain the 'purposes of the processing'. A descriptive name helps in fulfilling this.</w:t>
      </w:r>
    </w:p>
    <w:p w:rsidR="00000000" w:rsidDel="00000000" w:rsidP="00000000" w:rsidRDefault="00000000" w:rsidRPr="00000000" w14:paraId="000001BC">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Requires businesses to disclose the purposes for which categories of personal information are collected or used. A clear activity name contributes to this disclosure. (Cal. Civ. Code § 1798.100(b))</w:t>
      </w:r>
    </w:p>
    <w:p w:rsidR="00000000" w:rsidDel="00000000" w:rsidP="00000000" w:rsidRDefault="00000000" w:rsidRPr="00000000" w14:paraId="000001BD">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6 (Principles of Personal Data Processing) includes transparency (II) and accountability (X), both of which are supported by clearly naming processing activities.</w:t>
      </w:r>
    </w:p>
    <w:p w:rsidR="00000000" w:rsidDel="00000000" w:rsidP="00000000" w:rsidRDefault="00000000" w:rsidRPr="00000000" w14:paraId="000001BE">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13 outlines the legal bases for processing, and implicitly requires clarity on the nature of the processing.</w:t>
      </w:r>
    </w:p>
    <w:p w:rsidR="00000000" w:rsidDel="00000000" w:rsidP="00000000" w:rsidRDefault="00000000" w:rsidRPr="00000000" w14:paraId="000001B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1">
      <w:pPr>
        <w:numPr>
          <w:ilvl w:val="0"/>
          <w:numId w:val="1"/>
        </w:numPr>
        <w:ind w:left="720" w:hanging="360"/>
      </w:pPr>
      <w:r w:rsidDel="00000000" w:rsidR="00000000" w:rsidRPr="00000000">
        <w:rPr>
          <w:b w:val="1"/>
          <w:rtl w:val="0"/>
        </w:rPr>
        <w:t xml:space="preserve">activityDescription:</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Detailed descriptions are fundamental for understanding the scope and nature of data processing, a common thread across privacy laws.</w:t>
      </w:r>
    </w:p>
    <w:p w:rsidR="00000000" w:rsidDel="00000000" w:rsidP="00000000" w:rsidRDefault="00000000" w:rsidRPr="00000000" w14:paraId="000001C4">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30(1)(a) requires 'the purposes of the processing'. A detailed description elaborates on these purposes.</w:t>
      </w:r>
    </w:p>
    <w:p w:rsidR="00000000" w:rsidDel="00000000" w:rsidP="00000000" w:rsidRDefault="00000000" w:rsidRPr="00000000" w14:paraId="000001C5">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6 (Transparency) and Article 9 (Information to the Data Subject) require clear and adequate information about the processing of personal data.</w:t>
      </w:r>
    </w:p>
    <w:p w:rsidR="00000000" w:rsidDel="00000000" w:rsidP="00000000" w:rsidRDefault="00000000" w:rsidRPr="00000000" w14:paraId="000001C6">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17 requires personal information handlers to truthfully, accurately, and completely inform individuals of the rules for processing their personal information. A detailed description is crucial for this.</w:t>
      </w:r>
    </w:p>
    <w:p w:rsidR="00000000" w:rsidDel="00000000" w:rsidP="00000000" w:rsidRDefault="00000000" w:rsidRPr="00000000" w14:paraId="000001C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purpose limitation principle is a cornerstone of global privacy laws.</w:t>
      </w:r>
    </w:p>
    <w:p w:rsidR="00000000" w:rsidDel="00000000" w:rsidP="00000000" w:rsidRDefault="00000000" w:rsidRPr="00000000" w14:paraId="000001CC">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5(1)(b) states personal data shall be 'collected for specified, explicit and legitimate purposes and not further processed in a manner that is incompatible with those purposes'. Article 30(1)(a) explicitly requires 'the purposes of the processing'.</w:t>
      </w:r>
    </w:p>
    <w:p w:rsidR="00000000" w:rsidDel="00000000" w:rsidP="00000000" w:rsidRDefault="00000000" w:rsidRPr="00000000" w14:paraId="000001CD">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Businesses must disclose the 'business or commercial purpose for collecting or selling personal information'. (Cal. Civ. Code § 1798.110(c))</w:t>
      </w:r>
    </w:p>
    <w:p w:rsidR="00000000" w:rsidDel="00000000" w:rsidP="00000000" w:rsidRDefault="00000000" w:rsidRPr="00000000" w14:paraId="000001CE">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6 (I - Purpose) states that processing must be carried out for legitimate, specific, explicit, and informed purposes.</w:t>
      </w:r>
    </w:p>
    <w:p w:rsidR="00000000" w:rsidDel="00000000" w:rsidP="00000000" w:rsidRDefault="00000000" w:rsidRPr="00000000" w14:paraId="000001CF">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6 (Principle of Minimum Necessity) and Article 13 (Legal Bases) emphasize that personal information should only be processed for a clear and reasonable purpose directly related to the processing.</w:t>
      </w:r>
    </w:p>
    <w:p w:rsidR="00000000" w:rsidDel="00000000" w:rsidP="00000000" w:rsidRDefault="00000000" w:rsidRPr="00000000" w14:paraId="000001D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purposes possible)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2">
      <w:pPr>
        <w:numPr>
          <w:ilvl w:val="0"/>
          <w:numId w:val="1"/>
        </w:numPr>
        <w:ind w:left="720" w:hanging="360"/>
      </w:pPr>
      <w:r w:rsidDel="00000000" w:rsidR="00000000" w:rsidRPr="00000000">
        <w:rPr>
          <w:b w:val="1"/>
          <w:rtl w:val="0"/>
        </w:rPr>
        <w:t xml:space="preserve">processingType:</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Categorizing the type of processing helps in understanding the nature of the activity and its potential impact.</w:t>
      </w:r>
    </w:p>
    <w:p w:rsidR="00000000" w:rsidDel="00000000" w:rsidP="00000000" w:rsidRDefault="00000000" w:rsidRPr="00000000" w14:paraId="000001D5">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4(2) provides a broad definition of 'processing' including collection, recording, organization, storage, etc. While not explicitly an attribute in Article 30, understanding the type of processing is inherent to documenting the activity.</w:t>
      </w:r>
    </w:p>
    <w:p w:rsidR="00000000" w:rsidDel="00000000" w:rsidP="00000000" w:rsidRDefault="00000000" w:rsidRPr="00000000" w14:paraId="000001D6">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5 (X - Processing) defines processing broadly, similar to GDPR.</w:t>
      </w:r>
    </w:p>
    <w:p w:rsidR="00000000" w:rsidDel="00000000" w:rsidP="00000000" w:rsidRDefault="00000000" w:rsidRPr="00000000" w14:paraId="000001D7">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4 defines personal information processing activities, including collection, storage, use, processing, transmission, provision, disclosure, and deletion.</w:t>
      </w:r>
    </w:p>
    <w:p w:rsidR="00000000" w:rsidDel="00000000" w:rsidP="00000000" w:rsidRDefault="00000000" w:rsidRPr="00000000" w14:paraId="000001D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multiple types possible)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b w:val="1"/>
          <w:rtl w:val="0"/>
        </w:rPr>
        <w:t xml:space="preserve">isAutomatedDecisionMaking:</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Automated decision-making, especially profiling, is a high-risk area regulated by many laws.</w:t>
      </w:r>
    </w:p>
    <w:p w:rsidR="00000000" w:rsidDel="00000000" w:rsidP="00000000" w:rsidRDefault="00000000" w:rsidRPr="00000000" w14:paraId="000001DD">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22 grants data subjects the right not to be subject to a decision based solely on automated processing, including profiling, which produces legal effects concerning him or her or similarly significantly affects him or her.</w:t>
      </w:r>
    </w:p>
    <w:p w:rsidR="00000000" w:rsidDel="00000000" w:rsidP="00000000" w:rsidRDefault="00000000" w:rsidRPr="00000000" w14:paraId="000001DE">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24 states that personal information handlers shall not make decisions solely based on automated decision-making concerning individuals. Where decisions are made through automated decision-making, transparency and fairness shall be ensured, and an inconvenient or unfair result shall not be imposed on individuals.</w:t>
      </w:r>
    </w:p>
    <w:p w:rsidR="00000000" w:rsidDel="00000000" w:rsidP="00000000" w:rsidRDefault="00000000" w:rsidRPr="00000000" w14:paraId="000001DF">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20 grants the right to request review of decisions made solely on automated processing of personal data affecting their interests.</w:t>
      </w:r>
    </w:p>
    <w:p w:rsidR="00000000" w:rsidDel="00000000" w:rsidP="00000000" w:rsidRDefault="00000000" w:rsidRPr="00000000" w14:paraId="000001E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2">
      <w:pPr>
        <w:numPr>
          <w:ilvl w:val="0"/>
          <w:numId w:val="1"/>
        </w:numPr>
        <w:ind w:left="720" w:hanging="360"/>
      </w:pPr>
      <w:r w:rsidDel="00000000" w:rsidR="00000000" w:rsidRPr="00000000">
        <w:rPr>
          <w:b w:val="1"/>
          <w:rtl w:val="0"/>
        </w:rPr>
        <w:t xml:space="preserve">automatedLogicDescription:</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Transparency about the logic of automated decisions is a key right for data subjects.</w:t>
      </w:r>
    </w:p>
    <w:p w:rsidR="00000000" w:rsidDel="00000000" w:rsidP="00000000" w:rsidRDefault="00000000" w:rsidRPr="00000000" w14:paraId="000001E5">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13(2)(f) and 14(2)(g) require controllers to provide 'meaningful information about the logic involved, as well as the significance and the envisaged consequences of such processing for the data subject' when automated decision-making occurs.</w:t>
      </w:r>
    </w:p>
    <w:p w:rsidR="00000000" w:rsidDel="00000000" w:rsidP="00000000" w:rsidRDefault="00000000" w:rsidRPr="00000000" w14:paraId="000001E6">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24 requires transparency in automated decision-making.</w:t>
      </w:r>
    </w:p>
    <w:p w:rsidR="00000000" w:rsidDel="00000000" w:rsidP="00000000" w:rsidRDefault="00000000" w:rsidRPr="00000000" w14:paraId="000001E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isAutomatedDecisionMaking is true)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9">
      <w:pPr>
        <w:numPr>
          <w:ilvl w:val="0"/>
          <w:numId w:val="1"/>
        </w:numPr>
        <w:ind w:left="720" w:hanging="360"/>
      </w:pPr>
      <w:r w:rsidDel="00000000" w:rsidR="00000000" w:rsidRPr="00000000">
        <w:rPr>
          <w:b w:val="1"/>
          <w:rtl w:val="0"/>
        </w:rPr>
        <w:t xml:space="preserve">automatedSignificance: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Data subjects have a right to understand the impact of automated decisions on them.</w:t>
      </w:r>
    </w:p>
    <w:p w:rsidR="00000000" w:rsidDel="00000000" w:rsidP="00000000" w:rsidRDefault="00000000" w:rsidRPr="00000000" w14:paraId="000001EC">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13(2)(f) and 14(2)(g) explicitly require information on 'the significance and the envisaged consequences of such processing for the data subject'.</w:t>
      </w:r>
    </w:p>
    <w:p w:rsidR="00000000" w:rsidDel="00000000" w:rsidP="00000000" w:rsidRDefault="00000000" w:rsidRPr="00000000" w14:paraId="000001ED">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isAutomatedDecisionMaking is true)</w:t>
      </w:r>
    </w:p>
    <w:p w:rsidR="00000000" w:rsidDel="00000000" w:rsidP="00000000" w:rsidRDefault="00000000" w:rsidRPr="00000000" w14:paraId="000001EE">
      <w:pPr>
        <w:pStyle w:val="Heading3"/>
        <w:rPr/>
      </w:pPr>
      <w:bookmarkStart w:colFirst="0" w:colLast="0" w:name="_p619zvb4sm1a" w:id="49"/>
      <w:bookmarkEnd w:id="49"/>
      <w:r w:rsidDel="00000000" w:rsidR="00000000" w:rsidRPr="00000000">
        <w:rPr>
          <w:rtl w:val="0"/>
        </w:rPr>
        <w:t xml:space="preserve">17.2. BusinessContext Class (Revisited)</w:t>
      </w:r>
    </w:p>
    <w:p w:rsidR="00000000" w:rsidDel="00000000" w:rsidP="00000000" w:rsidRDefault="00000000" w:rsidRPr="00000000" w14:paraId="000001EF">
      <w:pPr>
        <w:numPr>
          <w:ilvl w:val="0"/>
          <w:numId w:val="1"/>
        </w:numPr>
        <w:ind w:left="720" w:hanging="360"/>
      </w:pPr>
      <w:r w:rsidDel="00000000" w:rsidR="00000000" w:rsidRPr="00000000">
        <w:rPr>
          <w:b w:val="1"/>
          <w:rtl w:val="0"/>
        </w:rPr>
        <w:t xml:space="preserve">businessContextID:</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1">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organizational units is crucial for assigning accountability and managing data governance within an enterprise.</w:t>
      </w:r>
    </w:p>
    <w:p w:rsidR="00000000" w:rsidDel="00000000" w:rsidP="00000000" w:rsidRDefault="00000000" w:rsidRPr="00000000" w14:paraId="000001F2">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5(2) (Accountability) requires the controller to be responsible for, and be able to demonstrate compliance with, the principles relating to processing personal data. This often necessitates mapping processing activities to specific business units.</w:t>
      </w:r>
    </w:p>
    <w:p w:rsidR="00000000" w:rsidDel="00000000" w:rsidP="00000000" w:rsidRDefault="00000000" w:rsidRPr="00000000" w14:paraId="000001F3">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6 (Accountability) states that the agent must adopt measures to demonstrate compliance with the personal data protection rules.</w:t>
      </w:r>
    </w:p>
    <w:p w:rsidR="00000000" w:rsidDel="00000000" w:rsidP="00000000" w:rsidRDefault="00000000" w:rsidRPr="00000000" w14:paraId="000001F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6">
      <w:pPr>
        <w:numPr>
          <w:ilvl w:val="0"/>
          <w:numId w:val="1"/>
        </w:numPr>
        <w:ind w:left="720" w:hanging="360"/>
      </w:pPr>
      <w:r w:rsidDel="00000000" w:rsidR="00000000" w:rsidRPr="00000000">
        <w:rPr>
          <w:b w:val="1"/>
          <w:rtl w:val="0"/>
        </w:rPr>
        <w:t xml:space="preserve">businessContextName:</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human-readable name for the business context aids in clarity and communication within the organization and for external audits.</w:t>
      </w:r>
    </w:p>
    <w:p w:rsidR="00000000" w:rsidDel="00000000" w:rsidP="00000000" w:rsidRDefault="00000000" w:rsidRPr="00000000" w14:paraId="000001F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1FA">
      <w:pPr>
        <w:pStyle w:val="Heading3"/>
        <w:rPr/>
      </w:pPr>
      <w:bookmarkStart w:colFirst="0" w:colLast="0" w:name="_n264lk4yehbj" w:id="50"/>
      <w:bookmarkEnd w:id="50"/>
      <w:r w:rsidDel="00000000" w:rsidR="00000000" w:rsidRPr="00000000">
        <w:rPr>
          <w:rtl w:val="0"/>
        </w:rPr>
        <w:t xml:space="preserve">17.3. LineOfBusiness Class (Revisited)</w:t>
      </w:r>
    </w:p>
    <w:p w:rsidR="00000000" w:rsidDel="00000000" w:rsidP="00000000" w:rsidRDefault="00000000" w:rsidRPr="00000000" w14:paraId="000001FB">
      <w:pPr>
        <w:numPr>
          <w:ilvl w:val="0"/>
          <w:numId w:val="1"/>
        </w:numPr>
        <w:ind w:left="720" w:hanging="360"/>
      </w:pPr>
      <w:r w:rsidDel="00000000" w:rsidR="00000000" w:rsidRPr="00000000">
        <w:rPr>
          <w:b w:val="1"/>
          <w:rtl w:val="0"/>
        </w:rPr>
        <w:t xml:space="preserve">lineofBusinessID:</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For large organizations, categorizing processing activities by line of business helps in managing compliance at a departmental or functional level.</w:t>
      </w:r>
    </w:p>
    <w:p w:rsidR="00000000" w:rsidDel="00000000" w:rsidP="00000000" w:rsidRDefault="00000000" w:rsidRPr="00000000" w14:paraId="000001F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0">
      <w:pPr>
        <w:numPr>
          <w:ilvl w:val="0"/>
          <w:numId w:val="1"/>
        </w:numPr>
        <w:ind w:left="720" w:hanging="360"/>
      </w:pPr>
      <w:r w:rsidDel="00000000" w:rsidR="00000000" w:rsidRPr="00000000">
        <w:rPr>
          <w:b w:val="1"/>
          <w:rtl w:val="0"/>
        </w:rPr>
        <w:t xml:space="preserve">lineofBusinessName: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clear, human-readable identifier for different business segments.</w:t>
      </w:r>
    </w:p>
    <w:p w:rsidR="00000000" w:rsidDel="00000000" w:rsidP="00000000" w:rsidRDefault="00000000" w:rsidRPr="00000000" w14:paraId="0000020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5">
      <w:pPr>
        <w:numPr>
          <w:ilvl w:val="0"/>
          <w:numId w:val="1"/>
        </w:numPr>
        <w:ind w:left="720" w:hanging="360"/>
      </w:pPr>
      <w:r w:rsidDel="00000000" w:rsidR="00000000" w:rsidRPr="00000000">
        <w:rPr>
          <w:b w:val="1"/>
          <w:rtl w:val="0"/>
        </w:rPr>
        <w:t xml:space="preserve">lineofBusinessDescription: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additional context and details about the scope and activities of a particular line of business.</w:t>
      </w:r>
    </w:p>
    <w:p w:rsidR="00000000" w:rsidDel="00000000" w:rsidP="00000000" w:rsidRDefault="00000000" w:rsidRPr="00000000" w14:paraId="0000020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09">
      <w:pPr>
        <w:pStyle w:val="Heading3"/>
        <w:rPr/>
      </w:pPr>
      <w:bookmarkStart w:colFirst="0" w:colLast="0" w:name="_dlaoe2y0q5hr" w:id="51"/>
      <w:bookmarkEnd w:id="51"/>
      <w:r w:rsidDel="00000000" w:rsidR="00000000" w:rsidRPr="00000000">
        <w:rPr>
          <w:rtl w:val="0"/>
        </w:rPr>
        <w:t xml:space="preserve">17.4. Country Class (Revisited)</w:t>
      </w:r>
    </w:p>
    <w:p w:rsidR="00000000" w:rsidDel="00000000" w:rsidP="00000000" w:rsidRDefault="00000000" w:rsidRPr="00000000" w14:paraId="0000020A">
      <w:pPr>
        <w:numPr>
          <w:ilvl w:val="0"/>
          <w:numId w:val="1"/>
        </w:numPr>
        <w:ind w:left="720" w:hanging="360"/>
      </w:pPr>
      <w:r w:rsidDel="00000000" w:rsidR="00000000" w:rsidRPr="00000000">
        <w:rPr>
          <w:b w:val="1"/>
          <w:rtl w:val="0"/>
        </w:rPr>
        <w:t xml:space="preserve">ISO-3Code:</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Standardized country codes are essential for managing international data transfers and identifying applicable jurisdictional laws.</w:t>
      </w:r>
    </w:p>
    <w:p w:rsidR="00000000" w:rsidDel="00000000" w:rsidP="00000000" w:rsidRDefault="00000000" w:rsidRPr="00000000" w14:paraId="0000020D">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Chapter V (Transfers of personal data to third countries or international organisations) heavily relies on identifying the country of origin and destination for data transfers.</w:t>
      </w:r>
    </w:p>
    <w:p w:rsidR="00000000" w:rsidDel="00000000" w:rsidP="00000000" w:rsidRDefault="00000000" w:rsidRPr="00000000" w14:paraId="0000020E">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While primarily US-focused, businesses operating internationally need to identify the origin of data subjects to determine applicability.</w:t>
      </w:r>
    </w:p>
    <w:p w:rsidR="00000000" w:rsidDel="00000000" w:rsidP="00000000" w:rsidRDefault="00000000" w:rsidRPr="00000000" w14:paraId="0000020F">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13 requires explicit consent for cross-border transfers of personal information. Identifying the countries involved is critical.</w:t>
      </w:r>
    </w:p>
    <w:p w:rsidR="00000000" w:rsidDel="00000000" w:rsidP="00000000" w:rsidRDefault="00000000" w:rsidRPr="00000000" w14:paraId="0000021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2">
      <w:pPr>
        <w:numPr>
          <w:ilvl w:val="0"/>
          <w:numId w:val="1"/>
        </w:numPr>
        <w:ind w:left="720" w:hanging="360"/>
      </w:pPr>
      <w:r w:rsidDel="00000000" w:rsidR="00000000" w:rsidRPr="00000000">
        <w:rPr>
          <w:b w:val="1"/>
          <w:rtl w:val="0"/>
        </w:rPr>
        <w:t xml:space="preserve">CountryName:</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clarity.</w:t>
      </w:r>
    </w:p>
    <w:p w:rsidR="00000000" w:rsidDel="00000000" w:rsidP="00000000" w:rsidRDefault="00000000" w:rsidRPr="00000000" w14:paraId="0000021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7">
      <w:pPr>
        <w:numPr>
          <w:ilvl w:val="0"/>
          <w:numId w:val="1"/>
        </w:numPr>
        <w:ind w:left="720" w:hanging="360"/>
      </w:pPr>
      <w:r w:rsidDel="00000000" w:rsidR="00000000" w:rsidRPr="00000000">
        <w:rPr>
          <w:b w:val="1"/>
          <w:rtl w:val="0"/>
        </w:rPr>
        <w:t xml:space="preserve">JurisdictionType:</w:t>
      </w:r>
      <w:r w:rsidDel="00000000" w:rsidR="00000000" w:rsidRPr="00000000">
        <w:rPr>
          <w:rtl w:val="0"/>
        </w:rPr>
        <w:t xml:space="preserve"> (New Attribute)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categorize the type of legal jurisdiction (e.g., EU Member State, Federal, State, Territory, Special Administrative Region). This helps in understanding the nuances of legal applicability.</w:t>
      </w:r>
    </w:p>
    <w:p w:rsidR="00000000" w:rsidDel="00000000" w:rsidP="00000000" w:rsidRDefault="00000000" w:rsidRPr="00000000" w14:paraId="0000021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1B">
      <w:pPr>
        <w:pStyle w:val="Heading3"/>
        <w:rPr/>
      </w:pPr>
      <w:bookmarkStart w:colFirst="0" w:colLast="0" w:name="_v9d8s6oxujcd" w:id="52"/>
      <w:bookmarkEnd w:id="52"/>
      <w:r w:rsidDel="00000000" w:rsidR="00000000" w:rsidRPr="00000000">
        <w:rPr>
          <w:rtl w:val="0"/>
        </w:rPr>
        <w:t xml:space="preserve">17.5. LegalEntity Class (Revisited)</w:t>
      </w:r>
    </w:p>
    <w:p w:rsidR="00000000" w:rsidDel="00000000" w:rsidP="00000000" w:rsidRDefault="00000000" w:rsidRPr="00000000" w14:paraId="0000021C">
      <w:pPr>
        <w:numPr>
          <w:ilvl w:val="0"/>
          <w:numId w:val="1"/>
        </w:numPr>
        <w:ind w:left="720" w:hanging="360"/>
      </w:pPr>
      <w:r w:rsidDel="00000000" w:rsidR="00000000" w:rsidRPr="00000000">
        <w:rPr>
          <w:b w:val="1"/>
          <w:rtl w:val="0"/>
        </w:rPr>
        <w:t xml:space="preserve">entityID:</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Unique identification of legal entities (controllers, processors, DPOs) is fundamental for accountability and communication.</w:t>
      </w:r>
    </w:p>
    <w:p w:rsidR="00000000" w:rsidDel="00000000" w:rsidP="00000000" w:rsidRDefault="00000000" w:rsidRPr="00000000" w14:paraId="0000021F">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30(1)(a) requires the name and contact details of the controller and, where applicable, the joint controller, the controller’s representative and the data protection officer.</w:t>
      </w:r>
    </w:p>
    <w:p w:rsidR="00000000" w:rsidDel="00000000" w:rsidP="00000000" w:rsidRDefault="00000000" w:rsidRPr="00000000" w14:paraId="00000220">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Requires businesses to identify the business that collects personal information.</w:t>
      </w:r>
    </w:p>
    <w:p w:rsidR="00000000" w:rsidDel="00000000" w:rsidP="00000000" w:rsidRDefault="00000000" w:rsidRPr="00000000" w14:paraId="00000221">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37 requires the controller and operator to keep records.</w:t>
      </w:r>
    </w:p>
    <w:p w:rsidR="00000000" w:rsidDel="00000000" w:rsidP="00000000" w:rsidRDefault="00000000" w:rsidRPr="00000000" w14:paraId="00000222">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51 requires personal information handlers to establish internal management systems.</w:t>
      </w:r>
    </w:p>
    <w:p w:rsidR="00000000" w:rsidDel="00000000" w:rsidP="00000000" w:rsidRDefault="00000000" w:rsidRPr="00000000" w14:paraId="00000223">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5">
      <w:pPr>
        <w:numPr>
          <w:ilvl w:val="0"/>
          <w:numId w:val="1"/>
        </w:numPr>
        <w:ind w:left="720" w:hanging="360"/>
      </w:pPr>
      <w:r w:rsidDel="00000000" w:rsidR="00000000" w:rsidRPr="00000000">
        <w:rPr>
          <w:b w:val="1"/>
          <w:rtl w:val="0"/>
        </w:rPr>
        <w:t xml:space="preserve">entityName:</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7">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Human-readable name for the entity.</w:t>
      </w:r>
    </w:p>
    <w:p w:rsidR="00000000" w:rsidDel="00000000" w:rsidP="00000000" w:rsidRDefault="00000000" w:rsidRPr="00000000" w14:paraId="0000022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A">
      <w:pPr>
        <w:numPr>
          <w:ilvl w:val="0"/>
          <w:numId w:val="1"/>
        </w:numPr>
        <w:ind w:left="720" w:hanging="360"/>
      </w:pPr>
      <w:r w:rsidDel="00000000" w:rsidR="00000000" w:rsidRPr="00000000">
        <w:rPr>
          <w:b w:val="1"/>
          <w:rtl w:val="0"/>
        </w:rPr>
        <w:t xml:space="preserve">contactDetails:</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Essential for data subjects and supervisory authorities to contact the relevant parties.</w:t>
      </w:r>
    </w:p>
    <w:p w:rsidR="00000000" w:rsidDel="00000000" w:rsidP="00000000" w:rsidRDefault="00000000" w:rsidRPr="00000000" w14:paraId="0000022D">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30(1)(a) explicitly requires contact details.</w:t>
      </w:r>
    </w:p>
    <w:p w:rsidR="00000000" w:rsidDel="00000000" w:rsidP="00000000" w:rsidRDefault="00000000" w:rsidRPr="00000000" w14:paraId="0000022E">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Requires businesses to provide a toll-free number and website address for submitting requests.</w:t>
      </w:r>
    </w:p>
    <w:p w:rsidR="00000000" w:rsidDel="00000000" w:rsidP="00000000" w:rsidRDefault="00000000" w:rsidRPr="00000000" w14:paraId="0000022F">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9 requires information about the controller's identity and contact details.</w:t>
      </w:r>
    </w:p>
    <w:p w:rsidR="00000000" w:rsidDel="00000000" w:rsidP="00000000" w:rsidRDefault="00000000" w:rsidRPr="00000000" w14:paraId="0000023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2">
      <w:pPr>
        <w:numPr>
          <w:ilvl w:val="0"/>
          <w:numId w:val="1"/>
        </w:numPr>
        <w:ind w:left="720" w:hanging="360"/>
      </w:pPr>
      <w:r w:rsidDel="00000000" w:rsidR="00000000" w:rsidRPr="00000000">
        <w:rPr>
          <w:b w:val="1"/>
          <w:rtl w:val="0"/>
        </w:rPr>
        <w:t xml:space="preserve">entityRole: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 distinction between roles (controller, processor, DPO) is central to assigning responsibilities and obligations under privacy laws.</w:t>
      </w:r>
    </w:p>
    <w:p w:rsidR="00000000" w:rsidDel="00000000" w:rsidP="00000000" w:rsidRDefault="00000000" w:rsidRPr="00000000" w14:paraId="00000235">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4 defines 'controller' and 'processor'. Articles 24-43 detail their respective responsibilities.</w:t>
      </w:r>
    </w:p>
    <w:p w:rsidR="00000000" w:rsidDel="00000000" w:rsidP="00000000" w:rsidRDefault="00000000" w:rsidRPr="00000000" w14:paraId="00000236">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5 defines 'controller' and 'operator'.</w:t>
      </w:r>
    </w:p>
    <w:p w:rsidR="00000000" w:rsidDel="00000000" w:rsidP="00000000" w:rsidRDefault="00000000" w:rsidRPr="00000000" w14:paraId="00000237">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73 defines 'personal information handler' (similar to controller) and 'entrusted party' (similar to processor).</w:t>
      </w:r>
    </w:p>
    <w:p w:rsidR="00000000" w:rsidDel="00000000" w:rsidP="00000000" w:rsidRDefault="00000000" w:rsidRPr="00000000" w14:paraId="00000238">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an entity can have multiple roles or be identified by one primary role)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A">
      <w:pPr>
        <w:numPr>
          <w:ilvl w:val="0"/>
          <w:numId w:val="1"/>
        </w:numPr>
        <w:ind w:left="720" w:hanging="360"/>
      </w:pPr>
      <w:r w:rsidDel="00000000" w:rsidR="00000000" w:rsidRPr="00000000">
        <w:rPr>
          <w:b w:val="1"/>
          <w:rtl w:val="0"/>
        </w:rPr>
        <w:t xml:space="preserve">dpoName, dpoContact, controllerName, controllerContact, processorName, processorContact:</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C">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These attributes directly map to the explicit requirements for identifying and contacting key roles in data processing.</w:t>
      </w:r>
    </w:p>
    <w:p w:rsidR="00000000" w:rsidDel="00000000" w:rsidP="00000000" w:rsidRDefault="00000000" w:rsidRPr="00000000" w14:paraId="0000023D">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30(1)(a) and 30(2) explicitly require these details in the record of processing activities.</w:t>
      </w:r>
    </w:p>
    <w:p w:rsidR="00000000" w:rsidDel="00000000" w:rsidP="00000000" w:rsidRDefault="00000000" w:rsidRPr="00000000" w14:paraId="0000023E">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9 requires information about the controller's identity and contact details.</w:t>
      </w:r>
    </w:p>
    <w:p w:rsidR="00000000" w:rsidDel="00000000" w:rsidP="00000000" w:rsidRDefault="00000000" w:rsidRPr="00000000" w14:paraId="0000023F">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52 requires certain personal information handlers to designate a person in charge of personal information protection and disclose their contact information.</w:t>
      </w:r>
    </w:p>
    <w:p w:rsidR="00000000" w:rsidDel="00000000" w:rsidP="00000000" w:rsidRDefault="00000000" w:rsidRPr="00000000" w14:paraId="0000024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only if the entity holds that specific role)</w:t>
      </w:r>
    </w:p>
    <w:p w:rsidR="00000000" w:rsidDel="00000000" w:rsidP="00000000" w:rsidRDefault="00000000" w:rsidRPr="00000000" w14:paraId="00000241">
      <w:pPr>
        <w:pStyle w:val="Heading3"/>
        <w:rPr/>
      </w:pPr>
      <w:bookmarkStart w:colFirst="0" w:colLast="0" w:name="_8mq6b9pb35md" w:id="53"/>
      <w:bookmarkEnd w:id="53"/>
      <w:r w:rsidDel="00000000" w:rsidR="00000000" w:rsidRPr="00000000">
        <w:rPr>
          <w:rtl w:val="0"/>
        </w:rPr>
        <w:t xml:space="preserve">17.6. RegulatoryRequirement Class (Revisited)</w:t>
      </w:r>
    </w:p>
    <w:p w:rsidR="00000000" w:rsidDel="00000000" w:rsidP="00000000" w:rsidRDefault="00000000" w:rsidRPr="00000000" w14:paraId="00000242">
      <w:pPr>
        <w:numPr>
          <w:ilvl w:val="0"/>
          <w:numId w:val="1"/>
        </w:numPr>
        <w:ind w:left="720" w:hanging="360"/>
      </w:pPr>
      <w:r w:rsidDel="00000000" w:rsidR="00000000" w:rsidRPr="00000000">
        <w:rPr>
          <w:b w:val="1"/>
          <w:rtl w:val="0"/>
        </w:rPr>
        <w:t xml:space="preserve">requirementID:</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precise and unambiguous reference to specific legal articles or provisions, crucial for demonstrating compliance.</w:t>
      </w:r>
    </w:p>
    <w:p w:rsidR="00000000" w:rsidDel="00000000" w:rsidP="00000000" w:rsidRDefault="00000000" w:rsidRPr="00000000" w14:paraId="0000024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7">
      <w:pPr>
        <w:numPr>
          <w:ilvl w:val="0"/>
          <w:numId w:val="1"/>
        </w:numPr>
        <w:ind w:left="720" w:hanging="360"/>
      </w:pPr>
      <w:r w:rsidDel="00000000" w:rsidR="00000000" w:rsidRPr="00000000">
        <w:rPr>
          <w:b w:val="1"/>
          <w:rtl w:val="0"/>
        </w:rPr>
        <w:t xml:space="preserve">ruleDescription:</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A human-readable summary of the legal obligation aids in understanding and applying the requirement.</w:t>
      </w:r>
    </w:p>
    <w:p w:rsidR="00000000" w:rsidDel="00000000" w:rsidP="00000000" w:rsidRDefault="00000000" w:rsidRPr="00000000" w14:paraId="0000024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C">
      <w:pPr>
        <w:numPr>
          <w:ilvl w:val="0"/>
          <w:numId w:val="1"/>
        </w:numPr>
        <w:ind w:left="720" w:hanging="360"/>
      </w:pPr>
      <w:r w:rsidDel="00000000" w:rsidR="00000000" w:rsidRPr="00000000">
        <w:rPr>
          <w:b w:val="1"/>
          <w:rtl w:val="0"/>
        </w:rPr>
        <w:t xml:space="preserve">regulationAppliedTo:</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Clarifies which type of entity (controller, processor) the regulation applies to, as obligations often differ.</w:t>
      </w:r>
    </w:p>
    <w:p w:rsidR="00000000" w:rsidDel="00000000" w:rsidP="00000000" w:rsidRDefault="00000000" w:rsidRPr="00000000" w14:paraId="0000024F">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Many articles specify whether they apply to controllers, processors, or both (e.g., Article 28 for processors, Article 32 for both).</w:t>
      </w:r>
    </w:p>
    <w:p w:rsidR="00000000" w:rsidDel="00000000" w:rsidP="00000000" w:rsidRDefault="00000000" w:rsidRPr="00000000" w14:paraId="0000025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 (Mandatory, a regulation can apply to multiple entity roles)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2">
      <w:pPr>
        <w:numPr>
          <w:ilvl w:val="0"/>
          <w:numId w:val="1"/>
        </w:numPr>
        <w:ind w:left="720" w:hanging="360"/>
      </w:pPr>
      <w:r w:rsidDel="00000000" w:rsidR="00000000" w:rsidRPr="00000000">
        <w:rPr>
          <w:b w:val="1"/>
          <w:rtl w:val="0"/>
        </w:rPr>
        <w:t xml:space="preserve">isMandatory:</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Distinguishes between strict legal mandates and recommended best practices or guidelines.</w:t>
      </w:r>
    </w:p>
    <w:p w:rsidR="00000000" w:rsidDel="00000000" w:rsidP="00000000" w:rsidRDefault="00000000" w:rsidRPr="00000000" w14:paraId="0000025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7">
      <w:pPr>
        <w:numPr>
          <w:ilvl w:val="0"/>
          <w:numId w:val="1"/>
        </w:numPr>
        <w:ind w:left="720" w:hanging="360"/>
      </w:pPr>
      <w:r w:rsidDel="00000000" w:rsidR="00000000" w:rsidRPr="00000000">
        <w:rPr>
          <w:b w:val="1"/>
          <w:rtl w:val="0"/>
        </w:rPr>
        <w:t xml:space="preserve">sourceRegulation:</w:t>
      </w:r>
      <w:r w:rsidDel="00000000" w:rsidR="00000000" w:rsidRPr="00000000">
        <w:rPr>
          <w:rtl w:val="0"/>
        </w:rPr>
        <w:t xml:space="preserve"> (New Attribute)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store the full name or abbreviation of the source regulation (e.g., 'GDPR', 'CCPA', 'LGPD', 'PIPL'). This helps in tracing the origin of the requirement.</w:t>
      </w:r>
    </w:p>
    <w:p w:rsidR="00000000" w:rsidDel="00000000" w:rsidP="00000000" w:rsidRDefault="00000000" w:rsidRPr="00000000" w14:paraId="0000025A">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5B">
      <w:pPr>
        <w:pStyle w:val="Heading3"/>
        <w:rPr/>
      </w:pPr>
      <w:bookmarkStart w:colFirst="0" w:colLast="0" w:name="_sdgtq6vj5djy" w:id="54"/>
      <w:bookmarkEnd w:id="54"/>
      <w:r w:rsidDel="00000000" w:rsidR="00000000" w:rsidRPr="00000000">
        <w:rPr>
          <w:rtl w:val="0"/>
        </w:rPr>
        <w:t xml:space="preserve">17.7. LawfulBasis Class (Revisited)</w:t>
      </w:r>
    </w:p>
    <w:p w:rsidR="00000000" w:rsidDel="00000000" w:rsidP="00000000" w:rsidRDefault="00000000" w:rsidRPr="00000000" w14:paraId="0000025C">
      <w:pPr>
        <w:numPr>
          <w:ilvl w:val="0"/>
          <w:numId w:val="1"/>
        </w:numPr>
        <w:ind w:left="720" w:hanging="360"/>
      </w:pPr>
      <w:r w:rsidDel="00000000" w:rsidR="00000000" w:rsidRPr="00000000">
        <w:rPr>
          <w:b w:val="1"/>
          <w:rtl w:val="0"/>
        </w:rPr>
        <w:t xml:space="preserve">lawfulBasisID, lawfulBasisName, lawfulBasisDescription:</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E">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These attributes are essential for documenting the legal grounds for processing, a core requirement across privacy laws.</w:t>
      </w:r>
    </w:p>
    <w:p w:rsidR="00000000" w:rsidDel="00000000" w:rsidP="00000000" w:rsidRDefault="00000000" w:rsidRPr="00000000" w14:paraId="0000025F">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6 outlines the lawful bases for processing. Article 30(1)(c) requires the record to specify the 'legal basis for the processing'.</w:t>
      </w:r>
    </w:p>
    <w:p w:rsidR="00000000" w:rsidDel="00000000" w:rsidP="00000000" w:rsidRDefault="00000000" w:rsidRPr="00000000" w14:paraId="00000260">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7 lists the legal bases for processing personal data.</w:t>
      </w:r>
    </w:p>
    <w:p w:rsidR="00000000" w:rsidDel="00000000" w:rsidP="00000000" w:rsidRDefault="00000000" w:rsidRPr="00000000" w14:paraId="00000261">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13 lists the legal bases for processing personal information.</w:t>
      </w:r>
    </w:p>
    <w:p w:rsidR="00000000" w:rsidDel="00000000" w:rsidP="00000000" w:rsidRDefault="00000000" w:rsidRPr="00000000" w14:paraId="0000026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and Name, 1..1 for Description)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4">
      <w:pPr>
        <w:numPr>
          <w:ilvl w:val="0"/>
          <w:numId w:val="1"/>
        </w:numPr>
        <w:ind w:left="720" w:hanging="360"/>
      </w:pPr>
      <w:r w:rsidDel="00000000" w:rsidR="00000000" w:rsidRPr="00000000">
        <w:rPr>
          <w:b w:val="1"/>
          <w:rtl w:val="0"/>
        </w:rPr>
        <w:t xml:space="preserve">lawfulBasisConditions:</w:t>
      </w:r>
      <w:r w:rsidDel="00000000" w:rsidR="00000000" w:rsidRPr="00000000">
        <w:rPr>
          <w:rtl w:val="0"/>
        </w:rPr>
        <w:t xml:space="preserve"> (New Attribute)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detail any specific conditions or requirements for relying on a particular lawful basis (e.g., for consent, details on how it was obtained, whether it can be withdrawn).</w:t>
      </w:r>
    </w:p>
    <w:p w:rsidR="00000000" w:rsidDel="00000000" w:rsidP="00000000" w:rsidRDefault="00000000" w:rsidRPr="00000000" w14:paraId="0000026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68">
      <w:pPr>
        <w:pStyle w:val="Heading3"/>
        <w:rPr/>
      </w:pPr>
      <w:bookmarkStart w:colFirst="0" w:colLast="0" w:name="_auqmlb9wso52" w:id="55"/>
      <w:bookmarkEnd w:id="55"/>
      <w:r w:rsidDel="00000000" w:rsidR="00000000" w:rsidRPr="00000000">
        <w:rPr>
          <w:rtl w:val="0"/>
        </w:rPr>
        <w:t xml:space="preserve">17.8. DataCategory Class (Revisited)</w:t>
      </w:r>
    </w:p>
    <w:p w:rsidR="00000000" w:rsidDel="00000000" w:rsidP="00000000" w:rsidRDefault="00000000" w:rsidRPr="00000000" w14:paraId="00000269">
      <w:pPr>
        <w:numPr>
          <w:ilvl w:val="0"/>
          <w:numId w:val="1"/>
        </w:numPr>
        <w:ind w:left="720" w:hanging="360"/>
      </w:pPr>
      <w:r w:rsidDel="00000000" w:rsidR="00000000" w:rsidRPr="00000000">
        <w:rPr>
          <w:b w:val="1"/>
          <w:rtl w:val="0"/>
        </w:rPr>
        <w:t xml:space="preserve">dataCategoryID, dataCategoryName, dataCategoryDescription:</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6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Classification of data categories is crucial for risk assessment and compliance.</w:t>
      </w:r>
    </w:p>
    <w:p w:rsidR="00000000" w:rsidDel="00000000" w:rsidP="00000000" w:rsidRDefault="00000000" w:rsidRPr="00000000" w14:paraId="0000026C">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30(1)(d) requires 'categories of personal data'.</w:t>
      </w:r>
    </w:p>
    <w:p w:rsidR="00000000" w:rsidDel="00000000" w:rsidP="00000000" w:rsidRDefault="00000000" w:rsidRPr="00000000" w14:paraId="0000026D">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Requires disclosure of 'categories of personal information collected'.</w:t>
      </w:r>
    </w:p>
    <w:p w:rsidR="00000000" w:rsidDel="00000000" w:rsidP="00000000" w:rsidRDefault="00000000" w:rsidRPr="00000000" w14:paraId="0000026E">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4 defines personal information, and Article 10 defines sensitive personal information, implying categorization.</w:t>
      </w:r>
    </w:p>
    <w:p w:rsidR="00000000" w:rsidDel="00000000" w:rsidP="00000000" w:rsidRDefault="00000000" w:rsidRPr="00000000" w14:paraId="0000026F">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Name, Description)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1">
      <w:pPr>
        <w:numPr>
          <w:ilvl w:val="0"/>
          <w:numId w:val="1"/>
        </w:numPr>
        <w:ind w:left="720" w:hanging="360"/>
      </w:pPr>
      <w:r w:rsidDel="00000000" w:rsidR="00000000" w:rsidRPr="00000000">
        <w:rPr>
          <w:b w:val="1"/>
          <w:rtl w:val="0"/>
        </w:rPr>
        <w:t xml:space="preserve">isSpecialDataCategory:</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3">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sensitive data categories is critical due to heightened protection requirements.</w:t>
      </w:r>
    </w:p>
    <w:p w:rsidR="00000000" w:rsidDel="00000000" w:rsidP="00000000" w:rsidRDefault="00000000" w:rsidRPr="00000000" w14:paraId="00000274">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9 defines 'special categories of personal data' requiring specific conditions for processing.</w:t>
      </w:r>
    </w:p>
    <w:p w:rsidR="00000000" w:rsidDel="00000000" w:rsidP="00000000" w:rsidRDefault="00000000" w:rsidRPr="00000000" w14:paraId="00000275">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28 defines 'sensitive personal information' with stricter processing rules.</w:t>
      </w:r>
    </w:p>
    <w:p w:rsidR="00000000" w:rsidDel="00000000" w:rsidP="00000000" w:rsidRDefault="00000000" w:rsidRPr="00000000" w14:paraId="00000276">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5 (II) defines 'sensitive personal data'.</w:t>
      </w:r>
    </w:p>
    <w:p w:rsidR="00000000" w:rsidDel="00000000" w:rsidP="00000000" w:rsidRDefault="00000000" w:rsidRPr="00000000" w14:paraId="0000027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9">
      <w:pPr>
        <w:numPr>
          <w:ilvl w:val="0"/>
          <w:numId w:val="1"/>
        </w:numPr>
        <w:ind w:left="720" w:hanging="360"/>
      </w:pPr>
      <w:r w:rsidDel="00000000" w:rsidR="00000000" w:rsidRPr="00000000">
        <w:rPr>
          <w:b w:val="1"/>
          <w:rtl w:val="0"/>
        </w:rPr>
        <w:t xml:space="preserve">dataClassificationLevel:</w:t>
      </w:r>
      <w:r w:rsidDel="00000000" w:rsidR="00000000" w:rsidRPr="00000000">
        <w:rPr>
          <w:rtl w:val="0"/>
        </w:rPr>
        <w:t xml:space="preserve"> (New Attribute)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7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be used to assign an internal data classification level (e.g., Public, Internal, Confidential, Restricted) which often dictates security measures and handling procedures.</w:t>
      </w:r>
    </w:p>
    <w:p w:rsidR="00000000" w:rsidDel="00000000" w:rsidP="00000000" w:rsidRDefault="00000000" w:rsidRPr="00000000" w14:paraId="0000027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7D">
      <w:pPr>
        <w:pStyle w:val="Heading3"/>
        <w:rPr/>
      </w:pPr>
      <w:bookmarkStart w:colFirst="0" w:colLast="0" w:name="_6sbdk7qpqwhe" w:id="56"/>
      <w:bookmarkEnd w:id="56"/>
      <w:r w:rsidDel="00000000" w:rsidR="00000000" w:rsidRPr="00000000">
        <w:rPr>
          <w:rtl w:val="0"/>
        </w:rPr>
        <w:t xml:space="preserve">17.9. DataRetension Class (Revisited)</w:t>
      </w:r>
    </w:p>
    <w:p w:rsidR="00000000" w:rsidDel="00000000" w:rsidP="00000000" w:rsidRDefault="00000000" w:rsidRPr="00000000" w14:paraId="0000027E">
      <w:pPr>
        <w:numPr>
          <w:ilvl w:val="0"/>
          <w:numId w:val="1"/>
        </w:numPr>
        <w:ind w:left="720" w:hanging="360"/>
      </w:pPr>
      <w:r w:rsidDel="00000000" w:rsidR="00000000" w:rsidRPr="00000000">
        <w:rPr>
          <w:b w:val="1"/>
          <w:rtl w:val="0"/>
        </w:rPr>
        <w:t xml:space="preserve">retensionScheduleID, retensionScheduleStartDate, retensionScheduleEndDate, isApplicableForLegalHold:</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Data retention policies are a key aspect of data lifecycle management and compliance.</w:t>
      </w:r>
    </w:p>
    <w:p w:rsidR="00000000" w:rsidDel="00000000" w:rsidP="00000000" w:rsidRDefault="00000000" w:rsidRPr="00000000" w14:paraId="00000281">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5(1)(e) states personal data shall be 'kept in a form which permits identification of data subjects for no longer than is necessary for the purposes for which the personal data are processed'. Article 30(1)(f) requires 'where possible, the envisaged time limits for erasure of the different categories of data'.</w:t>
      </w:r>
    </w:p>
    <w:p w:rsidR="00000000" w:rsidDel="00000000" w:rsidP="00000000" w:rsidRDefault="00000000" w:rsidRPr="00000000" w14:paraId="00000282">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Businesses should not retain personal information for longer than is reasonably necessary for the disclosed purpose.</w:t>
      </w:r>
    </w:p>
    <w:p w:rsidR="00000000" w:rsidDel="00000000" w:rsidP="00000000" w:rsidRDefault="00000000" w:rsidRPr="00000000" w14:paraId="00000283">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6 (V - Transparency) and Article 15 (End of Processing) address data retention.</w:t>
      </w:r>
    </w:p>
    <w:p w:rsidR="00000000" w:rsidDel="00000000" w:rsidP="00000000" w:rsidRDefault="00000000" w:rsidRPr="00000000" w14:paraId="00000284">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StartDate, EndDate, LegalHold)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6">
      <w:pPr>
        <w:numPr>
          <w:ilvl w:val="0"/>
          <w:numId w:val="1"/>
        </w:numPr>
        <w:ind w:left="720" w:hanging="360"/>
      </w:pPr>
      <w:r w:rsidDel="00000000" w:rsidR="00000000" w:rsidRPr="00000000">
        <w:rPr>
          <w:b w:val="1"/>
          <w:rtl w:val="0"/>
        </w:rPr>
        <w:t xml:space="preserve">retentionJustification:</w:t>
      </w:r>
      <w:r w:rsidDel="00000000" w:rsidR="00000000" w:rsidRPr="00000000">
        <w:rPr>
          <w:rtl w:val="0"/>
        </w:rPr>
        <w:t xml:space="preserve"> (New Attribute)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8">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provide the legal or business justification for the specified retention period.</w:t>
      </w:r>
    </w:p>
    <w:p w:rsidR="00000000" w:rsidDel="00000000" w:rsidP="00000000" w:rsidRDefault="00000000" w:rsidRPr="00000000" w14:paraId="0000028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8A">
      <w:pPr>
        <w:pStyle w:val="Heading3"/>
        <w:rPr/>
      </w:pPr>
      <w:bookmarkStart w:colFirst="0" w:colLast="0" w:name="_fzverbkw28jh" w:id="57"/>
      <w:bookmarkEnd w:id="57"/>
      <w:r w:rsidDel="00000000" w:rsidR="00000000" w:rsidRPr="00000000">
        <w:rPr>
          <w:rtl w:val="0"/>
        </w:rPr>
        <w:t xml:space="preserve">17.10. ImpactAssessment Class (Revisited)</w:t>
      </w:r>
    </w:p>
    <w:p w:rsidR="00000000" w:rsidDel="00000000" w:rsidP="00000000" w:rsidRDefault="00000000" w:rsidRPr="00000000" w14:paraId="0000028B">
      <w:pPr>
        <w:numPr>
          <w:ilvl w:val="0"/>
          <w:numId w:val="1"/>
        </w:numPr>
        <w:ind w:left="720" w:hanging="360"/>
      </w:pPr>
      <w:r w:rsidDel="00000000" w:rsidR="00000000" w:rsidRPr="00000000">
        <w:rPr>
          <w:b w:val="1"/>
          <w:rtl w:val="0"/>
        </w:rPr>
        <w:t xml:space="preserve">assessmentReferenceID:</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8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Tracking impact assessments is crucial for demonstrating compliance with risk management obligations.</w:t>
      </w:r>
    </w:p>
    <w:p w:rsidR="00000000" w:rsidDel="00000000" w:rsidP="00000000" w:rsidRDefault="00000000" w:rsidRPr="00000000" w14:paraId="0000028E">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35 mandates DPIAs for high-risk processing.</w:t>
      </w:r>
    </w:p>
    <w:p w:rsidR="00000000" w:rsidDel="00000000" w:rsidP="00000000" w:rsidRDefault="00000000" w:rsidRPr="00000000" w14:paraId="0000028F">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55 requires personal information handlers to conduct risk assessments before processing sensitive personal information, using personal information for automated decision-making, or transferring personal information outside China.</w:t>
      </w:r>
    </w:p>
    <w:p w:rsidR="00000000" w:rsidDel="00000000" w:rsidP="00000000" w:rsidRDefault="00000000" w:rsidRPr="00000000" w14:paraId="00000290">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unique identifier)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2">
      <w:pPr>
        <w:numPr>
          <w:ilvl w:val="0"/>
          <w:numId w:val="1"/>
        </w:numPr>
        <w:ind w:left="720" w:hanging="360"/>
      </w:pPr>
      <w:r w:rsidDel="00000000" w:rsidR="00000000" w:rsidRPr="00000000">
        <w:rPr>
          <w:b w:val="1"/>
          <w:rtl w:val="0"/>
        </w:rPr>
        <w:t xml:space="preserve">assessmentType:</w:t>
      </w:r>
      <w:r w:rsidDel="00000000" w:rsidR="00000000" w:rsidRPr="00000000">
        <w:rPr>
          <w:rtl w:val="0"/>
        </w:rPr>
        <w:t xml:space="preserve"> (New Attribute)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4">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specify the type of assessment (e.g., DPIA, PIA, Transfer Impact Assessment).</w:t>
      </w:r>
    </w:p>
    <w:p w:rsidR="00000000" w:rsidDel="00000000" w:rsidP="00000000" w:rsidRDefault="00000000" w:rsidRPr="00000000" w14:paraId="00000295">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96">
      <w:pPr>
        <w:pStyle w:val="Heading3"/>
        <w:rPr/>
      </w:pPr>
      <w:bookmarkStart w:colFirst="0" w:colLast="0" w:name="_vxqiduqtew1t" w:id="58"/>
      <w:bookmarkEnd w:id="58"/>
      <w:r w:rsidDel="00000000" w:rsidR="00000000" w:rsidRPr="00000000">
        <w:rPr>
          <w:rtl w:val="0"/>
        </w:rPr>
        <w:t xml:space="preserve">17.11. DataSubject Class (Revisited)</w:t>
      </w:r>
    </w:p>
    <w:p w:rsidR="00000000" w:rsidDel="00000000" w:rsidP="00000000" w:rsidRDefault="00000000" w:rsidRPr="00000000" w14:paraId="00000297">
      <w:pPr>
        <w:numPr>
          <w:ilvl w:val="0"/>
          <w:numId w:val="1"/>
        </w:numPr>
        <w:ind w:left="720" w:hanging="360"/>
      </w:pPr>
      <w:r w:rsidDel="00000000" w:rsidR="00000000" w:rsidRPr="00000000">
        <w:rPr>
          <w:b w:val="1"/>
          <w:rtl w:val="0"/>
        </w:rPr>
        <w:t xml:space="preserve">subjectID, subjectCategory:</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9">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Categorizing data subjects helps in understanding the scope of processing and managing data subject rights.</w:t>
      </w:r>
    </w:p>
    <w:p w:rsidR="00000000" w:rsidDel="00000000" w:rsidP="00000000" w:rsidRDefault="00000000" w:rsidRPr="00000000" w14:paraId="0000029A">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30(1)(d) requires 'categories of data subjects'.</w:t>
      </w:r>
    </w:p>
    <w:p w:rsidR="00000000" w:rsidDel="00000000" w:rsidP="00000000" w:rsidRDefault="00000000" w:rsidRPr="00000000" w14:paraId="0000029B">
      <w:pPr>
        <w:numPr>
          <w:ilvl w:val="2"/>
          <w:numId w:val="1"/>
        </w:numPr>
        <w:ind w:left="2160" w:hanging="360"/>
      </w:pPr>
      <w:r w:rsidDel="00000000" w:rsidR="00000000" w:rsidRPr="00000000">
        <w:rPr>
          <w:b w:val="1"/>
          <w:rtl w:val="0"/>
        </w:rPr>
        <w:t xml:space="preserve">CCPA:</w:t>
      </w:r>
      <w:r w:rsidDel="00000000" w:rsidR="00000000" w:rsidRPr="00000000">
        <w:rPr>
          <w:rtl w:val="0"/>
        </w:rPr>
        <w:t xml:space="preserve"> Defines 'consumer' as a natural person who is a California resident.</w:t>
      </w:r>
    </w:p>
    <w:p w:rsidR="00000000" w:rsidDel="00000000" w:rsidP="00000000" w:rsidRDefault="00000000" w:rsidRPr="00000000" w14:paraId="0000029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Name)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E">
      <w:pPr>
        <w:numPr>
          <w:ilvl w:val="0"/>
          <w:numId w:val="1"/>
        </w:numPr>
        <w:ind w:left="720" w:hanging="360"/>
      </w:pPr>
      <w:r w:rsidDel="00000000" w:rsidR="00000000" w:rsidRPr="00000000">
        <w:rPr>
          <w:b w:val="1"/>
          <w:rtl w:val="0"/>
        </w:rPr>
        <w:t xml:space="preserve">subjectDescription:</w:t>
      </w:r>
      <w:r w:rsidDel="00000000" w:rsidR="00000000" w:rsidRPr="00000000">
        <w:rPr>
          <w:rtl w:val="0"/>
        </w:rPr>
        <w:t xml:space="preserve"> (New Attribute)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a more detailed description of the data subject category.</w:t>
      </w:r>
    </w:p>
    <w:p w:rsidR="00000000" w:rsidDel="00000000" w:rsidP="00000000" w:rsidRDefault="00000000" w:rsidRPr="00000000" w14:paraId="000002A1">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A2">
      <w:pPr>
        <w:pStyle w:val="Heading3"/>
        <w:rPr/>
      </w:pPr>
      <w:bookmarkStart w:colFirst="0" w:colLast="0" w:name="_wtam501q1bs9" w:id="59"/>
      <w:bookmarkEnd w:id="59"/>
      <w:r w:rsidDel="00000000" w:rsidR="00000000" w:rsidRPr="00000000">
        <w:rPr>
          <w:rtl w:val="0"/>
        </w:rPr>
        <w:t xml:space="preserve">17.12. DataElement Class (Revisited)</w:t>
      </w:r>
    </w:p>
    <w:p w:rsidR="00000000" w:rsidDel="00000000" w:rsidP="00000000" w:rsidRDefault="00000000" w:rsidRPr="00000000" w14:paraId="000002A3">
      <w:pPr>
        <w:numPr>
          <w:ilvl w:val="0"/>
          <w:numId w:val="1"/>
        </w:numPr>
        <w:ind w:left="720" w:hanging="360"/>
      </w:pPr>
      <w:r w:rsidDel="00000000" w:rsidR="00000000" w:rsidRPr="00000000">
        <w:rPr>
          <w:b w:val="1"/>
          <w:rtl w:val="0"/>
        </w:rPr>
        <w:t xml:space="preserve">dataElementID, dataElementName, dataElementDescription:</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5">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Granular identification of data elements is essential for precise data mapping and management.</w:t>
      </w:r>
    </w:p>
    <w:p w:rsidR="00000000" w:rsidDel="00000000" w:rsidP="00000000" w:rsidRDefault="00000000" w:rsidRPr="00000000" w14:paraId="000002A6">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While not explicitly listing 'data elements', the principles of data minimization (Article 5(1)(c)) and accuracy (Article 5(1)(d)) imply the need to understand individual data points.</w:t>
      </w:r>
    </w:p>
    <w:p w:rsidR="00000000" w:rsidDel="00000000" w:rsidP="00000000" w:rsidRDefault="00000000" w:rsidRPr="00000000" w14:paraId="000002A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Name, Description)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9">
      <w:pPr>
        <w:numPr>
          <w:ilvl w:val="0"/>
          <w:numId w:val="1"/>
        </w:numPr>
        <w:ind w:left="720" w:hanging="360"/>
      </w:pPr>
      <w:r w:rsidDel="00000000" w:rsidR="00000000" w:rsidRPr="00000000">
        <w:rPr>
          <w:b w:val="1"/>
          <w:rtl w:val="0"/>
        </w:rPr>
        <w:t xml:space="preserve">dataElementSensitivity:</w:t>
      </w:r>
      <w:r w:rsidDel="00000000" w:rsidR="00000000" w:rsidRPr="00000000">
        <w:rPr>
          <w:rtl w:val="0"/>
        </w:rPr>
        <w:t xml:space="preserve"> (New Attribute)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A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This attribute can indicate the sensitivity level of the individual data element, which can be different from the overall data category sensitivity (e.g., within a 'Contact Information' category, an email address might be less sensitive than a home address).</w:t>
      </w:r>
    </w:p>
    <w:p w:rsidR="00000000" w:rsidDel="00000000" w:rsidP="00000000" w:rsidRDefault="00000000" w:rsidRPr="00000000" w14:paraId="000002A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AD">
      <w:pPr>
        <w:pStyle w:val="Heading3"/>
        <w:rPr/>
      </w:pPr>
      <w:bookmarkStart w:colFirst="0" w:colLast="0" w:name="_w1bgub9d5fh1" w:id="60"/>
      <w:bookmarkEnd w:id="60"/>
      <w:r w:rsidDel="00000000" w:rsidR="00000000" w:rsidRPr="00000000">
        <w:rPr>
          <w:rtl w:val="0"/>
        </w:rPr>
        <w:t xml:space="preserve">17.13. Application Class (Revisited)</w:t>
      </w:r>
    </w:p>
    <w:p w:rsidR="00000000" w:rsidDel="00000000" w:rsidP="00000000" w:rsidRDefault="00000000" w:rsidRPr="00000000" w14:paraId="000002AE">
      <w:pPr>
        <w:numPr>
          <w:ilvl w:val="0"/>
          <w:numId w:val="1"/>
        </w:numPr>
        <w:ind w:left="720" w:hanging="360"/>
      </w:pPr>
      <w:r w:rsidDel="00000000" w:rsidR="00000000" w:rsidRPr="00000000">
        <w:rPr>
          <w:b w:val="1"/>
          <w:rtl w:val="0"/>
        </w:rPr>
        <w:t xml:space="preserve">applicationID, applicationName, applicationType:</w:t>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Identifying applications involved in processing is crucial for understanding technical and organizational measures and data flows.</w:t>
      </w:r>
    </w:p>
    <w:p w:rsidR="00000000" w:rsidDel="00000000" w:rsidP="00000000" w:rsidRDefault="00000000" w:rsidRPr="00000000" w14:paraId="000002B1">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32 (Security of processing) requires appropriate technical and organizational measures, which often relate to the applications used.</w:t>
      </w:r>
    </w:p>
    <w:p w:rsidR="00000000" w:rsidDel="00000000" w:rsidP="00000000" w:rsidRDefault="00000000" w:rsidRPr="00000000" w14:paraId="000002B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ID, Name, Type)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4">
      <w:pPr>
        <w:numPr>
          <w:ilvl w:val="0"/>
          <w:numId w:val="1"/>
        </w:numPr>
        <w:ind w:left="720" w:hanging="360"/>
      </w:pPr>
      <w:r w:rsidDel="00000000" w:rsidR="00000000" w:rsidRPr="00000000">
        <w:rPr>
          <w:b w:val="1"/>
          <w:rtl w:val="0"/>
        </w:rPr>
        <w:t xml:space="preserve">isCloudBased:</w:t>
      </w:r>
      <w:r w:rsidDel="00000000" w:rsidR="00000000" w:rsidRPr="00000000">
        <w:rPr>
          <w:rtl w:val="0"/>
        </w:rPr>
        <w:t xml:space="preserve"> (New Attribute)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Indicates whether the application is cloud-based, which has implications for data residency and specific cloud security regulations.</w:t>
      </w:r>
    </w:p>
    <w:p w:rsidR="00000000" w:rsidDel="00000000" w:rsidP="00000000" w:rsidRDefault="00000000" w:rsidRPr="00000000" w14:paraId="000002B7">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9">
      <w:pPr>
        <w:numPr>
          <w:ilvl w:val="0"/>
          <w:numId w:val="1"/>
        </w:numPr>
        <w:ind w:left="720" w:hanging="360"/>
      </w:pPr>
      <w:r w:rsidDel="00000000" w:rsidR="00000000" w:rsidRPr="00000000">
        <w:rPr>
          <w:b w:val="1"/>
          <w:rtl w:val="0"/>
        </w:rPr>
        <w:t xml:space="preserve">cloudProvider:</w:t>
      </w:r>
      <w:r w:rsidDel="00000000" w:rsidR="00000000" w:rsidRPr="00000000">
        <w:rPr>
          <w:rtl w:val="0"/>
        </w:rPr>
        <w:t xml:space="preserve"> (New Attribute)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BB">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If cloud-based, identifies the cloud service provider, important for vendor management and supply chain security.</w:t>
      </w:r>
    </w:p>
    <w:p w:rsidR="00000000" w:rsidDel="00000000" w:rsidP="00000000" w:rsidRDefault="00000000" w:rsidRPr="00000000" w14:paraId="000002BC">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 if isCloudBased is true)</w:t>
      </w:r>
    </w:p>
    <w:p w:rsidR="00000000" w:rsidDel="00000000" w:rsidP="00000000" w:rsidRDefault="00000000" w:rsidRPr="00000000" w14:paraId="000002BD">
      <w:pPr>
        <w:pStyle w:val="Heading3"/>
        <w:rPr/>
      </w:pPr>
      <w:bookmarkStart w:colFirst="0" w:colLast="0" w:name="_u40ve519casm" w:id="61"/>
      <w:bookmarkEnd w:id="61"/>
      <w:r w:rsidDel="00000000" w:rsidR="00000000" w:rsidRPr="00000000">
        <w:rPr>
          <w:rtl w:val="0"/>
        </w:rPr>
        <w:t xml:space="preserve">17.14. Interface Class (Revisited)</w:t>
      </w:r>
    </w:p>
    <w:p w:rsidR="00000000" w:rsidDel="00000000" w:rsidP="00000000" w:rsidRDefault="00000000" w:rsidRPr="00000000" w14:paraId="000002BE">
      <w:pPr>
        <w:numPr>
          <w:ilvl w:val="0"/>
          <w:numId w:val="1"/>
        </w:numPr>
        <w:ind w:left="720" w:hanging="360"/>
      </w:pPr>
      <w:r w:rsidDel="00000000" w:rsidR="00000000" w:rsidRPr="00000000">
        <w:rPr>
          <w:b w:val="1"/>
          <w:rtl w:val="0"/>
        </w:rPr>
        <w:t xml:space="preserve">interfaceID, sourceApplicationID, targetApplicationID, transferType:</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0">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data interfaces is vital for understanding data flows, especially cross-border transfers.</w:t>
      </w:r>
    </w:p>
    <w:p w:rsidR="00000000" w:rsidDel="00000000" w:rsidP="00000000" w:rsidRDefault="00000000" w:rsidRPr="00000000" w14:paraId="000002C1">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Chapter V (Transfers of personal data to third countries or international organisations) requires documentation of transfers.</w:t>
      </w:r>
    </w:p>
    <w:p w:rsidR="00000000" w:rsidDel="00000000" w:rsidP="00000000" w:rsidRDefault="00000000" w:rsidRPr="00000000" w14:paraId="000002C2">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all)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4">
      <w:pPr>
        <w:numPr>
          <w:ilvl w:val="0"/>
          <w:numId w:val="1"/>
        </w:numPr>
        <w:ind w:left="720" w:hanging="360"/>
      </w:pPr>
      <w:r w:rsidDel="00000000" w:rsidR="00000000" w:rsidRPr="00000000">
        <w:rPr>
          <w:b w:val="1"/>
          <w:rtl w:val="0"/>
        </w:rPr>
        <w:t xml:space="preserve">safeguardMechanism, safeguardDocumentationLink:</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6">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These attributes are critical for demonstrating compliance with international data transfer requirements.</w:t>
      </w:r>
    </w:p>
    <w:p w:rsidR="00000000" w:rsidDel="00000000" w:rsidP="00000000" w:rsidRDefault="00000000" w:rsidRPr="00000000" w14:paraId="000002C7">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46 outlines appropriate safeguards for international transfers (e.g., Standard Contractual Clauses, Binding Corporate Rules).</w:t>
      </w:r>
    </w:p>
    <w:p w:rsidR="00000000" w:rsidDel="00000000" w:rsidP="00000000" w:rsidRDefault="00000000" w:rsidRPr="00000000" w14:paraId="000002C8">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38 requires specific conditions for cross-border transfers, including legal bases and protection measures.</w:t>
      </w:r>
    </w:p>
    <w:p w:rsidR="00000000" w:rsidDel="00000000" w:rsidP="00000000" w:rsidRDefault="00000000" w:rsidRPr="00000000" w14:paraId="000002C9">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 (Optional, only applicable for international data transfers)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B">
      <w:pPr>
        <w:numPr>
          <w:ilvl w:val="0"/>
          <w:numId w:val="1"/>
        </w:numPr>
        <w:ind w:left="720" w:hanging="360"/>
      </w:pPr>
      <w:r w:rsidDel="00000000" w:rsidR="00000000" w:rsidRPr="00000000">
        <w:rPr>
          <w:b w:val="1"/>
          <w:rtl w:val="0"/>
        </w:rPr>
        <w:t xml:space="preserve">transferPurpose:</w:t>
      </w:r>
      <w:r w:rsidDel="00000000" w:rsidR="00000000" w:rsidRPr="00000000">
        <w:rPr>
          <w:rtl w:val="0"/>
        </w:rPr>
        <w:t xml:space="preserve"> (New Attribute)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CD">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Specifies the purpose of the data transfer, aligning with the purpose limitation principle.</w:t>
      </w:r>
    </w:p>
    <w:p w:rsidR="00000000" w:rsidDel="00000000" w:rsidP="00000000" w:rsidRDefault="00000000" w:rsidRPr="00000000" w14:paraId="000002CE">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CF">
      <w:pPr>
        <w:pStyle w:val="Heading3"/>
        <w:rPr/>
      </w:pPr>
      <w:bookmarkStart w:colFirst="0" w:colLast="0" w:name="_2t6zryf490bo" w:id="62"/>
      <w:bookmarkEnd w:id="62"/>
      <w:r w:rsidDel="00000000" w:rsidR="00000000" w:rsidRPr="00000000">
        <w:rPr>
          <w:rtl w:val="0"/>
        </w:rPr>
        <w:t xml:space="preserve">17.15. SecurityMeasure Class (Revisited)</w:t>
      </w:r>
    </w:p>
    <w:p w:rsidR="00000000" w:rsidDel="00000000" w:rsidP="00000000" w:rsidRDefault="00000000" w:rsidRPr="00000000" w14:paraId="000002D0">
      <w:pPr>
        <w:numPr>
          <w:ilvl w:val="0"/>
          <w:numId w:val="1"/>
        </w:numPr>
        <w:ind w:left="720" w:hanging="360"/>
      </w:pPr>
      <w:r w:rsidDel="00000000" w:rsidR="00000000" w:rsidRPr="00000000">
        <w:rPr>
          <w:b w:val="1"/>
          <w:rtl w:val="0"/>
        </w:rPr>
        <w:t xml:space="preserve">securityMeasureID, securityMeasureName, securityMeasureDescription, securityMeasureType:</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2">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Documenting security measures is a fundamental requirement for data protection.</w:t>
      </w:r>
    </w:p>
    <w:p w:rsidR="00000000" w:rsidDel="00000000" w:rsidP="00000000" w:rsidRDefault="00000000" w:rsidRPr="00000000" w14:paraId="000002D3">
      <w:pPr>
        <w:numPr>
          <w:ilvl w:val="2"/>
          <w:numId w:val="1"/>
        </w:numPr>
        <w:ind w:left="2160" w:hanging="360"/>
      </w:pPr>
      <w:r w:rsidDel="00000000" w:rsidR="00000000" w:rsidRPr="00000000">
        <w:rPr>
          <w:b w:val="1"/>
          <w:rtl w:val="0"/>
        </w:rPr>
        <w:t xml:space="preserve">GDPR:</w:t>
      </w:r>
      <w:r w:rsidDel="00000000" w:rsidR="00000000" w:rsidRPr="00000000">
        <w:rPr>
          <w:rtl w:val="0"/>
        </w:rPr>
        <w:t xml:space="preserve"> Article 32 requires controllers and processors to implement appropriate technical and organizational measures to ensure a level of security appropriate to the risk.</w:t>
      </w:r>
    </w:p>
    <w:p w:rsidR="00000000" w:rsidDel="00000000" w:rsidP="00000000" w:rsidRDefault="00000000" w:rsidRPr="00000000" w14:paraId="000002D4">
      <w:pPr>
        <w:numPr>
          <w:ilvl w:val="2"/>
          <w:numId w:val="1"/>
        </w:numPr>
        <w:ind w:left="2160" w:hanging="360"/>
      </w:pPr>
      <w:r w:rsidDel="00000000" w:rsidR="00000000" w:rsidRPr="00000000">
        <w:rPr>
          <w:b w:val="1"/>
          <w:rtl w:val="0"/>
        </w:rPr>
        <w:t xml:space="preserve">LGPD:</w:t>
      </w:r>
      <w:r w:rsidDel="00000000" w:rsidR="00000000" w:rsidRPr="00000000">
        <w:rPr>
          <w:rtl w:val="0"/>
        </w:rPr>
        <w:t xml:space="preserve"> Article 46 requires security measures to protect personal data from unauthorized access and accidental or unlawful destruction, loss, alteration, communication, or dissemination.</w:t>
      </w:r>
    </w:p>
    <w:p w:rsidR="00000000" w:rsidDel="00000000" w:rsidP="00000000" w:rsidRDefault="00000000" w:rsidRPr="00000000" w14:paraId="000002D5">
      <w:pPr>
        <w:numPr>
          <w:ilvl w:val="2"/>
          <w:numId w:val="1"/>
        </w:numPr>
        <w:ind w:left="2160" w:hanging="360"/>
      </w:pPr>
      <w:r w:rsidDel="00000000" w:rsidR="00000000" w:rsidRPr="00000000">
        <w:rPr>
          <w:b w:val="1"/>
          <w:rtl w:val="0"/>
        </w:rPr>
        <w:t xml:space="preserve">PIPL:</w:t>
      </w:r>
      <w:r w:rsidDel="00000000" w:rsidR="00000000" w:rsidRPr="00000000">
        <w:rPr>
          <w:rtl w:val="0"/>
        </w:rPr>
        <w:t xml:space="preserve"> Article 51 requires personal information handlers to adopt corresponding technical measures and other necessary measures to ensure the security of personal information.</w:t>
      </w:r>
    </w:p>
    <w:p w:rsidR="00000000" w:rsidDel="00000000" w:rsidP="00000000" w:rsidRDefault="00000000" w:rsidRPr="00000000" w14:paraId="000002D6">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1..1 (Mandatory for all)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8">
      <w:pPr>
        <w:numPr>
          <w:ilvl w:val="0"/>
          <w:numId w:val="1"/>
        </w:numPr>
        <w:ind w:left="720" w:hanging="360"/>
      </w:pPr>
      <w:r w:rsidDel="00000000" w:rsidR="00000000" w:rsidRPr="00000000">
        <w:rPr>
          <w:b w:val="1"/>
          <w:rtl w:val="0"/>
        </w:rPr>
        <w:t xml:space="preserve">implementationDetails:</w:t>
      </w:r>
      <w:r w:rsidDel="00000000" w:rsidR="00000000" w:rsidRPr="00000000">
        <w:rPr>
          <w:rtl w:val="0"/>
        </w:rPr>
        <w:t xml:space="preserve"> (New Attribute)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DA">
      <w:pPr>
        <w:numPr>
          <w:ilvl w:val="1"/>
          <w:numId w:val="1"/>
        </w:numPr>
        <w:ind w:left="1440" w:hanging="360"/>
      </w:pPr>
      <w:r w:rsidDel="00000000" w:rsidR="00000000" w:rsidRPr="00000000">
        <w:rPr>
          <w:b w:val="1"/>
          <w:rtl w:val="0"/>
        </w:rPr>
        <w:t xml:space="preserve">Justification:</w:t>
      </w:r>
      <w:r w:rsidDel="00000000" w:rsidR="00000000" w:rsidRPr="00000000">
        <w:rPr>
          <w:rtl w:val="0"/>
        </w:rPr>
        <w:t xml:space="preserve"> Provides more specific information about how the security measure is implemented.</w:t>
      </w:r>
    </w:p>
    <w:p w:rsidR="00000000" w:rsidDel="00000000" w:rsidP="00000000" w:rsidRDefault="00000000" w:rsidRPr="00000000" w14:paraId="000002DB">
      <w:pPr>
        <w:numPr>
          <w:ilvl w:val="1"/>
          <w:numId w:val="1"/>
        </w:numPr>
        <w:ind w:left="1440" w:hanging="360"/>
      </w:pPr>
      <w:r w:rsidDel="00000000" w:rsidR="00000000" w:rsidRPr="00000000">
        <w:rPr>
          <w:b w:val="1"/>
          <w:rtl w:val="0"/>
        </w:rPr>
        <w:t xml:space="preserve">Cardinality:</w:t>
      </w:r>
      <w:r w:rsidDel="00000000" w:rsidR="00000000" w:rsidRPr="00000000">
        <w:rPr>
          <w:rtl w:val="0"/>
        </w:rPr>
        <w:t xml:space="preserve"> 0..1 (Optional)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This expanded justification provides a more comprehensive overview of how each metamodel element aligns with various global privacy regulations, including GDPR, CCPA, LGPD, and PIPL. The added attributes enhance the metamodel's ability to capture critical information for compliance and accountability. The next step will be to finalize the documentation and deliver the metamodel and its justifications to the user.</w:t>
      </w:r>
    </w:p>
    <w:p w:rsidR="00000000" w:rsidDel="00000000" w:rsidP="00000000" w:rsidRDefault="00000000" w:rsidRPr="00000000" w14:paraId="000002D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