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Unified Context Graph Platform</w:t>
      </w:r>
    </w:p>
    <w:p>
      <w:pPr>
        <w:pStyle w:val="Subtitle"/>
      </w:pPr>
      <w:r>
        <w:t>Executive briefing on the platform idea and customer experience</w:t>
      </w:r>
    </w:p>
    <w:p>
      <w:r>
        <w:t>12 October 2026</w:t>
      </w:r>
    </w:p>
    <w:p>
      <w:pPr>
        <w:pStyle w:val="Heading2"/>
      </w:pPr>
      <w:r>
        <w:t>Executive summary</w:t>
      </w:r>
    </w:p>
    <w:p>
      <w:r>
        <w:t>The proposal is a governed context and knowledge platform for people and AI agents. It connects structured records, documents, business definitions, source evidence, approved capabilities and ongoing work through a shared FalkorDB graph. Different clients can use the same meanings, inspect their support and continue an investigation with its unanswered questions intact.</w:t>
      </w:r>
    </w:p>
    <w:p>
      <w:r>
        <w:t>Organizations already have information, but the relationships around it remain fragmented. Agents repeatedly reconstruct which identity a record describes, which definition applies, what supports a conclusion and what a previous helper left unfinished. This creates duplicated integration and review effort. A summary can also keep circulating after its source changes without showing which earlier work needs another review.</w:t>
      </w:r>
    </w:p>
    <w:p>
      <w:r>
        <w:t>The customer workspace addresses this through a knowledge catalogue, builder, reviewed reauthoring, ontology management, agent integrations and persistent memory. These product areas share graph identities and dependencies. They provide different views and actions around the same governed knowledge rather than independent stores of meaning.</w:t>
      </w:r>
    </w:p>
    <w:tbl>
      <w:tblPr>
        <w:tblW w:type="auto" w:w="0"/>
        <w:tblLayout w:type="fixed"/>
        <w:tblLook w:firstColumn="1" w:firstRow="1" w:lastColumn="0" w:lastRow="0" w:noHBand="0" w:noVBand="1" w:val="04A0"/>
      </w:tblPr>
      <w:tblGrid>
        <w:gridCol w:w="2448"/>
        <w:gridCol w:w="7546"/>
      </w:tblGrid>
      <w:tr>
        <w:trPr>
          <w:tblHeader/>
          <w:cantSplit/>
        </w:trPr>
        <w:tc>
          <w:tcPr>
            <w:tcW w:type="dxa" w:w="2448"/>
            <w:vAlign w:val="center"/>
            <w:shd w:fill="C9433C"/>
            <w:tcMar>
              <w:top w:w="105" w:type="dxa"/>
              <w:bottom w:w="105" w:type="dxa"/>
              <w:left w:w="105" w:type="dxa"/>
              <w:right w:w="105" w:type="dxa"/>
            </w:tcMar>
          </w:tcPr>
          <w:p>
            <w:pPr>
              <w:spacing w:after="0" w:line="252" w:lineRule="auto"/>
            </w:pPr>
            <w:r>
              <w:rPr>
                <w:b w:val="0"/>
                <w:color w:val="FFFFFF"/>
                <w:sz w:val="20"/>
              </w:rPr>
              <w:t>Executive question</w:t>
            </w:r>
          </w:p>
        </w:tc>
        <w:tc>
          <w:tcPr>
            <w:tcW w:type="dxa" w:w="7546"/>
            <w:vAlign w:val="center"/>
            <w:shd w:fill="C9433C"/>
            <w:tcMar>
              <w:top w:w="105" w:type="dxa"/>
              <w:bottom w:w="105" w:type="dxa"/>
              <w:left w:w="105" w:type="dxa"/>
              <w:right w:w="105" w:type="dxa"/>
            </w:tcMar>
          </w:tcPr>
          <w:p>
            <w:pPr>
              <w:spacing w:after="0" w:line="252" w:lineRule="auto"/>
            </w:pPr>
            <w:r>
              <w:rPr>
                <w:b w:val="0"/>
                <w:color w:val="FFFFFF"/>
                <w:sz w:val="20"/>
              </w:rPr>
              <w:t>Proposed answer</w:t>
            </w:r>
          </w:p>
        </w:tc>
      </w:tr>
      <w:tr>
        <w:trPr>
          <w:cantSplit/>
        </w:trPr>
        <w:tc>
          <w:tcPr>
            <w:tcW w:type="dxa" w:w="2448"/>
            <w:vAlign w:val="center"/>
            <w:shd w:fill="FFFFFF"/>
            <w:tcMar>
              <w:top w:w="105" w:type="dxa"/>
              <w:bottom w:w="105" w:type="dxa"/>
              <w:left w:w="105" w:type="dxa"/>
              <w:right w:w="105" w:type="dxa"/>
            </w:tcMar>
          </w:tcPr>
          <w:p>
            <w:pPr>
              <w:spacing w:after="0" w:line="252" w:lineRule="auto"/>
            </w:pPr>
            <w:r>
              <w:rPr>
                <w:sz w:val="20"/>
              </w:rPr>
              <w:t>What is the resolution?</w:t>
            </w:r>
          </w:p>
        </w:tc>
        <w:tc>
          <w:tcPr>
            <w:tcW w:type="dxa" w:w="7546"/>
            <w:vAlign w:val="center"/>
            <w:shd w:fill="FFFFFF"/>
            <w:tcMar>
              <w:top w:w="105" w:type="dxa"/>
              <w:bottom w:w="105" w:type="dxa"/>
              <w:left w:w="105" w:type="dxa"/>
              <w:right w:w="105" w:type="dxa"/>
            </w:tcMar>
          </w:tcPr>
          <w:p>
            <w:pPr>
              <w:spacing w:after="0" w:line="252" w:lineRule="auto"/>
            </w:pPr>
            <w:r>
              <w:rPr>
                <w:sz w:val="20"/>
              </w:rPr>
              <w:t>Maintain shared identities and typed links between evidence, meaning, capabilities and work.</w:t>
            </w:r>
          </w:p>
        </w:tc>
      </w:tr>
      <w:tr>
        <w:trPr>
          <w:cantSplit/>
        </w:trPr>
        <w:tc>
          <w:tcPr>
            <w:tcW w:type="dxa" w:w="2448"/>
            <w:vAlign w:val="center"/>
            <w:shd w:fill="F4F2EE"/>
            <w:tcMar>
              <w:top w:w="105" w:type="dxa"/>
              <w:bottom w:w="105" w:type="dxa"/>
              <w:left w:w="105" w:type="dxa"/>
              <w:right w:w="105" w:type="dxa"/>
            </w:tcMar>
          </w:tcPr>
          <w:p>
            <w:pPr>
              <w:spacing w:after="0" w:line="252" w:lineRule="auto"/>
            </w:pPr>
            <w:r>
              <w:rPr>
                <w:sz w:val="20"/>
              </w:rPr>
              <w:t>Who benefits?</w:t>
            </w:r>
          </w:p>
        </w:tc>
        <w:tc>
          <w:tcPr>
            <w:tcW w:type="dxa" w:w="7546"/>
            <w:vAlign w:val="center"/>
            <w:shd w:fill="F4F2EE"/>
            <w:tcMar>
              <w:top w:w="105" w:type="dxa"/>
              <w:bottom w:w="105" w:type="dxa"/>
              <w:left w:w="105" w:type="dxa"/>
              <w:right w:w="105" w:type="dxa"/>
            </w:tcMar>
          </w:tcPr>
          <w:p>
            <w:pPr>
              <w:spacing w:after="0" w:line="252" w:lineRule="auto"/>
            </w:pPr>
            <w:r>
              <w:rPr>
                <w:sz w:val="20"/>
              </w:rPr>
              <w:t>Developers, domain stewards, consumers, support organizations and operational teams.</w:t>
            </w:r>
          </w:p>
        </w:tc>
      </w:tr>
      <w:tr>
        <w:trPr>
          <w:cantSplit/>
        </w:trPr>
        <w:tc>
          <w:tcPr>
            <w:tcW w:type="dxa" w:w="2448"/>
            <w:vAlign w:val="center"/>
            <w:shd w:fill="FFFFFF"/>
            <w:tcMar>
              <w:top w:w="105" w:type="dxa"/>
              <w:bottom w:w="105" w:type="dxa"/>
              <w:left w:w="105" w:type="dxa"/>
              <w:right w:w="105" w:type="dxa"/>
            </w:tcMar>
          </w:tcPr>
          <w:p>
            <w:pPr>
              <w:spacing w:after="0" w:line="252" w:lineRule="auto"/>
            </w:pPr>
            <w:r>
              <w:rPr>
                <w:sz w:val="20"/>
              </w:rPr>
              <w:t>What is the business hypothesis?</w:t>
            </w:r>
          </w:p>
        </w:tc>
        <w:tc>
          <w:tcPr>
            <w:tcW w:type="dxa" w:w="7546"/>
            <w:vAlign w:val="center"/>
            <w:shd w:fill="FFFFFF"/>
            <w:tcMar>
              <w:top w:w="105" w:type="dxa"/>
              <w:bottom w:w="105" w:type="dxa"/>
              <w:left w:w="105" w:type="dxa"/>
              <w:right w:w="105" w:type="dxa"/>
            </w:tcMar>
          </w:tcPr>
          <w:p>
            <w:pPr>
              <w:spacing w:after="0" w:line="252" w:lineRule="auto"/>
            </w:pPr>
            <w:r>
              <w:rPr>
                <w:sz w:val="20"/>
              </w:rPr>
              <w:t>Less repeated reconstruction and integration, easier review and more continuity between helpers.</w:t>
            </w:r>
          </w:p>
        </w:tc>
      </w:tr>
      <w:tr>
        <w:trPr>
          <w:cantSplit/>
        </w:trPr>
        <w:tc>
          <w:tcPr>
            <w:tcW w:type="dxa" w:w="2448"/>
            <w:vAlign w:val="center"/>
            <w:shd w:fill="F4F2EE"/>
            <w:tcMar>
              <w:top w:w="105" w:type="dxa"/>
              <w:bottom w:w="105" w:type="dxa"/>
              <w:left w:w="105" w:type="dxa"/>
              <w:right w:w="105" w:type="dxa"/>
            </w:tcMar>
          </w:tcPr>
          <w:p>
            <w:pPr>
              <w:spacing w:after="0" w:line="252" w:lineRule="auto"/>
            </w:pPr>
            <w:r>
              <w:rPr>
                <w:sz w:val="20"/>
              </w:rPr>
              <w:t>What decision is proposed?</w:t>
            </w:r>
          </w:p>
        </w:tc>
        <w:tc>
          <w:tcPr>
            <w:tcW w:type="dxa" w:w="7546"/>
            <w:vAlign w:val="center"/>
            <w:shd w:fill="F4F2EE"/>
            <w:tcMar>
              <w:top w:w="105" w:type="dxa"/>
              <w:bottom w:w="105" w:type="dxa"/>
              <w:left w:w="105" w:type="dxa"/>
              <w:right w:w="105" w:type="dxa"/>
            </w:tcMar>
          </w:tcPr>
          <w:p>
            <w:pPr>
              <w:spacing w:after="0" w:line="252" w:lineRule="auto"/>
            </w:pPr>
            <w:r>
              <w:rPr>
                <w:sz w:val="20"/>
              </w:rPr>
              <w:t>Sponsor one evidence-heavy pilot with a developer owner and domain steward.</w:t>
            </w:r>
          </w:p>
        </w:tc>
      </w:tr>
    </w:tbl>
    <w:p>
      <w:pPr>
        <w:spacing w:after="20"/>
      </w:pPr>
    </w:p>
    <w:p>
      <w:r>
        <w:t>Expected benefits require measurement. The pilot should compare saved effort with the cost of curation, adapter maintenance and operations. This briefing describes the product and architecture proposal and its governance boundaries.</w:t>
      </w:r>
    </w:p>
    <w:p>
      <w:r>
        <w:br w:type="page"/>
      </w:r>
    </w:p>
    <w:p>
      <w:pPr>
        <w:pStyle w:val="Heading1"/>
      </w:pPr>
      <w:r>
        <w:t>1 The problem and the graph based resolution</w:t>
      </w:r>
    </w:p>
    <w:p>
      <w:pPr>
        <w:pStyle w:val="Heading2"/>
      </w:pPr>
      <w:r>
        <w:t>Identity and meaning remain disconnected</w:t>
      </w:r>
    </w:p>
    <w:p>
      <w:r>
        <w:t>A record, document and metric may concern the same subject without using the same identifiers. A familiar label may hide different filters, units or event meanings. Similar names alone cannot justify merging records. An agent that must infer these joins can apply an inappropriate definition or treat ambiguity as certainty.</w:t>
      </w:r>
    </w:p>
    <w:p>
      <w:pPr>
        <w:pStyle w:val="Heading2"/>
      </w:pPr>
      <w:r>
        <w:t>Evidence and conclusions serve different roles</w:t>
      </w:r>
    </w:p>
    <w:p>
      <w:r>
        <w:t>A source statement, an analyst assessment and an agent summary need separate attribution. Bringing all three into a prompt does not establish who said what or which supporting version remains current. When a source changes, the platform needs to identify the conclusions that depended on it rather than simply retrieving the newest document.</w:t>
      </w:r>
    </w:p>
    <w:p>
      <w:pPr>
        <w:pStyle w:val="Heading2"/>
      </w:pPr>
      <w:r>
        <w:t>Agent work needs continuity</w:t>
      </w:r>
    </w:p>
    <w:p>
      <w:r>
        <w:t>Conversation history may contain useful findings, constraints and open questions, but another helper often reconstructs the case. A reusable work record preserves the task, supporting receipt, outstanding evidence and next step. An authorized recipient can resume it without treating earlier memory as unqualified current truth.</w:t>
      </w:r>
    </w:p>
    <w:p>
      <w:pPr>
        <w:pStyle w:val="Heading2"/>
      </w:pPr>
      <w:r>
        <w:t>The graph makes the relationships explicit</w:t>
      </w:r>
    </w:p>
    <w:p>
      <w:r>
        <w:t>A subject has a stable identity. Its source representations point to captured records or documents. Assertions retain what a source says, evidence points to the precise field or passage, and ontology modules define the allowed relationships. Capabilities describe approved operations. Receipts, results and handoffs declare the exact versions they used. Traversal can therefore explain how a conclusion relates to its source, meaning and work history.</w:t>
      </w:r>
    </w:p>
    <w:p>
      <w:r>
        <w:t>The graph need not contain every source byte or replace every analytical system. It holds reviewed bindings and dependency references. Source systems retain ownership of their definitions, while immutable storage preserves captured evidence. This division connects data layers without creating several editable copies of the same meaning.</w:t>
      </w:r>
    </w:p>
    <w:p>
      <w:pPr>
        <w:pStyle w:val="Heading2"/>
      </w:pPr>
      <w:r>
        <w:t>The intended customer effect</w:t>
      </w:r>
    </w:p>
    <w:p>
      <w:r>
        <w:t>The hypothesis is that customers spend less time repeating searches, rebuilding cases and checking unsupported outputs. They gain a clearer basis for reviewing and correcting agent work. The hypothesis only becomes a business result when a pilot measures it under the intended permissions and maintenance model.</w:t>
      </w:r>
    </w:p>
    <w:p>
      <w:r>
        <w:br w:type="page"/>
      </w:r>
    </w:p>
    <w:p>
      <w:bookmarkStart w:id="90" w:name="workspace"/>
      <w:pPr>
        <w:pStyle w:val="Heading1"/>
      </w:pPr>
      <w:r>
        <w:t>2 The customer workspace</w:t>
      </w:r>
      <w:bookmarkEnd w:id="90"/>
    </w:p>
    <w:p>
      <w:r>
        <w:t>The workbench lets a customer follow one subject through its source assets, accepted meanings, evidence, approved actions and task history. A selected asset can reveal its owner, exact source version, review state, connections and unresolved questions. This product view should serve a developer building a copilot and a domain steward reviewing the same knowledge.</w:t>
      </w:r>
    </w:p>
    <w:tbl>
      <w:tblPr>
        <w:tblW w:type="auto" w:w="0"/>
        <w:tblLayout w:type="fixed"/>
        <w:tblLook w:firstColumn="1" w:firstRow="1" w:lastColumn="0" w:lastRow="0" w:noHBand="0" w:noVBand="1" w:val="04A0"/>
      </w:tblPr>
      <w:tblGrid>
        <w:gridCol w:w="2520"/>
        <w:gridCol w:w="7474"/>
      </w:tblGrid>
      <w:tr>
        <w:trPr>
          <w:tblHeader/>
          <w:cantSplit/>
        </w:trPr>
        <w:tc>
          <w:tcPr>
            <w:tcW w:type="dxa" w:w="2520"/>
            <w:vAlign w:val="center"/>
            <w:shd w:fill="C9433C"/>
            <w:tcMar>
              <w:top w:w="105" w:type="dxa"/>
              <w:bottom w:w="105" w:type="dxa"/>
              <w:left w:w="105" w:type="dxa"/>
              <w:right w:w="105" w:type="dxa"/>
            </w:tcMar>
          </w:tcPr>
          <w:p>
            <w:pPr>
              <w:spacing w:after="0" w:line="252" w:lineRule="auto"/>
            </w:pPr>
            <w:r>
              <w:rPr>
                <w:b w:val="0"/>
                <w:color w:val="FFFFFF"/>
                <w:sz w:val="20"/>
              </w:rPr>
              <w:t>Product area</w:t>
            </w:r>
          </w:p>
        </w:tc>
        <w:tc>
          <w:tcPr>
            <w:tcW w:type="dxa" w:w="7474"/>
            <w:vAlign w:val="center"/>
            <w:shd w:fill="C9433C"/>
            <w:tcMar>
              <w:top w:w="105" w:type="dxa"/>
              <w:bottom w:w="105" w:type="dxa"/>
              <w:left w:w="105" w:type="dxa"/>
              <w:right w:w="105" w:type="dxa"/>
            </w:tcMar>
          </w:tcPr>
          <w:p>
            <w:pPr>
              <w:spacing w:after="0" w:line="252" w:lineRule="auto"/>
            </w:pPr>
            <w:r>
              <w:rPr>
                <w:b w:val="0"/>
                <w:color w:val="FFFFFF"/>
                <w:sz w:val="20"/>
              </w:rPr>
              <w:t>Customer action and expected benefit</w:t>
            </w:r>
          </w:p>
        </w:tc>
      </w:tr>
      <w:tr>
        <w:trPr>
          <w:cantSplit/>
        </w:trPr>
        <w:tc>
          <w:tcPr>
            <w:tcW w:type="dxa" w:w="2520"/>
            <w:vAlign w:val="center"/>
            <w:shd w:fill="FFFFFF"/>
            <w:tcMar>
              <w:top w:w="105" w:type="dxa"/>
              <w:bottom w:w="105" w:type="dxa"/>
              <w:left w:w="105" w:type="dxa"/>
              <w:right w:w="105" w:type="dxa"/>
            </w:tcMar>
          </w:tcPr>
          <w:p>
            <w:pPr>
              <w:spacing w:after="0" w:line="252" w:lineRule="auto"/>
            </w:pPr>
            <w:hyperlink w:anchor="feature_catalogue" w:history="1">
              <w:r>
                <w:rPr>
                  <w:color w:val="C9433C"/>
                  <w:u w:val="single"/>
                </w:rPr>
                <w:t>Knowledge catalogue</w:t>
              </w:r>
            </w:hyperlink>
          </w:p>
        </w:tc>
        <w:tc>
          <w:tcPr>
            <w:tcW w:type="dxa" w:w="7474"/>
            <w:vAlign w:val="center"/>
            <w:shd w:fill="FFFFFF"/>
            <w:tcMar>
              <w:top w:w="105" w:type="dxa"/>
              <w:bottom w:w="105" w:type="dxa"/>
              <w:left w:w="105" w:type="dxa"/>
              <w:right w:w="105" w:type="dxa"/>
            </w:tcMar>
          </w:tcPr>
          <w:p>
            <w:pPr>
              <w:spacing w:after="0" w:line="252" w:lineRule="auto"/>
            </w:pPr>
            <w:r>
              <w:rPr>
                <w:sz w:val="20"/>
              </w:rPr>
              <w:t>Customers discover concepts, datasets, documents, procedures and context packs without reconstructing which source owns each definition.</w:t>
            </w:r>
          </w:p>
        </w:tc>
      </w:tr>
      <w:tr>
        <w:trPr>
          <w:cantSplit/>
        </w:trPr>
        <w:tc>
          <w:tcPr>
            <w:tcW w:type="dxa" w:w="2520"/>
            <w:vAlign w:val="center"/>
            <w:shd w:fill="F4F2EE"/>
            <w:tcMar>
              <w:top w:w="105" w:type="dxa"/>
              <w:bottom w:w="105" w:type="dxa"/>
              <w:left w:w="105" w:type="dxa"/>
              <w:right w:w="105" w:type="dxa"/>
            </w:tcMar>
          </w:tcPr>
          <w:p>
            <w:pPr>
              <w:spacing w:after="0" w:line="252" w:lineRule="auto"/>
            </w:pPr>
            <w:hyperlink w:anchor="feature_builder" w:history="1">
              <w:r>
                <w:rPr>
                  <w:color w:val="C9433C"/>
                  <w:u w:val="single"/>
                </w:rPr>
                <w:t>Knowledge builder</w:t>
              </w:r>
            </w:hyperlink>
          </w:p>
        </w:tc>
        <w:tc>
          <w:tcPr>
            <w:tcW w:type="dxa" w:w="7474"/>
            <w:vAlign w:val="center"/>
            <w:shd w:fill="F4F2EE"/>
            <w:tcMar>
              <w:top w:w="105" w:type="dxa"/>
              <w:bottom w:w="105" w:type="dxa"/>
              <w:left w:w="105" w:type="dxa"/>
              <w:right w:w="105" w:type="dxa"/>
            </w:tcMar>
          </w:tcPr>
          <w:p>
            <w:pPr>
              <w:spacing w:after="0" w:line="252" w:lineRule="auto"/>
            </w:pPr>
            <w:r>
              <w:rPr>
                <w:sz w:val="20"/>
              </w:rPr>
              <w:t>Customers bind records and document passages to shared subject identities, ontology types and evidence requirements before publishing.</w:t>
            </w:r>
          </w:p>
        </w:tc>
      </w:tr>
      <w:tr>
        <w:trPr>
          <w:cantSplit/>
        </w:trPr>
        <w:tc>
          <w:tcPr>
            <w:tcW w:type="dxa" w:w="2520"/>
            <w:vAlign w:val="center"/>
            <w:shd w:fill="FFFFFF"/>
            <w:tcMar>
              <w:top w:w="105" w:type="dxa"/>
              <w:bottom w:w="105" w:type="dxa"/>
              <w:left w:w="105" w:type="dxa"/>
              <w:right w:w="105" w:type="dxa"/>
            </w:tcMar>
          </w:tcPr>
          <w:p>
            <w:pPr>
              <w:spacing w:after="0" w:line="252" w:lineRule="auto"/>
            </w:pPr>
            <w:hyperlink w:anchor="feature_reauthoring" w:history="1">
              <w:r>
                <w:rPr>
                  <w:color w:val="C9433C"/>
                  <w:u w:val="single"/>
                </w:rPr>
                <w:t>Reauthoring</w:t>
              </w:r>
            </w:hyperlink>
          </w:p>
        </w:tc>
        <w:tc>
          <w:tcPr>
            <w:tcW w:type="dxa" w:w="7474"/>
            <w:vAlign w:val="center"/>
            <w:shd w:fill="FFFFFF"/>
            <w:tcMar>
              <w:top w:w="105" w:type="dxa"/>
              <w:bottom w:w="105" w:type="dxa"/>
              <w:left w:w="105" w:type="dxa"/>
              <w:right w:w="105" w:type="dxa"/>
            </w:tcMar>
          </w:tcPr>
          <w:p>
            <w:pPr>
              <w:spacing w:after="0" w:line="252" w:lineRule="auto"/>
            </w:pPr>
            <w:r>
              <w:rPr>
                <w:sz w:val="20"/>
              </w:rPr>
              <w:t>The workspace separates authored knowledge from generated descriptions and lets a steward compare proposed revisions with their supporting sources.</w:t>
            </w:r>
          </w:p>
        </w:tc>
      </w:tr>
      <w:tr>
        <w:trPr>
          <w:cantSplit/>
        </w:trPr>
        <w:tc>
          <w:tcPr>
            <w:tcW w:type="dxa" w:w="2520"/>
            <w:vAlign w:val="center"/>
            <w:shd w:fill="F4F2EE"/>
            <w:tcMar>
              <w:top w:w="105" w:type="dxa"/>
              <w:bottom w:w="105" w:type="dxa"/>
              <w:left w:w="105" w:type="dxa"/>
              <w:right w:w="105" w:type="dxa"/>
            </w:tcMar>
          </w:tcPr>
          <w:p>
            <w:pPr>
              <w:spacing w:after="0" w:line="252" w:lineRule="auto"/>
            </w:pPr>
            <w:hyperlink w:anchor="feature_ontology" w:history="1">
              <w:r>
                <w:rPr>
                  <w:color w:val="C9433C"/>
                  <w:u w:val="single"/>
                </w:rPr>
                <w:t>Ontology management</w:t>
              </w:r>
            </w:hyperlink>
          </w:p>
        </w:tc>
        <w:tc>
          <w:tcPr>
            <w:tcW w:type="dxa" w:w="7474"/>
            <w:vAlign w:val="center"/>
            <w:shd w:fill="F4F2EE"/>
            <w:tcMar>
              <w:top w:w="105" w:type="dxa"/>
              <w:bottom w:w="105" w:type="dxa"/>
              <w:left w:w="105" w:type="dxa"/>
              <w:right w:w="105" w:type="dxa"/>
            </w:tcMar>
          </w:tcPr>
          <w:p>
            <w:pPr>
              <w:spacing w:after="0" w:line="252" w:lineRule="auto"/>
            </w:pPr>
            <w:r>
              <w:rPr>
                <w:sz w:val="20"/>
              </w:rPr>
              <w:t>Customers compose curated modules with domain extensions while preserving shared concepts and explicit namespaces.</w:t>
            </w:r>
          </w:p>
        </w:tc>
      </w:tr>
      <w:tr>
        <w:trPr>
          <w:cantSplit/>
        </w:trPr>
        <w:tc>
          <w:tcPr>
            <w:tcW w:type="dxa" w:w="2520"/>
            <w:vAlign w:val="center"/>
            <w:shd w:fill="FFFFFF"/>
            <w:tcMar>
              <w:top w:w="105" w:type="dxa"/>
              <w:bottom w:w="105" w:type="dxa"/>
              <w:left w:w="105" w:type="dxa"/>
              <w:right w:w="105" w:type="dxa"/>
            </w:tcMar>
          </w:tcPr>
          <w:p>
            <w:pPr>
              <w:spacing w:after="0" w:line="252" w:lineRule="auto"/>
            </w:pPr>
            <w:hyperlink w:anchor="feature_agents" w:history="1">
              <w:r>
                <w:rPr>
                  <w:color w:val="C9433C"/>
                  <w:u w:val="single"/>
                </w:rPr>
                <w:t>Agent integrations</w:t>
              </w:r>
            </w:hyperlink>
          </w:p>
        </w:tc>
        <w:tc>
          <w:tcPr>
            <w:tcW w:type="dxa" w:w="7474"/>
            <w:vAlign w:val="center"/>
            <w:shd w:fill="FFFFFF"/>
            <w:tcMar>
              <w:top w:w="105" w:type="dxa"/>
              <w:bottom w:w="105" w:type="dxa"/>
              <w:left w:w="105" w:type="dxa"/>
              <w:right w:w="105" w:type="dxa"/>
            </w:tcMar>
          </w:tcPr>
          <w:p>
            <w:pPr>
              <w:spacing w:after="0" w:line="252" w:lineRule="auto"/>
            </w:pPr>
            <w:r>
              <w:rPr>
                <w:sz w:val="20"/>
              </w:rPr>
              <w:t>Customers connect multiple clients to a common contract for context, evidence, candidate knowledge, memory and handoffs.</w:t>
            </w:r>
          </w:p>
        </w:tc>
      </w:tr>
      <w:tr>
        <w:trPr>
          <w:cantSplit/>
        </w:trPr>
        <w:tc>
          <w:tcPr>
            <w:tcW w:type="dxa" w:w="2520"/>
            <w:vAlign w:val="center"/>
            <w:shd w:fill="F4F2EE"/>
            <w:tcMar>
              <w:top w:w="105" w:type="dxa"/>
              <w:bottom w:w="105" w:type="dxa"/>
              <w:left w:w="105" w:type="dxa"/>
              <w:right w:w="105" w:type="dxa"/>
            </w:tcMar>
          </w:tcPr>
          <w:p>
            <w:pPr>
              <w:spacing w:after="0" w:line="252" w:lineRule="auto"/>
            </w:pPr>
            <w:hyperlink w:anchor="feature_memory" w:history="1">
              <w:r>
                <w:rPr>
                  <w:color w:val="C9433C"/>
                  <w:u w:val="single"/>
                </w:rPr>
                <w:t>Persistent memory</w:t>
              </w:r>
            </w:hyperlink>
          </w:p>
        </w:tc>
        <w:tc>
          <w:tcPr>
            <w:tcW w:type="dxa" w:w="7474"/>
            <w:vAlign w:val="center"/>
            <w:shd w:fill="F4F2EE"/>
            <w:tcMar>
              <w:top w:w="105" w:type="dxa"/>
              <w:bottom w:w="105" w:type="dxa"/>
              <w:left w:w="105" w:type="dxa"/>
              <w:right w:w="105" w:type="dxa"/>
            </w:tcMar>
          </w:tcPr>
          <w:p>
            <w:pPr>
              <w:spacing w:after="0" w:line="252" w:lineRule="auto"/>
            </w:pPr>
            <w:r>
              <w:rPr>
                <w:sz w:val="20"/>
              </w:rPr>
              <w:t>Customers distinguish accepted assertions from observations and summaries, and retain approved procedures separately from unfinished task state.</w:t>
            </w:r>
          </w:p>
        </w:tc>
      </w:tr>
    </w:tbl>
    <w:p>
      <w:pPr>
        <w:spacing w:after="20"/>
      </w:pPr>
    </w:p>
    <w:p>
      <w:pPr>
        <w:pStyle w:val="Heading2"/>
      </w:pPr>
      <w:r>
        <w:t>One connected workflow</w:t>
      </w:r>
    </w:p>
    <w:p>
      <w:r>
        <w:t>A customer starts in the catalogue, then uses the builder to bind new sources. A steward inspects ontology and mapping proposals before publishing a coherent generation. Reauthoring proposes a new source version when knowledge changes. Agents retrieve the resulting context through the common API, and memory preserves the work they contribute. All views refer to the same subject identifiers and approved versions.</w:t>
      </w:r>
    </w:p>
    <w:p>
      <w:pPr>
        <w:pStyle w:val="Heading2"/>
      </w:pPr>
      <w:r>
        <w:t>Different customers can use different surfaces</w:t>
      </w:r>
    </w:p>
    <w:p>
      <w:r>
        <w:t>A consumer case assistant can present a sourced timeline without exposing ontology mechanics. Developers need bindings, schemas and client contracts. Stewards need source spans, diffs and impact previews. Enterprise operators need task responsibility and access scope. The platform can offer these surfaces while preserving the same underlying authority and evidence model.</w:t>
      </w:r>
    </w:p>
    <w:p>
      <w:r>
        <w:t>The accompanying PowerPoint has six overview slides and six hidden feature-detail slides. In Slide Show mode, the workspace section names open the corresponding detail page. A Back to workspace link returns to the customer overview. This document expands the same six feature areas.</w:t>
      </w:r>
    </w:p>
    <w:p>
      <w:r>
        <w:br w:type="page"/>
      </w:r>
    </w:p>
    <w:p>
      <w:bookmarkStart w:id="21" w:name="feature_catalogue"/>
      <w:pPr>
        <w:pStyle w:val="Heading1"/>
      </w:pPr>
      <w:r>
        <w:t>3 Knowledge catalogue</w:t>
      </w:r>
      <w:bookmarkEnd w:id="21"/>
    </w:p>
    <w:p>
      <w:r>
        <w:t>A searchable inventory of reusable knowledge, with ownership, evidence and review status attached to each asset.</w:t>
      </w:r>
    </w:p>
    <w:p>
      <w:pPr>
        <w:pStyle w:val="Heading2"/>
      </w:pPr>
      <w:r>
        <w:t>What customers can do</w:t>
      </w:r>
    </w:p>
    <w:p>
      <w:r>
        <w:t>Customers discover concepts, datasets, documents, procedures and context packs without reconstructing which source owns each definition.</w:t>
      </w:r>
    </w:p>
    <w:p>
      <w:r>
        <w:t>Search by subject, domain, asset type or owner. Inspect linked evidence, versions, review state and freshness. Follow relationships to definitions, capabilities and pending work.</w:t>
      </w:r>
    </w:p>
    <w:p>
      <w:pPr>
        <w:pStyle w:val="Heading2"/>
      </w:pPr>
      <w:r>
        <w:t>How the graph supports the feature</w:t>
      </w:r>
    </w:p>
    <w:p>
      <w:r>
        <w:t>An asset is more than an indexed file. It can be a concept, dataset, metric definition, procedure or reviewed context pack. Its catalogue card should show the declared owner, namespace, source version, evidence coverage and current lifecycle. Search combines exact identifiers, domain filters and text relevance without making relevance itself a credibility judgment.</w:t>
      </w:r>
    </w:p>
    <w:p>
      <w:r>
        <w:t>The graph connects the asset to the subject it represents and to the assertions, definitions and tasks around it. A deployment can therefore expose a related package, advisory source, assessment and unfinished question. The customer can inspect those links before deciding whether the asset is appropriate for a new task.</w:t>
      </w:r>
    </w:p>
    <w:p>
      <w:pPr>
        <w:pStyle w:val="Heading2"/>
      </w:pPr>
      <w:r>
        <w:t>Illustrative customer workflow</w:t>
      </w:r>
    </w:p>
    <w:p>
      <w:r>
        <w:t>A maintainer opens a deployment asset and follows its package, advisory, assessment and open task.</w:t>
      </w:r>
    </w:p>
    <w:p>
      <w:pPr>
        <w:pStyle w:val="Heading2"/>
      </w:pPr>
      <w:r>
        <w:t>Expected benefit and control</w:t>
      </w:r>
    </w:p>
    <w:p>
      <w:r>
        <w:t>A reusable asset view preserves meaning and provenance. Customer value is easier discovery and fewer repeated source searches.</w:t>
      </w:r>
    </w:p>
    <w:p>
      <w:r>
        <w:t>Catalogue search, metadata, backlinks and export must respect the caller’s source and case scopes.</w:t>
      </w:r>
    </w:p>
    <w:p>
      <w:hyperlink w:anchor="workspace" w:history="1">
        <w:r>
          <w:rPr>
            <w:color w:val="C9433C"/>
            <w:u w:val="single"/>
          </w:rPr>
          <w:t>Return to the customer workspace</w:t>
        </w:r>
      </w:hyperlink>
    </w:p>
    <w:p>
      <w:r>
        <w:br w:type="page"/>
      </w:r>
    </w:p>
    <w:p>
      <w:bookmarkStart w:id="22" w:name="feature_builder"/>
      <w:pPr>
        <w:pStyle w:val="Heading1"/>
      </w:pPr>
      <w:r>
        <w:t>4 Knowledge builder</w:t>
      </w:r>
      <w:bookmarkEnd w:id="22"/>
    </w:p>
    <w:p>
      <w:r>
        <w:t>A guided workspace maps sources into governed knowledge and assembles reusable context packs.</w:t>
      </w:r>
    </w:p>
    <w:p>
      <w:pPr>
        <w:pStyle w:val="Heading2"/>
      </w:pPr>
      <w:r>
        <w:t>What customers can do</w:t>
      </w:r>
    </w:p>
    <w:p>
      <w:r>
        <w:t>Customers bind records and document passages to shared subject identities, ontology types and evidence requirements before publishing.</w:t>
      </w:r>
    </w:p>
    <w:p>
      <w:r>
        <w:t>Capture sources and pin their exact module versions. Map fields and source spans to typed assertions and identities. Preview validation and obtain steward review before publication.</w:t>
      </w:r>
    </w:p>
    <w:p>
      <w:pPr>
        <w:pStyle w:val="Heading2"/>
      </w:pPr>
      <w:r>
        <w:t>How the graph supports the feature</w:t>
      </w:r>
    </w:p>
    <w:p>
      <w:r>
        <w:t>The builder is a context engineering workspace. It captures inputs, pins ontology imports and makes declarative bindings between fields or source spans and logical subjects. A preview should show candidate identities, extracted assertions, validation failures and the evidence required for admission. Curated inputs remain usable without model inference.</w:t>
      </w:r>
    </w:p>
    <w:p>
      <w:r>
        <w:t>A context pack declares its module dependencies, resources, mappings and approved procedures. The builder should preserve the distinction between a dataset schema, a metric formula and an ontology constraint. Each has one owner. Reusable bindings connect them so another client can retrieve or compute from the reviewed generation without reauthoring the definitions.</w:t>
      </w:r>
    </w:p>
    <w:p>
      <w:pPr>
        <w:pStyle w:val="Heading2"/>
      </w:pPr>
      <w:r>
        <w:t>Illustrative customer workflow</w:t>
      </w:r>
    </w:p>
    <w:p>
      <w:r>
        <w:t>A builder binds package inventory and advisory text to the same deployment without silently merging similar names.</w:t>
      </w:r>
    </w:p>
    <w:p>
      <w:pPr>
        <w:pStyle w:val="Heading2"/>
      </w:pPr>
      <w:r>
        <w:t>Expected benefit and control</w:t>
      </w:r>
    </w:p>
    <w:p>
      <w:r>
        <w:t>A versioned context pack combines reviewed meanings, source evidence and approved procedures. Customer value is reusable preparation across clients.</w:t>
      </w:r>
    </w:p>
    <w:p>
      <w:r>
        <w:t>Models propose mappings and extractions. Invalid batches remain staged and do not partially enter active context.</w:t>
      </w:r>
    </w:p>
    <w:p>
      <w:hyperlink w:anchor="workspace" w:history="1">
        <w:r>
          <w:rPr>
            <w:color w:val="C9433C"/>
            <w:u w:val="single"/>
          </w:rPr>
          <w:t>Return to the customer workspace</w:t>
        </w:r>
      </w:hyperlink>
    </w:p>
    <w:p>
      <w:r>
        <w:br w:type="page"/>
      </w:r>
    </w:p>
    <w:p>
      <w:bookmarkStart w:id="23" w:name="feature_reauthoring"/>
      <w:pPr>
        <w:pStyle w:val="Heading1"/>
      </w:pPr>
      <w:r>
        <w:t>5 Reauthoring</w:t>
      </w:r>
      <w:bookmarkEnd w:id="23"/>
    </w:p>
    <w:p>
      <w:r>
        <w:t>Customers revise knowledge through reviewed source patches that preserve attribution and identify affected work.</w:t>
      </w:r>
    </w:p>
    <w:p>
      <w:pPr>
        <w:pStyle w:val="Heading2"/>
      </w:pPr>
      <w:r>
        <w:t>What customers can do</w:t>
      </w:r>
    </w:p>
    <w:p>
      <w:r>
        <w:t>The workspace separates authored knowledge from generated descriptions and lets a steward compare proposed revisions with their supporting sources.</w:t>
      </w:r>
    </w:p>
    <w:p>
      <w:r>
        <w:t>Edit Markdown knowledge, mappings or approved procedures. Compare the proposed diff with source spans and validation. Publish a new version and inspect affected receipts and tasks.</w:t>
      </w:r>
    </w:p>
    <w:p>
      <w:pPr>
        <w:pStyle w:val="Heading2"/>
      </w:pPr>
      <w:r>
        <w:t>How the graph supports the feature</w:t>
      </w:r>
    </w:p>
    <w:p>
      <w:r>
        <w:t>Reauthoring means revising maintained knowledge and its source bindings. A customer may correct a definition, improve a procedure, repair a mapping or update a Markdown concept after new evidence appears. Assistance can propose a patch, but a steward sees the change, supporting spans, validation and affected records before activation.</w:t>
      </w:r>
    </w:p>
    <w:p>
      <w:r>
        <w:t>The graph relates a proposed new source version to the previous version and its dependents. Publishing creates a coherent revision rather than silently replacing history. Affected receipts, assessments and handoffs require refreshed context. Generated metadata can be refreshed while authored explanations remain under their declared ownership.</w:t>
      </w:r>
    </w:p>
    <w:p>
      <w:pPr>
        <w:pStyle w:val="Heading2"/>
      </w:pPr>
      <w:r>
        <w:t>Illustrative customer workflow</w:t>
      </w:r>
    </w:p>
    <w:p>
      <w:r>
        <w:t>A corrected deployment assumption produces a new version and identifies the assessment that needs refreshed evidence.</w:t>
      </w:r>
    </w:p>
    <w:p>
      <w:pPr>
        <w:pStyle w:val="Heading2"/>
      </w:pPr>
      <w:r>
        <w:t>Expected benefit and control</w:t>
      </w:r>
    </w:p>
    <w:p>
      <w:r>
        <w:t>Knowledge can evolve without silently overwriting history. Customer value is clearer maintenance and focused review of affected conclusions.</w:t>
      </w:r>
    </w:p>
    <w:p>
      <w:r>
        <w:t>Source-owned definitions remain canonical. Ontology reinterpretations require migration, and model output never activates itself.</w:t>
      </w:r>
    </w:p>
    <w:p>
      <w:hyperlink w:anchor="workspace" w:history="1">
        <w:r>
          <w:rPr>
            <w:color w:val="C9433C"/>
            <w:u w:val="single"/>
          </w:rPr>
          <w:t>Return to the customer workspace</w:t>
        </w:r>
      </w:hyperlink>
    </w:p>
    <w:p>
      <w:r>
        <w:br w:type="page"/>
      </w:r>
    </w:p>
    <w:p>
      <w:bookmarkStart w:id="24" w:name="feature_ontology"/>
      <w:pPr>
        <w:pStyle w:val="Heading1"/>
      </w:pPr>
      <w:r>
        <w:t>6 Ontology management</w:t>
      </w:r>
      <w:bookmarkEnd w:id="24"/>
    </w:p>
    <w:p>
      <w:r>
        <w:t>Versioned core and domain modules define how the platform interprets subjects, claims and relationships.</w:t>
      </w:r>
    </w:p>
    <w:p>
      <w:pPr>
        <w:pStyle w:val="Heading2"/>
      </w:pPr>
      <w:r>
        <w:t>What customers can do</w:t>
      </w:r>
    </w:p>
    <w:p>
      <w:r>
        <w:t>Customers compose curated modules with domain extensions while preserving shared concepts and explicit namespaces.</w:t>
      </w:r>
    </w:p>
    <w:p>
      <w:r>
        <w:t>Inspect allowed types, properties, predicates and endpoints. Review proposed additions with evidence and affected records. Pin exact module versions and plan semantic migrations.</w:t>
      </w:r>
    </w:p>
    <w:p>
      <w:pPr>
        <w:pStyle w:val="Heading2"/>
      </w:pPr>
      <w:r>
        <w:t>How the graph supports the feature</w:t>
      </w:r>
    </w:p>
    <w:p>
      <w:r>
        <w:t>A core module defines common ideas such as Source, Entity, Assertion, Evidence, Task and Session. Domain modules describe software or finance, while submodules define terms such as software.security or finance.us_disputes. Explicit namespaces distinguish similar words and exact version imports make a package’s interpretation reproducible.</w:t>
      </w:r>
    </w:p>
    <w:p>
      <w:r>
        <w:t>Module definitions declare allowed types, property shapes, predicates, endpoint rules, identity requirements and evidence expectations. JSON Schema checks payload structure, and backend validators enforce relationship and identity rules. Semantic identifiers and a documented provenance subset support export. Property-graph storage alone does not supply OWL or SHACL reasoning.</w:t>
      </w:r>
    </w:p>
    <w:p>
      <w:pPr>
        <w:pStyle w:val="Heading2"/>
      </w:pPr>
      <w:r>
        <w:t>Illustrative customer workflow</w:t>
      </w:r>
    </w:p>
    <w:p>
      <w:r>
        <w:t>The core Entity, Source, Assertion and Task types compose with software.security or finance.us_disputes modules.</w:t>
      </w:r>
    </w:p>
    <w:p>
      <w:pPr>
        <w:pStyle w:val="Heading2"/>
      </w:pPr>
      <w:r>
        <w:t>Expected benefit and control</w:t>
      </w:r>
    </w:p>
    <w:p>
      <w:r>
        <w:t>Shared definitions reduce ambiguous interpretation across sources and agents. Customer value is consistent terminology and explicit governance.</w:t>
      </w:r>
    </w:p>
    <w:p>
      <w:r>
        <w:t>Additive proposals require steward activation. Changes to established meanings, identity rules or required fields need explicit migration.</w:t>
      </w:r>
    </w:p>
    <w:p>
      <w:hyperlink w:anchor="workspace" w:history="1">
        <w:r>
          <w:rPr>
            <w:color w:val="C9433C"/>
            <w:u w:val="single"/>
          </w:rPr>
          <w:t>Return to the customer workspace</w:t>
        </w:r>
      </w:hyperlink>
    </w:p>
    <w:p>
      <w:r>
        <w:br w:type="page"/>
      </w:r>
    </w:p>
    <w:p>
      <w:bookmarkStart w:id="25" w:name="feature_agents"/>
      <w:pPr>
        <w:pStyle w:val="Heading1"/>
      </w:pPr>
      <w:r>
        <w:t>7 Agent integrations</w:t>
      </w:r>
      <w:bookmarkEnd w:id="25"/>
    </w:p>
    <w:p>
      <w:r>
        <w:t>Existing harnesses and copilots access the same scoped context through MCP and versioned HTTP interfaces.</w:t>
      </w:r>
    </w:p>
    <w:p>
      <w:pPr>
        <w:pStyle w:val="Heading2"/>
      </w:pPr>
      <w:r>
        <w:t>What customers can do</w:t>
      </w:r>
    </w:p>
    <w:p>
      <w:r>
        <w:t>Customers connect multiple clients to a common contract for context, evidence, candidate knowledge, memory and handoffs.</w:t>
      </w:r>
    </w:p>
    <w:p>
      <w:r>
        <w:t>Configure a scoped client identity and permitted tools. Retrieve a receipt and inspect evidence before acting. Record findings and transfer tasks with explicit instructions.</w:t>
      </w:r>
    </w:p>
    <w:p>
      <w:pPr>
        <w:pStyle w:val="Heading2"/>
      </w:pPr>
      <w:r>
        <w:t>How the graph supports the feature</w:t>
      </w:r>
    </w:p>
    <w:p>
      <w:r>
        <w:t>The proposed contract exposes context retrieval, evidence access, candidate assertions, changes, memory and handoffs through MCP and versioned HTTP interfaces. Client adapters translate that contract for a harness or framework. Tool availability must be paired with explicit instructions about when to retrieve, inspect evidence, remember and transfer work.</w:t>
      </w:r>
    </w:p>
    <w:p>
      <w:r>
        <w:t>Harness targets include Codex CLI, OpenCode and Claude Code. LangChain and LlamaIndex can expose the core tools. Graphiti and Cognee can bridge memory concepts. GraphRAG-SDK can assist retrieval and extraction candidates, while controlled QueryWeaver access can expose analytical schemas. These are integration targets under one authority, not permission to bypass validation or a promise that every upstream option behaves identically.</w:t>
      </w:r>
    </w:p>
    <w:p>
      <w:pPr>
        <w:pStyle w:val="Heading2"/>
      </w:pPr>
      <w:r>
        <w:t>Illustrative customer workflow</w:t>
      </w:r>
    </w:p>
    <w:p>
      <w:r>
        <w:t>Codex CLI, OpenCode and Claude Code are harness targets. Framework and memory adapters use the same governed contract.</w:t>
      </w:r>
    </w:p>
    <w:p>
      <w:pPr>
        <w:pStyle w:val="Heading2"/>
      </w:pPr>
      <w:r>
        <w:t>Expected benefit and control</w:t>
      </w:r>
    </w:p>
    <w:p>
      <w:r>
        <w:t>Knowledge and unfinished work travel across clients without depending on one chat transcript. Customer value is client choice and less repeated integration.</w:t>
      </w:r>
    </w:p>
    <w:p>
      <w:r>
        <w:t>The principal determines workspace and access. Agent arguments cannot select another tenant, and activation remains steward-only.</w:t>
      </w:r>
    </w:p>
    <w:p>
      <w:hyperlink w:anchor="workspace" w:history="1">
        <w:r>
          <w:rPr>
            <w:color w:val="C9433C"/>
            <w:u w:val="single"/>
          </w:rPr>
          <w:t>Return to the customer workspace</w:t>
        </w:r>
      </w:hyperlink>
    </w:p>
    <w:p>
      <w:r>
        <w:br w:type="page"/>
      </w:r>
    </w:p>
    <w:p>
      <w:bookmarkStart w:id="26" w:name="feature_memory"/>
      <w:pPr>
        <w:pStyle w:val="Heading1"/>
      </w:pPr>
      <w:r>
        <w:t>8 Persistent memory</w:t>
      </w:r>
      <w:bookmarkEnd w:id="26"/>
    </w:p>
    <w:p>
      <w:r>
        <w:t>The graph preserves governed knowledge, session experience and shared tasks for the next authorized helper.</w:t>
      </w:r>
    </w:p>
    <w:p>
      <w:pPr>
        <w:pStyle w:val="Heading2"/>
      </w:pPr>
      <w:r>
        <w:t>What customers can do</w:t>
      </w:r>
    </w:p>
    <w:p>
      <w:r>
        <w:t>Customers distinguish accepted assertions from observations and summaries, and retain approved procedures separately from unfinished task state.</w:t>
      </w:r>
    </w:p>
    <w:p>
      <w:r>
        <w:t>Save findings, attempts and unanswered questions with support. Reopen receipts and checkpoints after a session restart. Accept a handoff with constraints, ownership and the next step.</w:t>
      </w:r>
    </w:p>
    <w:p>
      <w:pPr>
        <w:pStyle w:val="Heading2"/>
      </w:pPr>
      <w:r>
        <w:t>How the graph supports the feature</w:t>
      </w:r>
    </w:p>
    <w:p>
      <w:r>
        <w:t>Semantic memory consists of governed assertions and relationships. Episodic memory records findings, attempts, observations and unanswered questions. Procedural memory preserves approved mapping and verification instructions. Shared tasks retain responsibility, constraints and the next proposed step. A remembered summary remains distinct from an admitted source assertion.</w:t>
      </w:r>
    </w:p>
    <w:p>
      <w:r>
        <w:t>A handoff names the task and recipient and includes its supporting receipt, constraints, questions and proposed next step. Acceptance transfers responsibility rather than establishing that its claims are correct. An authorized helper can reopen the work after a session restart, while changed dependencies make stale support explicit.</w:t>
      </w:r>
    </w:p>
    <w:p>
      <w:pPr>
        <w:pStyle w:val="Heading2"/>
      </w:pPr>
      <w:r>
        <w:t>Illustrative customer workflow</w:t>
      </w:r>
    </w:p>
    <w:p>
      <w:r>
        <w:t>A support team receives a private dispute timeline with a receipt and missing-evidence task, without exposing it to public readers.</w:t>
      </w:r>
    </w:p>
    <w:p>
      <w:pPr>
        <w:pStyle w:val="Heading2"/>
      </w:pPr>
      <w:r>
        <w:t>Expected benefit and control</w:t>
      </w:r>
    </w:p>
    <w:p>
      <w:r>
        <w:t>An investigation resumes with its history and uncertainty intact. Customer value is continuity and fewer repeated explanations.</w:t>
      </w:r>
    </w:p>
    <w:p>
      <w:r>
        <w:t>Derived memory inherits source restrictions. Corrections mark declared dependents stale, and handoff acceptance does not approve factual claims.</w:t>
      </w:r>
    </w:p>
    <w:p>
      <w:hyperlink w:anchor="workspace" w:history="1">
        <w:r>
          <w:rPr>
            <w:color w:val="C9433C"/>
            <w:u w:val="single"/>
          </w:rPr>
          <w:t>Return to the customer workspace</w:t>
        </w:r>
      </w:hyperlink>
    </w:p>
    <w:p>
      <w:r>
        <w:br w:type="page"/>
      </w:r>
    </w:p>
    <w:p>
      <w:pPr>
        <w:pStyle w:val="Heading1"/>
      </w:pPr>
      <w:r>
        <w:t>9 Architecture and open standards</w:t>
      </w:r>
    </w:p>
    <w:p>
      <w:r>
        <w:t>FalkorDB is the shared authority for identities and relationships around knowledge and agent work. The surrounding services keep distinct responsibilities. This creates one governed semantic model across data layers without forcing every source system into the same storage engine.</w:t>
      </w:r>
    </w:p>
    <w:tbl>
      <w:tblPr>
        <w:tblW w:type="auto" w:w="0"/>
        <w:tblLayout w:type="fixed"/>
        <w:tblLook w:firstColumn="1" w:firstRow="1" w:lastColumn="0" w:lastRow="0" w:noHBand="0" w:noVBand="1" w:val="04A0"/>
      </w:tblPr>
      <w:tblGrid>
        <w:gridCol w:w="2304"/>
        <w:gridCol w:w="7690"/>
      </w:tblGrid>
      <w:tr>
        <w:trPr>
          <w:tblHeader/>
          <w:cantSplit/>
        </w:trPr>
        <w:tc>
          <w:tcPr>
            <w:tcW w:type="dxa" w:w="2304"/>
            <w:vAlign w:val="center"/>
            <w:shd w:fill="C9433C"/>
            <w:tcMar>
              <w:top w:w="105" w:type="dxa"/>
              <w:bottom w:w="105" w:type="dxa"/>
              <w:left w:w="105" w:type="dxa"/>
              <w:right w:w="105" w:type="dxa"/>
            </w:tcMar>
          </w:tcPr>
          <w:p>
            <w:pPr>
              <w:spacing w:after="0" w:line="252" w:lineRule="auto"/>
            </w:pPr>
            <w:r>
              <w:rPr>
                <w:b w:val="0"/>
                <w:color w:val="FFFFFF"/>
                <w:sz w:val="20"/>
              </w:rPr>
              <w:t>Component</w:t>
            </w:r>
          </w:p>
        </w:tc>
        <w:tc>
          <w:tcPr>
            <w:tcW w:type="dxa" w:w="7690"/>
            <w:vAlign w:val="center"/>
            <w:shd w:fill="C9433C"/>
            <w:tcMar>
              <w:top w:w="105" w:type="dxa"/>
              <w:bottom w:w="105" w:type="dxa"/>
              <w:left w:w="105" w:type="dxa"/>
              <w:right w:w="105" w:type="dxa"/>
            </w:tcMar>
          </w:tcPr>
          <w:p>
            <w:pPr>
              <w:spacing w:after="0" w:line="252" w:lineRule="auto"/>
            </w:pPr>
            <w:r>
              <w:rPr>
                <w:b w:val="0"/>
                <w:color w:val="FFFFFF"/>
                <w:sz w:val="20"/>
              </w:rPr>
              <w:t>Proposed role</w:t>
            </w:r>
          </w:p>
        </w:tc>
      </w:tr>
      <w:tr>
        <w:trPr>
          <w:cantSplit/>
        </w:trPr>
        <w:tc>
          <w:tcPr>
            <w:tcW w:type="dxa" w:w="2304"/>
            <w:vAlign w:val="center"/>
            <w:shd w:fill="FFFFFF"/>
            <w:tcMar>
              <w:top w:w="105" w:type="dxa"/>
              <w:bottom w:w="105" w:type="dxa"/>
              <w:left w:w="105" w:type="dxa"/>
              <w:right w:w="105" w:type="dxa"/>
            </w:tcMar>
          </w:tcPr>
          <w:p>
            <w:pPr>
              <w:spacing w:after="0" w:line="252" w:lineRule="auto"/>
            </w:pPr>
            <w:r>
              <w:rPr>
                <w:sz w:val="20"/>
              </w:rPr>
              <w:t>FalkorDB</w:t>
            </w:r>
          </w:p>
        </w:tc>
        <w:tc>
          <w:tcPr>
            <w:tcW w:type="dxa" w:w="7690"/>
            <w:vAlign w:val="center"/>
            <w:shd w:fill="FFFFFF"/>
            <w:tcMar>
              <w:top w:w="105" w:type="dxa"/>
              <w:bottom w:w="105" w:type="dxa"/>
              <w:left w:w="105" w:type="dxa"/>
              <w:right w:w="105" w:type="dxa"/>
            </w:tcMar>
          </w:tcPr>
          <w:p>
            <w:pPr>
              <w:spacing w:after="0" w:line="252" w:lineRule="auto"/>
            </w:pPr>
            <w:r>
              <w:rPr>
                <w:sz w:val="20"/>
              </w:rPr>
              <w:t>Workspace graphs, ontology bindings, assertions, evidence references, revisions, tasks, receipts and audit.</w:t>
            </w:r>
          </w:p>
        </w:tc>
      </w:tr>
      <w:tr>
        <w:trPr>
          <w:cantSplit/>
        </w:trPr>
        <w:tc>
          <w:tcPr>
            <w:tcW w:type="dxa" w:w="2304"/>
            <w:vAlign w:val="center"/>
            <w:shd w:fill="F4F2EE"/>
            <w:tcMar>
              <w:top w:w="105" w:type="dxa"/>
              <w:bottom w:w="105" w:type="dxa"/>
              <w:left w:w="105" w:type="dxa"/>
              <w:right w:w="105" w:type="dxa"/>
            </w:tcMar>
          </w:tcPr>
          <w:p>
            <w:pPr>
              <w:spacing w:after="0" w:line="252" w:lineRule="auto"/>
            </w:pPr>
            <w:r>
              <w:rPr>
                <w:sz w:val="20"/>
              </w:rPr>
              <w:t>API coordinator</w:t>
            </w:r>
          </w:p>
        </w:tc>
        <w:tc>
          <w:tcPr>
            <w:tcW w:type="dxa" w:w="7690"/>
            <w:vAlign w:val="center"/>
            <w:shd w:fill="F4F2EE"/>
            <w:tcMar>
              <w:top w:w="105" w:type="dxa"/>
              <w:bottom w:w="105" w:type="dxa"/>
              <w:left w:w="105" w:type="dxa"/>
              <w:right w:w="105" w:type="dxa"/>
            </w:tcMar>
          </w:tcPr>
          <w:p>
            <w:pPr>
              <w:spacing w:after="0" w:line="252" w:lineRule="auto"/>
            </w:pPr>
            <w:r>
              <w:rPr>
                <w:sz w:val="20"/>
              </w:rPr>
              <w:t>Authentication, scope checks, validation, context assembly and coordinated graph mutations.</w:t>
            </w:r>
          </w:p>
        </w:tc>
      </w:tr>
      <w:tr>
        <w:trPr>
          <w:cantSplit/>
        </w:trPr>
        <w:tc>
          <w:tcPr>
            <w:tcW w:type="dxa" w:w="2304"/>
            <w:vAlign w:val="center"/>
            <w:shd w:fill="FFFFFF"/>
            <w:tcMar>
              <w:top w:w="105" w:type="dxa"/>
              <w:bottom w:w="105" w:type="dxa"/>
              <w:left w:w="105" w:type="dxa"/>
              <w:right w:w="105" w:type="dxa"/>
            </w:tcMar>
          </w:tcPr>
          <w:p>
            <w:pPr>
              <w:spacing w:after="0" w:line="252" w:lineRule="auto"/>
            </w:pPr>
            <w:r>
              <w:rPr>
                <w:sz w:val="20"/>
              </w:rPr>
              <w:t>Artifact storage</w:t>
            </w:r>
          </w:p>
        </w:tc>
        <w:tc>
          <w:tcPr>
            <w:tcW w:type="dxa" w:w="7690"/>
            <w:vAlign w:val="center"/>
            <w:shd w:fill="FFFFFF"/>
            <w:tcMar>
              <w:top w:w="105" w:type="dxa"/>
              <w:bottom w:w="105" w:type="dxa"/>
              <w:left w:w="105" w:type="dxa"/>
              <w:right w:w="105" w:type="dxa"/>
            </w:tcMar>
          </w:tcPr>
          <w:p>
            <w:pPr>
              <w:spacing w:after="0" w:line="252" w:lineRule="auto"/>
            </w:pPr>
            <w:r>
              <w:rPr>
                <w:sz w:val="20"/>
              </w:rPr>
              <w:t>Immutable source and result bytes, identified by content hash. S3-compatible storage such as MinIO is a deployment option.</w:t>
            </w:r>
          </w:p>
        </w:tc>
      </w:tr>
      <w:tr>
        <w:trPr>
          <w:cantSplit/>
        </w:trPr>
        <w:tc>
          <w:tcPr>
            <w:tcW w:type="dxa" w:w="2304"/>
            <w:vAlign w:val="center"/>
            <w:shd w:fill="F4F2EE"/>
            <w:tcMar>
              <w:top w:w="105" w:type="dxa"/>
              <w:bottom w:w="105" w:type="dxa"/>
              <w:left w:w="105" w:type="dxa"/>
              <w:right w:w="105" w:type="dxa"/>
            </w:tcMar>
          </w:tcPr>
          <w:p>
            <w:pPr>
              <w:spacing w:after="0" w:line="252" w:lineRule="auto"/>
            </w:pPr>
            <w:r>
              <w:rPr>
                <w:sz w:val="20"/>
              </w:rPr>
              <w:t>Redis</w:t>
            </w:r>
          </w:p>
        </w:tc>
        <w:tc>
          <w:tcPr>
            <w:tcW w:type="dxa" w:w="7690"/>
            <w:vAlign w:val="center"/>
            <w:shd w:fill="F4F2EE"/>
            <w:tcMar>
              <w:top w:w="105" w:type="dxa"/>
              <w:bottom w:w="105" w:type="dxa"/>
              <w:left w:w="105" w:type="dxa"/>
              <w:right w:w="105" w:type="dxa"/>
            </w:tcMar>
          </w:tcPr>
          <w:p>
            <w:pPr>
              <w:spacing w:after="0" w:line="252" w:lineRule="auto"/>
            </w:pPr>
            <w:r>
              <w:rPr>
                <w:sz w:val="20"/>
              </w:rPr>
              <w:t>Disposable retrieval projections and work delivery. The graph retains knowledge and authoritative job state.</w:t>
            </w:r>
          </w:p>
        </w:tc>
      </w:tr>
      <w:tr>
        <w:trPr>
          <w:cantSplit/>
        </w:trPr>
        <w:tc>
          <w:tcPr>
            <w:tcW w:type="dxa" w:w="2304"/>
            <w:vAlign w:val="center"/>
            <w:shd w:fill="FFFFFF"/>
            <w:tcMar>
              <w:top w:w="105" w:type="dxa"/>
              <w:bottom w:w="105" w:type="dxa"/>
              <w:left w:w="105" w:type="dxa"/>
              <w:right w:w="105" w:type="dxa"/>
            </w:tcMar>
          </w:tcPr>
          <w:p>
            <w:pPr>
              <w:spacing w:after="0" w:line="252" w:lineRule="auto"/>
            </w:pPr>
            <w:r>
              <w:rPr>
                <w:sz w:val="20"/>
              </w:rPr>
              <w:t>dbt and MetricFlow</w:t>
            </w:r>
          </w:p>
        </w:tc>
        <w:tc>
          <w:tcPr>
            <w:tcW w:type="dxa" w:w="7690"/>
            <w:vAlign w:val="center"/>
            <w:shd w:fill="FFFFFF"/>
            <w:tcMar>
              <w:top w:w="105" w:type="dxa"/>
              <w:bottom w:w="105" w:type="dxa"/>
              <w:left w:w="105" w:type="dxa"/>
              <w:right w:w="105" w:type="dxa"/>
            </w:tcMar>
          </w:tcPr>
          <w:p>
            <w:pPr>
              <w:spacing w:after="0" w:line="252" w:lineRule="auto"/>
            </w:pPr>
            <w:r>
              <w:rPr>
                <w:sz w:val="20"/>
              </w:rPr>
              <w:t>Source-owned analytical definitions and reviewed query compilation.</w:t>
            </w:r>
          </w:p>
        </w:tc>
      </w:tr>
      <w:tr>
        <w:trPr>
          <w:cantSplit/>
        </w:trPr>
        <w:tc>
          <w:tcPr>
            <w:tcW w:type="dxa" w:w="2304"/>
            <w:vAlign w:val="center"/>
            <w:shd w:fill="F4F2EE"/>
            <w:tcMar>
              <w:top w:w="105" w:type="dxa"/>
              <w:bottom w:w="105" w:type="dxa"/>
              <w:left w:w="105" w:type="dxa"/>
              <w:right w:w="105" w:type="dxa"/>
            </w:tcMar>
          </w:tcPr>
          <w:p>
            <w:pPr>
              <w:spacing w:after="0" w:line="252" w:lineRule="auto"/>
            </w:pPr>
            <w:r>
              <w:rPr>
                <w:sz w:val="20"/>
              </w:rPr>
              <w:t>Bounded executors</w:t>
            </w:r>
          </w:p>
        </w:tc>
        <w:tc>
          <w:tcPr>
            <w:tcW w:type="dxa" w:w="7690"/>
            <w:vAlign w:val="center"/>
            <w:shd w:fill="F4F2EE"/>
            <w:tcMar>
              <w:top w:w="105" w:type="dxa"/>
              <w:bottom w:w="105" w:type="dxa"/>
              <w:left w:w="105" w:type="dxa"/>
              <w:right w:w="105" w:type="dxa"/>
            </w:tcMar>
          </w:tcPr>
          <w:p>
            <w:pPr>
              <w:spacing w:after="0" w:line="252" w:lineRule="auto"/>
            </w:pPr>
            <w:r>
              <w:rPr>
                <w:sz w:val="20"/>
              </w:rPr>
              <w:t>Registered operations over authorized captured inputs, with retained output support.</w:t>
            </w:r>
          </w:p>
        </w:tc>
      </w:tr>
    </w:tbl>
    <w:p>
      <w:pPr>
        <w:spacing w:after="20"/>
      </w:pPr>
    </w:p>
    <w:p>
      <w:pPr>
        <w:pStyle w:val="Heading2"/>
      </w:pPr>
      <w:r>
        <w:t>Portable authoring</w:t>
      </w:r>
    </w:p>
    <w:p>
      <w:r>
        <w:t>Google Open Knowledge Format represents portable knowledge through Markdown concepts, YAML metadata and links. Frictionless Data Package and Table Schema, associated with the Open Knowledge Foundation ecosystem, describe packaged structured resources. Ontology modules and reviewed bindings explain how these input surfaces belong to the same subject and domain meaning. The formats serve complementary roles.</w:t>
      </w:r>
    </w:p>
    <w:p>
      <w:pPr>
        <w:pStyle w:val="Heading2"/>
      </w:pPr>
      <w:r>
        <w:t>Definition ownership and graph intelligence</w:t>
      </w:r>
    </w:p>
    <w:p>
      <w:r>
        <w:t>A source-owned formula remains canonical in its analytical definition. The graph stores the binding and version reference rather than a separate editable formula. Cypher, shortest paths, centrality and connected-component tools can help inspect support and discover missing connections on authorized projections. Structural importance does not establish source credibility.</w:t>
      </w:r>
    </w:p>
    <w:p>
      <w:r>
        <w:t>MCP is the agent transport. The context package remains the platform’s documented contract. Semantic export can use JSON-LD identifiers and a documented PROV-O subset. Formal ontology reasoning and broader connectors require separate evaluation and engineering.</w:t>
      </w:r>
    </w:p>
    <w:p>
      <w:r>
        <w:br w:type="page"/>
      </w:r>
    </w:p>
    <w:p>
      <w:pPr>
        <w:pStyle w:val="Heading1"/>
      </w:pPr>
      <w:r>
        <w:t>10 Evidence governance and access</w:t>
      </w:r>
    </w:p>
    <w:p>
      <w:pPr>
        <w:pStyle w:val="Heading2"/>
      </w:pPr>
      <w:r>
        <w:t>Admission is an attributed review decision</w:t>
      </w:r>
    </w:p>
    <w:p>
      <w:r>
        <w:t>Sources enter staging before activation. Validators check payload shape, predicates, relationship endpoints and required evidence. Steward review decides whether a coherent generation can be admitted. Approval means an attributed statement is available for governed use. It does not establish that an allegation is true. Conflicting accounts retain their speakers and source versions.</w:t>
      </w:r>
    </w:p>
    <w:p>
      <w:pPr>
        <w:pStyle w:val="Heading2"/>
      </w:pPr>
      <w:r>
        <w:t>Context includes its limits</w:t>
      </w:r>
    </w:p>
    <w:p>
      <w:r>
        <w:t>A request resolves exact subject anchors or returns ambiguity, applies the authenticated principal’s scope and retrieves relevant assertions. Bounded traversal expands their required support. The package separates admitted statements from disputes, stale assessments and missing information. A receipt records the generation, ontology versions, selection reasons and evidence references. If required support is unavailable or cannot fit, the result reports incompleteness.</w:t>
      </w:r>
    </w:p>
    <w:p>
      <w:pPr>
        <w:pStyle w:val="Heading2"/>
      </w:pPr>
      <w:r>
        <w:t>Registered execution retains support</w:t>
      </w:r>
    </w:p>
    <w:p>
      <w:r>
        <w:t>A plan selects a compatible approved capability and checks its typed inputs, permissions and version dependencies. A bounded executor reads captured inputs and preserves the query or procedure reference, output artifact and verification. A deterministic check can establish whether a result follows the registered computation. It cannot establish a broader legal or factual conclusion.</w:t>
      </w:r>
    </w:p>
    <w:p>
      <w:pPr>
        <w:pStyle w:val="Heading2"/>
      </w:pPr>
      <w:r>
        <w:t>Isolation and inherited restrictions</w:t>
      </w:r>
    </w:p>
    <w:p>
      <w:r>
        <w:t>Each workspace uses an isolated graph, while server-side identity chooses the tenant. Within that graph, source and case scopes govern search, traversal, evidence reads, memory, results, exports and handoffs. Derived artifacts inherit supporting-source restrictions so a public reader cannot obtain a private case through a summary. Cache and graph algorithm paths must enforce the same scope.</w:t>
      </w:r>
    </w:p>
    <w:p>
      <w:pPr>
        <w:pStyle w:val="Heading2"/>
      </w:pPr>
      <w:r>
        <w:t>Corrections preserve history</w:t>
      </w:r>
    </w:p>
    <w:p>
      <w:r>
        <w:t>Assessments and receipts declare the exact assertion versions they used. A correction creates a new version and identifies declared dependents that need refresh. Unrelated work can remain usable, and historical packages stay inspectable. Model failures remain errors or proposals. Neither a cache entry nor a fluent answer can silently activate missing or unsupported knowledge.</w:t>
      </w:r>
    </w:p>
    <w:p>
      <w:r>
        <w:br w:type="page"/>
      </w:r>
    </w:p>
    <w:p>
      <w:pPr>
        <w:pStyle w:val="Heading1"/>
      </w:pPr>
      <w:r>
        <w:t>11 Public impact applications</w:t>
      </w:r>
    </w:p>
    <w:p>
      <w:pPr>
        <w:pStyle w:val="Heading2"/>
      </w:pPr>
      <w:r>
        <w:t>Software used in public services</w:t>
      </w:r>
    </w:p>
    <w:p>
      <w:r>
        <w:t>An OSS pack combines package inventory, advisory records, documentation and deployment assumptions. The graph connects those representations to one software subject and preserves the source behind each claim. An investigator can record an assessment, retain uncertainty and transfer the open review to another maintainer. A configuration correction reveals which conclusion needs fresh support.</w:t>
      </w:r>
    </w:p>
    <w:p>
      <w:r>
        <w:t>The proposed public benefit is less repeated investigation and a clearer security evidence trail. The workflow organizes evidence and review questions. It does not certify exploitability or authorize autonomous remediation. Domain behavior belongs in mappings and approved procedures rather than separate branches in the platform core.</w:t>
      </w:r>
    </w:p>
    <w:p>
      <w:pPr>
        <w:pStyle w:val="Heading2"/>
      </w:pPr>
      <w:r>
        <w:t>Consumer financial disputes</w:t>
      </w:r>
    </w:p>
    <w:p>
      <w:r>
        <w:t>A case pack connects transactions, correspondence, consumer notes and applicable guidance into a sourced chronology. If a consumer record and correspondence report different notification dates, both accounts remain attributed. The next helper receives the receipt and missing-evidence questions rather than requiring the consumer to repeat the case.</w:t>
      </w:r>
    </w:p>
    <w:p>
      <w:r>
        <w:t>Public complaint metadata provides category context and remains separate from private individual identities. A registered total can describe captured transactions but does not calculate legal deadlines or determine refund entitlement. The intended benefit is a more coherent case history with scoped continuity across consumer and support experiences.</w:t>
      </w:r>
    </w:p>
    <w:p>
      <w:pPr>
        <w:pStyle w:val="Heading2"/>
      </w:pPr>
      <w:r>
        <w:t>Future heat service coordination</w:t>
      </w:r>
    </w:p>
    <w:p>
      <w:r>
        <w:t>A further pack could connect service-registry records to changing seasonal notices. The graph can preserve effective times, source versions and the conditions under which a service remains available. Such a pack would test temporal context in a public-service setting. Clinical decisions are outside this proposal.</w:t>
      </w:r>
    </w:p>
    <w:p>
      <w:pPr>
        <w:pStyle w:val="Heading2"/>
      </w:pPr>
      <w:r>
        <w:t>Why a generic core matters</w:t>
      </w:r>
    </w:p>
    <w:p>
      <w:r>
        <w:t>The applications share ingestion, review, context assembly, memory and portability services. Their terms and evidence rules differ, which tests whether the same platform can support more than one domain. Reusable contracts do not remove the need to curate a new ontology, author bindings or evaluate access and capability behavior for every additional application.</w:t>
      </w:r>
    </w:p>
    <w:p>
      <w:r>
        <w:br w:type="page"/>
      </w:r>
    </w:p>
    <w:p>
      <w:pPr>
        <w:pStyle w:val="Heading1"/>
      </w:pPr>
      <w:r>
        <w:t>12 Business proposal and pilot decision</w:t>
      </w:r>
    </w:p>
    <w:p>
      <w:pPr>
        <w:pStyle w:val="Heading2"/>
      </w:pPr>
      <w:r>
        <w:t>Customer value to validate</w:t>
      </w:r>
    </w:p>
    <w:tbl>
      <w:tblPr>
        <w:tblW w:type="auto" w:w="0"/>
        <w:tblLayout w:type="fixed"/>
        <w:tblLook w:firstColumn="1" w:firstRow="1" w:lastColumn="0" w:lastRow="0" w:noHBand="0" w:noVBand="1" w:val="04A0"/>
      </w:tblPr>
      <w:tblGrid>
        <w:gridCol w:w="3384"/>
        <w:gridCol w:w="6610"/>
      </w:tblGrid>
      <w:tr>
        <w:trPr>
          <w:tblHeader/>
          <w:cantSplit/>
        </w:trPr>
        <w:tc>
          <w:tcPr>
            <w:tcW w:type="dxa" w:w="3384"/>
            <w:vAlign w:val="center"/>
            <w:shd w:fill="C9433C"/>
            <w:tcMar>
              <w:top w:w="105" w:type="dxa"/>
              <w:bottom w:w="105" w:type="dxa"/>
              <w:left w:w="105" w:type="dxa"/>
              <w:right w:w="105" w:type="dxa"/>
            </w:tcMar>
          </w:tcPr>
          <w:p>
            <w:pPr>
              <w:spacing w:after="0" w:line="252" w:lineRule="auto"/>
            </w:pPr>
            <w:r>
              <w:rPr>
                <w:b w:val="0"/>
                <w:color w:val="FFFFFF"/>
                <w:sz w:val="20"/>
              </w:rPr>
              <w:t>Expected benefit</w:t>
            </w:r>
          </w:p>
        </w:tc>
        <w:tc>
          <w:tcPr>
            <w:tcW w:type="dxa" w:w="6610"/>
            <w:vAlign w:val="center"/>
            <w:shd w:fill="C9433C"/>
            <w:tcMar>
              <w:top w:w="105" w:type="dxa"/>
              <w:bottom w:w="105" w:type="dxa"/>
              <w:left w:w="105" w:type="dxa"/>
              <w:right w:w="105" w:type="dxa"/>
            </w:tcMar>
          </w:tcPr>
          <w:p>
            <w:pPr>
              <w:spacing w:after="0" w:line="252" w:lineRule="auto"/>
            </w:pPr>
            <w:r>
              <w:rPr>
                <w:b w:val="0"/>
                <w:color w:val="FFFFFF"/>
                <w:sz w:val="20"/>
              </w:rPr>
              <w:t>Pilot measure</w:t>
            </w:r>
          </w:p>
        </w:tc>
      </w:tr>
      <w:tr>
        <w:trPr>
          <w:cantSplit/>
        </w:trPr>
        <w:tc>
          <w:tcPr>
            <w:tcW w:type="dxa" w:w="3384"/>
            <w:vAlign w:val="center"/>
            <w:shd w:fill="FFFFFF"/>
            <w:tcMar>
              <w:top w:w="105" w:type="dxa"/>
              <w:bottom w:w="105" w:type="dxa"/>
              <w:left w:w="105" w:type="dxa"/>
              <w:right w:w="105" w:type="dxa"/>
            </w:tcMar>
          </w:tcPr>
          <w:p>
            <w:pPr>
              <w:spacing w:after="0" w:line="252" w:lineRule="auto"/>
            </w:pPr>
            <w:r>
              <w:rPr>
                <w:sz w:val="20"/>
              </w:rPr>
              <w:t>Easier knowledge discovery</w:t>
            </w:r>
          </w:p>
        </w:tc>
        <w:tc>
          <w:tcPr>
            <w:tcW w:type="dxa" w:w="6610"/>
            <w:vAlign w:val="center"/>
            <w:shd w:fill="FFFFFF"/>
            <w:tcMar>
              <w:top w:w="105" w:type="dxa"/>
              <w:bottom w:w="105" w:type="dxa"/>
              <w:left w:w="105" w:type="dxa"/>
              <w:right w:w="105" w:type="dxa"/>
            </w:tcMar>
          </w:tcPr>
          <w:p>
            <w:pPr>
              <w:spacing w:after="0" w:line="252" w:lineRule="auto"/>
            </w:pPr>
            <w:r>
              <w:rPr>
                <w:sz w:val="20"/>
              </w:rPr>
              <w:t>Time spent locating a usable definition and its supporting sources.</w:t>
            </w:r>
          </w:p>
        </w:tc>
      </w:tr>
      <w:tr>
        <w:trPr>
          <w:cantSplit/>
        </w:trPr>
        <w:tc>
          <w:tcPr>
            <w:tcW w:type="dxa" w:w="3384"/>
            <w:vAlign w:val="center"/>
            <w:shd w:fill="F4F2EE"/>
            <w:tcMar>
              <w:top w:w="105" w:type="dxa"/>
              <w:bottom w:w="105" w:type="dxa"/>
              <w:left w:w="105" w:type="dxa"/>
              <w:right w:w="105" w:type="dxa"/>
            </w:tcMar>
          </w:tcPr>
          <w:p>
            <w:pPr>
              <w:spacing w:after="0" w:line="252" w:lineRule="auto"/>
            </w:pPr>
            <w:r>
              <w:rPr>
                <w:sz w:val="20"/>
              </w:rPr>
              <w:t>Reusable context preparation</w:t>
            </w:r>
          </w:p>
        </w:tc>
        <w:tc>
          <w:tcPr>
            <w:tcW w:type="dxa" w:w="6610"/>
            <w:vAlign w:val="center"/>
            <w:shd w:fill="F4F2EE"/>
            <w:tcMar>
              <w:top w:w="105" w:type="dxa"/>
              <w:bottom w:w="105" w:type="dxa"/>
              <w:left w:w="105" w:type="dxa"/>
              <w:right w:w="105" w:type="dxa"/>
            </w:tcMar>
          </w:tcPr>
          <w:p>
            <w:pPr>
              <w:spacing w:after="0" w:line="252" w:lineRule="auto"/>
            </w:pPr>
            <w:r>
              <w:rPr>
                <w:sz w:val="20"/>
              </w:rPr>
              <w:t>Engineering effort to connect another source or client.</w:t>
            </w:r>
          </w:p>
        </w:tc>
      </w:tr>
      <w:tr>
        <w:trPr>
          <w:cantSplit/>
        </w:trPr>
        <w:tc>
          <w:tcPr>
            <w:tcW w:type="dxa" w:w="3384"/>
            <w:vAlign w:val="center"/>
            <w:shd w:fill="FFFFFF"/>
            <w:tcMar>
              <w:top w:w="105" w:type="dxa"/>
              <w:bottom w:w="105" w:type="dxa"/>
              <w:left w:w="105" w:type="dxa"/>
              <w:right w:w="105" w:type="dxa"/>
            </w:tcMar>
          </w:tcPr>
          <w:p>
            <w:pPr>
              <w:spacing w:after="0" w:line="252" w:lineRule="auto"/>
            </w:pPr>
            <w:r>
              <w:rPr>
                <w:sz w:val="20"/>
              </w:rPr>
              <w:t>Focused knowledge maintenance</w:t>
            </w:r>
          </w:p>
        </w:tc>
        <w:tc>
          <w:tcPr>
            <w:tcW w:type="dxa" w:w="6610"/>
            <w:vAlign w:val="center"/>
            <w:shd w:fill="FFFFFF"/>
            <w:tcMar>
              <w:top w:w="105" w:type="dxa"/>
              <w:bottom w:w="105" w:type="dxa"/>
              <w:left w:w="105" w:type="dxa"/>
              <w:right w:w="105" w:type="dxa"/>
            </w:tcMar>
          </w:tcPr>
          <w:p>
            <w:pPr>
              <w:spacing w:after="0" w:line="252" w:lineRule="auto"/>
            </w:pPr>
            <w:r>
              <w:rPr>
                <w:sz w:val="20"/>
              </w:rPr>
              <w:t>Review effort and correct identification of affected dependents.</w:t>
            </w:r>
          </w:p>
        </w:tc>
      </w:tr>
      <w:tr>
        <w:trPr>
          <w:cantSplit/>
        </w:trPr>
        <w:tc>
          <w:tcPr>
            <w:tcW w:type="dxa" w:w="3384"/>
            <w:vAlign w:val="center"/>
            <w:shd w:fill="F4F2EE"/>
            <w:tcMar>
              <w:top w:w="105" w:type="dxa"/>
              <w:bottom w:w="105" w:type="dxa"/>
              <w:left w:w="105" w:type="dxa"/>
              <w:right w:w="105" w:type="dxa"/>
            </w:tcMar>
          </w:tcPr>
          <w:p>
            <w:pPr>
              <w:spacing w:after="0" w:line="252" w:lineRule="auto"/>
            </w:pPr>
            <w:r>
              <w:rPr>
                <w:sz w:val="20"/>
              </w:rPr>
              <w:t>Consistent meanings</w:t>
            </w:r>
          </w:p>
        </w:tc>
        <w:tc>
          <w:tcPr>
            <w:tcW w:type="dxa" w:w="6610"/>
            <w:vAlign w:val="center"/>
            <w:shd w:fill="F4F2EE"/>
            <w:tcMar>
              <w:top w:w="105" w:type="dxa"/>
              <w:bottom w:w="105" w:type="dxa"/>
              <w:left w:w="105" w:type="dxa"/>
              <w:right w:w="105" w:type="dxa"/>
            </w:tcMar>
          </w:tcPr>
          <w:p>
            <w:pPr>
              <w:spacing w:after="0" w:line="252" w:lineRule="auto"/>
            </w:pPr>
            <w:r>
              <w:rPr>
                <w:sz w:val="20"/>
              </w:rPr>
              <w:t>Agreement on definitions and calculation inputs across two clients.</w:t>
            </w:r>
          </w:p>
        </w:tc>
      </w:tr>
      <w:tr>
        <w:trPr>
          <w:cantSplit/>
        </w:trPr>
        <w:tc>
          <w:tcPr>
            <w:tcW w:type="dxa" w:w="3384"/>
            <w:vAlign w:val="center"/>
            <w:shd w:fill="FFFFFF"/>
            <w:tcMar>
              <w:top w:w="105" w:type="dxa"/>
              <w:bottom w:w="105" w:type="dxa"/>
              <w:left w:w="105" w:type="dxa"/>
              <w:right w:w="105" w:type="dxa"/>
            </w:tcMar>
          </w:tcPr>
          <w:p>
            <w:pPr>
              <w:spacing w:after="0" w:line="252" w:lineRule="auto"/>
            </w:pPr>
            <w:r>
              <w:rPr>
                <w:sz w:val="20"/>
              </w:rPr>
              <w:t>Continuity across helpers</w:t>
            </w:r>
          </w:p>
        </w:tc>
        <w:tc>
          <w:tcPr>
            <w:tcW w:type="dxa" w:w="6610"/>
            <w:vAlign w:val="center"/>
            <w:shd w:fill="FFFFFF"/>
            <w:tcMar>
              <w:top w:w="105" w:type="dxa"/>
              <w:bottom w:w="105" w:type="dxa"/>
              <w:left w:w="105" w:type="dxa"/>
              <w:right w:w="105" w:type="dxa"/>
            </w:tcMar>
          </w:tcPr>
          <w:p>
            <w:pPr>
              <w:spacing w:after="0" w:line="252" w:lineRule="auto"/>
            </w:pPr>
            <w:r>
              <w:rPr>
                <w:sz w:val="20"/>
              </w:rPr>
              <w:t>Reconstruction time and handoff completeness after a restart.</w:t>
            </w:r>
          </w:p>
        </w:tc>
      </w:tr>
      <w:tr>
        <w:trPr>
          <w:cantSplit/>
        </w:trPr>
        <w:tc>
          <w:tcPr>
            <w:tcW w:type="dxa" w:w="3384"/>
            <w:vAlign w:val="center"/>
            <w:shd w:fill="F4F2EE"/>
            <w:tcMar>
              <w:top w:w="105" w:type="dxa"/>
              <w:bottom w:w="105" w:type="dxa"/>
              <w:left w:w="105" w:type="dxa"/>
              <w:right w:w="105" w:type="dxa"/>
            </w:tcMar>
          </w:tcPr>
          <w:p>
            <w:pPr>
              <w:spacing w:after="0" w:line="252" w:lineRule="auto"/>
            </w:pPr>
            <w:r>
              <w:rPr>
                <w:sz w:val="20"/>
              </w:rPr>
              <w:t>Governed use</w:t>
            </w:r>
          </w:p>
        </w:tc>
        <w:tc>
          <w:tcPr>
            <w:tcW w:type="dxa" w:w="6610"/>
            <w:vAlign w:val="center"/>
            <w:shd w:fill="F4F2EE"/>
            <w:tcMar>
              <w:top w:w="105" w:type="dxa"/>
              <w:bottom w:w="105" w:type="dxa"/>
              <w:left w:w="105" w:type="dxa"/>
              <w:right w:w="105" w:type="dxa"/>
            </w:tcMar>
          </w:tcPr>
          <w:p>
            <w:pPr>
              <w:spacing w:after="0" w:line="252" w:lineRule="auto"/>
            </w:pPr>
            <w:r>
              <w:rPr>
                <w:sz w:val="20"/>
              </w:rPr>
              <w:t>Denied-access checks, resolvable evidence and clear incomplete results.</w:t>
            </w:r>
          </w:p>
        </w:tc>
      </w:tr>
    </w:tbl>
    <w:p>
      <w:pPr>
        <w:spacing w:after="20"/>
      </w:pPr>
    </w:p>
    <w:p>
      <w:pPr>
        <w:pStyle w:val="Heading2"/>
      </w:pPr>
      <w:r>
        <w:t>Product and commercial options</w:t>
      </w:r>
    </w:p>
    <w:p>
      <w:r>
        <w:t>A self-hosted core and portable domain packs can support developer tools, consumer assistants and enterprise workbenches. Potential paid offerings include managed operation, supported connectors, integration services and domain-pack stewardship. These are commercial options to test, not a revenue forecast or announced pricing. Customer export and client choice should remain practical.</w:t>
      </w:r>
    </w:p>
    <w:p>
      <w:pPr>
        <w:pStyle w:val="Heading2"/>
      </w:pPr>
      <w:r>
        <w:t>A bounded pilot</w:t>
      </w:r>
    </w:p>
    <w:p>
      <w:r>
        <w:t>Choose one recurring evidence-heavy workflow and name a developer owner and domain steward. Record the existing process and review effort before introducing the platform. Use comparable tasks and the same source set. Connect two clients and include an unresolved conflict, a source correction, a handoff and a restart. Measure useful continuity, evidence review, access behavior and total operating cost.</w:t>
      </w:r>
    </w:p>
    <w:p>
      <w:r>
        <w:t>Expand only if the value exceeds curation and maintenance effort and the permission model remains reliable. The catalogue, builder and reauthoring areas need the same scrutiny as retrieval: customers must be able to find useful assets, publish coherent mappings and correct knowledge without losing history. Quantitative acceptance targets should come from the baseline and the intended use case.</w:t>
      </w:r>
    </w:p>
    <w:p>
      <w:pPr>
        <w:pStyle w:val="Heading2"/>
      </w:pPr>
      <w:r>
        <w:t>Deployment considerations</w:t>
      </w:r>
    </w:p>
    <w:p>
      <w:r>
        <w:t>A local proposal can begin with one mutation coordinator per workspace and bounded registered operations. Enterprise identity, production coordination across instances, general connectors and external actions require further design. Open standards do not imply every upstream component uses a permissive licence. Evaluate the actual database, cache, storage and source-data obligations before offering managed deployments.</w:t>
      </w:r>
    </w:p>
    <w:p>
      <w:r>
        <w:br w:type="page"/>
      </w:r>
    </w:p>
    <w:p>
      <w:pPr>
        <w:pStyle w:val="Heading1"/>
      </w:pPr>
      <w:r>
        <w:t>13 References and terminology</w:t>
      </w:r>
    </w:p>
    <w:p>
      <w:r>
        <w:t>The product descriptions are proposals and the business benefits are hypotheses. The following primary references define upstream formats and capabilities. Domain-pack behavior, governance and context-package contracts are platform design choices.</w:t>
      </w:r>
    </w:p>
    <w:p>
      <w:pPr>
        <w:spacing w:after="140"/>
      </w:pPr>
      <w:hyperlink r:id="rId12" w:history="1">
        <w:r>
          <w:rPr>
            <w:color w:val="C9433C"/>
            <w:u w:val="single"/>
          </w:rPr>
          <w:t>Google Open Knowledge Format specification</w:t>
        </w:r>
      </w:hyperlink>
    </w:p>
    <w:p>
      <w:pPr>
        <w:spacing w:after="140"/>
      </w:pPr>
      <w:hyperlink r:id="rId13" w:history="1">
        <w:r>
          <w:rPr>
            <w:color w:val="C9433C"/>
            <w:u w:val="single"/>
          </w:rPr>
          <w:t>Frictionless Data Package standard</w:t>
        </w:r>
      </w:hyperlink>
    </w:p>
    <w:p>
      <w:pPr>
        <w:spacing w:after="140"/>
      </w:pPr>
      <w:hyperlink r:id="rId14" w:history="1">
        <w:r>
          <w:rPr>
            <w:color w:val="C9433C"/>
            <w:u w:val="single"/>
          </w:rPr>
          <w:t>Frictionless Table Schema standard</w:t>
        </w:r>
      </w:hyperlink>
    </w:p>
    <w:p>
      <w:pPr>
        <w:spacing w:after="140"/>
      </w:pPr>
      <w:hyperlink r:id="rId15" w:history="1">
        <w:r>
          <w:rPr>
            <w:color w:val="C9433C"/>
            <w:u w:val="single"/>
          </w:rPr>
          <w:t>dbt semantic models</w:t>
        </w:r>
      </w:hyperlink>
    </w:p>
    <w:p>
      <w:pPr>
        <w:spacing w:after="140"/>
      </w:pPr>
      <w:hyperlink r:id="rId16" w:history="1">
        <w:r>
          <w:rPr>
            <w:color w:val="C9433C"/>
            <w:u w:val="single"/>
          </w:rPr>
          <w:t>FalkorDB GraphRAG SDK</w:t>
        </w:r>
      </w:hyperlink>
    </w:p>
    <w:p>
      <w:pPr>
        <w:spacing w:after="140"/>
      </w:pPr>
      <w:hyperlink r:id="rId17" w:history="1">
        <w:r>
          <w:rPr>
            <w:color w:val="C9433C"/>
            <w:u w:val="single"/>
          </w:rPr>
          <w:t>FalkorDB graph algorithms</w:t>
        </w:r>
      </w:hyperlink>
    </w:p>
    <w:p>
      <w:pPr>
        <w:spacing w:after="140"/>
      </w:pPr>
      <w:hyperlink r:id="rId18" w:history="1">
        <w:r>
          <w:rPr>
            <w:color w:val="C9433C"/>
            <w:u w:val="single"/>
          </w:rPr>
          <w:t>FalkorDB Cypher reference</w:t>
        </w:r>
      </w:hyperlink>
    </w:p>
    <w:p>
      <w:pPr>
        <w:spacing w:after="140"/>
      </w:pPr>
      <w:hyperlink r:id="rId19" w:history="1">
        <w:r>
          <w:rPr>
            <w:color w:val="C9433C"/>
            <w:u w:val="single"/>
          </w:rPr>
          <w:t>JSON LD 1.1</w:t>
        </w:r>
      </w:hyperlink>
    </w:p>
    <w:p>
      <w:pPr>
        <w:spacing w:after="140"/>
      </w:pPr>
      <w:hyperlink r:id="rId20" w:history="1">
        <w:r>
          <w:rPr>
            <w:color w:val="C9433C"/>
            <w:u w:val="single"/>
          </w:rPr>
          <w:t>PROV O provenance vocabulary</w:t>
        </w:r>
      </w:hyperlink>
    </w:p>
    <w:p>
      <w:pPr>
        <w:spacing w:after="140"/>
      </w:pPr>
      <w:hyperlink r:id="rId21" w:history="1">
        <w:r>
          <w:rPr>
            <w:color w:val="C9433C"/>
            <w:u w:val="single"/>
          </w:rPr>
          <w:t>MCP Python SDK</w:t>
        </w:r>
      </w:hyperlink>
    </w:p>
    <w:p>
      <w:pPr>
        <w:pStyle w:val="Heading2"/>
      </w:pPr>
      <w:r>
        <w:t>Terms used in this briefing</w:t>
      </w:r>
    </w:p>
    <w:tbl>
      <w:tblPr>
        <w:tblW w:type="auto" w:w="0"/>
        <w:tblLayout w:type="fixed"/>
        <w:tblLook w:firstColumn="1" w:firstRow="1" w:lastColumn="0" w:lastRow="0" w:noHBand="0" w:noVBand="1" w:val="04A0"/>
      </w:tblPr>
      <w:tblGrid>
        <w:gridCol w:w="2304"/>
        <w:gridCol w:w="7690"/>
      </w:tblGrid>
      <w:tr>
        <w:trPr>
          <w:tblHeader/>
          <w:cantSplit/>
        </w:trPr>
        <w:tc>
          <w:tcPr>
            <w:tcW w:type="dxa" w:w="2304"/>
            <w:vAlign w:val="center"/>
            <w:shd w:fill="C9433C"/>
            <w:tcMar>
              <w:top w:w="105" w:type="dxa"/>
              <w:bottom w:w="105" w:type="dxa"/>
              <w:left w:w="105" w:type="dxa"/>
              <w:right w:w="105" w:type="dxa"/>
            </w:tcMar>
          </w:tcPr>
          <w:p>
            <w:pPr>
              <w:spacing w:after="0" w:line="252" w:lineRule="auto"/>
            </w:pPr>
            <w:r>
              <w:rPr>
                <w:b w:val="0"/>
                <w:color w:val="FFFFFF"/>
                <w:sz w:val="20"/>
              </w:rPr>
              <w:t>Term</w:t>
            </w:r>
          </w:p>
        </w:tc>
        <w:tc>
          <w:tcPr>
            <w:tcW w:type="dxa" w:w="7690"/>
            <w:vAlign w:val="center"/>
            <w:shd w:fill="C9433C"/>
            <w:tcMar>
              <w:top w:w="105" w:type="dxa"/>
              <w:bottom w:w="105" w:type="dxa"/>
              <w:left w:w="105" w:type="dxa"/>
              <w:right w:w="105" w:type="dxa"/>
            </w:tcMar>
          </w:tcPr>
          <w:p>
            <w:pPr>
              <w:spacing w:after="0" w:line="252" w:lineRule="auto"/>
            </w:pPr>
            <w:r>
              <w:rPr>
                <w:b w:val="0"/>
                <w:color w:val="FFFFFF"/>
                <w:sz w:val="20"/>
              </w:rPr>
              <w:t>Meaning</w:t>
            </w:r>
          </w:p>
        </w:tc>
      </w:tr>
      <w:tr>
        <w:trPr>
          <w:cantSplit/>
        </w:trPr>
        <w:tc>
          <w:tcPr>
            <w:tcW w:type="dxa" w:w="2304"/>
            <w:vAlign w:val="center"/>
            <w:shd w:fill="FFFFFF"/>
            <w:tcMar>
              <w:top w:w="105" w:type="dxa"/>
              <w:bottom w:w="105" w:type="dxa"/>
              <w:left w:w="105" w:type="dxa"/>
              <w:right w:w="105" w:type="dxa"/>
            </w:tcMar>
          </w:tcPr>
          <w:p>
            <w:pPr>
              <w:spacing w:after="0" w:line="252" w:lineRule="auto"/>
            </w:pPr>
            <w:r>
              <w:rPr>
                <w:sz w:val="20"/>
              </w:rPr>
              <w:t>Context pack</w:t>
            </w:r>
          </w:p>
        </w:tc>
        <w:tc>
          <w:tcPr>
            <w:tcW w:type="dxa" w:w="7690"/>
            <w:vAlign w:val="center"/>
            <w:shd w:fill="FFFFFF"/>
            <w:tcMar>
              <w:top w:w="105" w:type="dxa"/>
              <w:bottom w:w="105" w:type="dxa"/>
              <w:left w:w="105" w:type="dxa"/>
              <w:right w:w="105" w:type="dxa"/>
            </w:tcMar>
          </w:tcPr>
          <w:p>
            <w:pPr>
              <w:spacing w:after="0" w:line="252" w:lineRule="auto"/>
            </w:pPr>
            <w:r>
              <w:rPr>
                <w:sz w:val="20"/>
              </w:rPr>
              <w:t>A reviewed, versioned set of meanings, source bindings and procedures for agent use.</w:t>
            </w:r>
          </w:p>
        </w:tc>
      </w:tr>
      <w:tr>
        <w:trPr>
          <w:cantSplit/>
        </w:trPr>
        <w:tc>
          <w:tcPr>
            <w:tcW w:type="dxa" w:w="2304"/>
            <w:vAlign w:val="center"/>
            <w:shd w:fill="F4F2EE"/>
            <w:tcMar>
              <w:top w:w="105" w:type="dxa"/>
              <w:bottom w:w="105" w:type="dxa"/>
              <w:left w:w="105" w:type="dxa"/>
              <w:right w:w="105" w:type="dxa"/>
            </w:tcMar>
          </w:tcPr>
          <w:p>
            <w:pPr>
              <w:spacing w:after="0" w:line="252" w:lineRule="auto"/>
            </w:pPr>
            <w:r>
              <w:rPr>
                <w:sz w:val="20"/>
              </w:rPr>
              <w:t>Context receipt</w:t>
            </w:r>
          </w:p>
        </w:tc>
        <w:tc>
          <w:tcPr>
            <w:tcW w:type="dxa" w:w="7690"/>
            <w:vAlign w:val="center"/>
            <w:shd w:fill="F4F2EE"/>
            <w:tcMar>
              <w:top w:w="105" w:type="dxa"/>
              <w:bottom w:w="105" w:type="dxa"/>
              <w:left w:w="105" w:type="dxa"/>
              <w:right w:w="105" w:type="dxa"/>
            </w:tcMar>
          </w:tcPr>
          <w:p>
            <w:pPr>
              <w:spacing w:after="0" w:line="252" w:lineRule="auto"/>
            </w:pPr>
            <w:r>
              <w:rPr>
                <w:sz w:val="20"/>
              </w:rPr>
              <w:t>A retained package and the exact versions and selection reasons used for a task.</w:t>
            </w:r>
          </w:p>
        </w:tc>
      </w:tr>
      <w:tr>
        <w:trPr>
          <w:cantSplit/>
        </w:trPr>
        <w:tc>
          <w:tcPr>
            <w:tcW w:type="dxa" w:w="2304"/>
            <w:vAlign w:val="center"/>
            <w:shd w:fill="FFFFFF"/>
            <w:tcMar>
              <w:top w:w="105" w:type="dxa"/>
              <w:bottom w:w="105" w:type="dxa"/>
              <w:left w:w="105" w:type="dxa"/>
              <w:right w:w="105" w:type="dxa"/>
            </w:tcMar>
          </w:tcPr>
          <w:p>
            <w:pPr>
              <w:spacing w:after="0" w:line="252" w:lineRule="auto"/>
            </w:pPr>
            <w:r>
              <w:rPr>
                <w:sz w:val="20"/>
              </w:rPr>
              <w:t>Reauthoring</w:t>
            </w:r>
          </w:p>
        </w:tc>
        <w:tc>
          <w:tcPr>
            <w:tcW w:type="dxa" w:w="7690"/>
            <w:vAlign w:val="center"/>
            <w:shd w:fill="FFFFFF"/>
            <w:tcMar>
              <w:top w:w="105" w:type="dxa"/>
              <w:bottom w:w="105" w:type="dxa"/>
              <w:left w:w="105" w:type="dxa"/>
              <w:right w:w="105" w:type="dxa"/>
            </w:tcMar>
          </w:tcPr>
          <w:p>
            <w:pPr>
              <w:spacing w:after="0" w:line="252" w:lineRule="auto"/>
            </w:pPr>
            <w:r>
              <w:rPr>
                <w:sz w:val="20"/>
              </w:rPr>
              <w:t>Reviewed revision of maintained knowledge or bindings, preserving source ownership and history.</w:t>
            </w:r>
          </w:p>
        </w:tc>
      </w:tr>
      <w:tr>
        <w:trPr>
          <w:cantSplit/>
        </w:trPr>
        <w:tc>
          <w:tcPr>
            <w:tcW w:type="dxa" w:w="2304"/>
            <w:vAlign w:val="center"/>
            <w:shd w:fill="F4F2EE"/>
            <w:tcMar>
              <w:top w:w="105" w:type="dxa"/>
              <w:bottom w:w="105" w:type="dxa"/>
              <w:left w:w="105" w:type="dxa"/>
              <w:right w:w="105" w:type="dxa"/>
            </w:tcMar>
          </w:tcPr>
          <w:p>
            <w:pPr>
              <w:spacing w:after="0" w:line="252" w:lineRule="auto"/>
            </w:pPr>
            <w:r>
              <w:rPr>
                <w:sz w:val="20"/>
              </w:rPr>
              <w:t>Ontology module</w:t>
            </w:r>
          </w:p>
        </w:tc>
        <w:tc>
          <w:tcPr>
            <w:tcW w:type="dxa" w:w="7690"/>
            <w:vAlign w:val="center"/>
            <w:shd w:fill="F4F2EE"/>
            <w:tcMar>
              <w:top w:w="105" w:type="dxa"/>
              <w:bottom w:w="105" w:type="dxa"/>
              <w:left w:w="105" w:type="dxa"/>
              <w:right w:w="105" w:type="dxa"/>
            </w:tcMar>
          </w:tcPr>
          <w:p>
            <w:pPr>
              <w:spacing w:after="0" w:line="252" w:lineRule="auto"/>
            </w:pPr>
            <w:r>
              <w:rPr>
                <w:sz w:val="20"/>
              </w:rPr>
              <w:t>A versioned declaration of allowed types, properties, relationships and identity rules.</w:t>
            </w:r>
          </w:p>
        </w:tc>
      </w:tr>
      <w:tr>
        <w:trPr>
          <w:cantSplit/>
        </w:trPr>
        <w:tc>
          <w:tcPr>
            <w:tcW w:type="dxa" w:w="2304"/>
            <w:vAlign w:val="center"/>
            <w:shd w:fill="FFFFFF"/>
            <w:tcMar>
              <w:top w:w="105" w:type="dxa"/>
              <w:bottom w:w="105" w:type="dxa"/>
              <w:left w:w="105" w:type="dxa"/>
              <w:right w:w="105" w:type="dxa"/>
            </w:tcMar>
          </w:tcPr>
          <w:p>
            <w:pPr>
              <w:spacing w:after="0" w:line="252" w:lineRule="auto"/>
            </w:pPr>
            <w:r>
              <w:rPr>
                <w:sz w:val="20"/>
              </w:rPr>
              <w:t>Source assertion</w:t>
            </w:r>
          </w:p>
        </w:tc>
        <w:tc>
          <w:tcPr>
            <w:tcW w:type="dxa" w:w="7690"/>
            <w:vAlign w:val="center"/>
            <w:shd w:fill="FFFFFF"/>
            <w:tcMar>
              <w:top w:w="105" w:type="dxa"/>
              <w:bottom w:w="105" w:type="dxa"/>
              <w:left w:w="105" w:type="dxa"/>
              <w:right w:w="105" w:type="dxa"/>
            </w:tcMar>
          </w:tcPr>
          <w:p>
            <w:pPr>
              <w:spacing w:after="0" w:line="252" w:lineRule="auto"/>
            </w:pPr>
            <w:r>
              <w:rPr>
                <w:sz w:val="20"/>
              </w:rPr>
              <w:t>An attributed statement made by a record, document or person.</w:t>
            </w:r>
          </w:p>
        </w:tc>
      </w:tr>
      <w:tr>
        <w:trPr>
          <w:cantSplit/>
        </w:trPr>
        <w:tc>
          <w:tcPr>
            <w:tcW w:type="dxa" w:w="2304"/>
            <w:vAlign w:val="center"/>
            <w:shd w:fill="F4F2EE"/>
            <w:tcMar>
              <w:top w:w="105" w:type="dxa"/>
              <w:bottom w:w="105" w:type="dxa"/>
              <w:left w:w="105" w:type="dxa"/>
              <w:right w:w="105" w:type="dxa"/>
            </w:tcMar>
          </w:tcPr>
          <w:p>
            <w:pPr>
              <w:spacing w:after="0" w:line="252" w:lineRule="auto"/>
            </w:pPr>
            <w:r>
              <w:rPr>
                <w:sz w:val="20"/>
              </w:rPr>
              <w:t>Handoff</w:t>
            </w:r>
          </w:p>
        </w:tc>
        <w:tc>
          <w:tcPr>
            <w:tcW w:type="dxa" w:w="7690"/>
            <w:vAlign w:val="center"/>
            <w:shd w:fill="F4F2EE"/>
            <w:tcMar>
              <w:top w:w="105" w:type="dxa"/>
              <w:bottom w:w="105" w:type="dxa"/>
              <w:left w:w="105" w:type="dxa"/>
              <w:right w:w="105" w:type="dxa"/>
            </w:tcMar>
          </w:tcPr>
          <w:p>
            <w:pPr>
              <w:spacing w:after="0" w:line="252" w:lineRule="auto"/>
            </w:pPr>
            <w:r>
              <w:rPr>
                <w:sz w:val="20"/>
              </w:rPr>
              <w:t>A transfer of task responsibility with its receipt, constraints and unresolved questions.</w:t>
            </w:r>
          </w:p>
        </w:tc>
      </w:tr>
    </w:tbl>
    <w:p>
      <w:pPr>
        <w:spacing w:after="20"/>
      </w:pPr>
    </w:p>
    <w:sectPr w:rsidR="00FC693F" w:rsidRPr="0006063C" w:rsidSect="00034616">
      <w:headerReference w:type="default" r:id="rId9"/>
      <w:footerReference w:type="default" r:id="rId10"/>
      <w:pgSz w:w="12240" w:h="15840"/>
      <w:pgMar w:top="979"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12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86560"/>
        <w:sz w:val="16"/>
      </w:rPr>
      <w:t>Unified Context Graph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color w:val="2525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Arial" w:hAnsi="Arial"/>
      <w:b w:val="0"/>
      <w:bCs/>
      <w:color w:val="C9433C"/>
      <w:sz w:val="36"/>
      <w:szCs w:val="28"/>
    </w:rPr>
  </w:style>
  <w:style w:type="paragraph" w:styleId="Heading2">
    <w:name w:val="heading 2"/>
    <w:basedOn w:val="Normal"/>
    <w:next w:val="Normal"/>
    <w:link w:val="Heading2Char"/>
    <w:uiPriority w:val="9"/>
    <w:unhideWhenUsed/>
    <w:qFormat/>
    <w:rsid w:val="00FC693F"/>
    <w:pPr>
      <w:keepNext/>
      <w:keepLines/>
      <w:widowControl/>
      <w:spacing w:before="220" w:after="140"/>
      <w:outlineLvl w:val="1"/>
    </w:pPr>
    <w:rPr>
      <w:rFonts w:asciiTheme="majorHAnsi" w:eastAsiaTheme="majorEastAsia" w:hAnsiTheme="majorHAnsi" w:cstheme="majorBidi" w:ascii="Arial" w:hAnsi="Arial"/>
      <w:b w:val="0"/>
      <w:bCs/>
      <w:color w:val="C943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contextualSpacing/>
    </w:pPr>
    <w:rPr>
      <w:rFonts w:asciiTheme="majorHAnsi" w:eastAsiaTheme="majorEastAsia" w:hAnsiTheme="majorHAnsi" w:cstheme="majorBidi" w:ascii="Arial" w:hAnsi="Arial"/>
      <w:b w:val="0"/>
      <w:color w:val="25252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Arial" w:hAnsi="Arial"/>
      <w:i/>
      <w:iCs/>
      <w:color w:val="68656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GoogleCloudPlatform/open-knowledge-format/blob/main/SPEC.md" TargetMode="External"/><Relationship Id="rId13" Type="http://schemas.openxmlformats.org/officeDocument/2006/relationships/hyperlink" Target="https://datapackage.org/standard/data-package/" TargetMode="External"/><Relationship Id="rId14" Type="http://schemas.openxmlformats.org/officeDocument/2006/relationships/hyperlink" Target="https://datapackage.org/standard/table-schema/" TargetMode="External"/><Relationship Id="rId15" Type="http://schemas.openxmlformats.org/officeDocument/2006/relationships/hyperlink" Target="https://docs.getdbt.com/docs/build/semantic-models" TargetMode="External"/><Relationship Id="rId16" Type="http://schemas.openxmlformats.org/officeDocument/2006/relationships/hyperlink" Target="https://github.com/FalkorDB/GraphRAG-SDK" TargetMode="External"/><Relationship Id="rId17" Type="http://schemas.openxmlformats.org/officeDocument/2006/relationships/hyperlink" Target="https://docs.falkordb.com/algorithms/" TargetMode="External"/><Relationship Id="rId18" Type="http://schemas.openxmlformats.org/officeDocument/2006/relationships/hyperlink" Target="https://docs.falkordb.com/cypher/" TargetMode="External"/><Relationship Id="rId19" Type="http://schemas.openxmlformats.org/officeDocument/2006/relationships/hyperlink" Target="https://www.w3.org/TR/json-ld11/" TargetMode="External"/><Relationship Id="rId20" Type="http://schemas.openxmlformats.org/officeDocument/2006/relationships/hyperlink" Target="https://www.w3.org/TR/prov-o/" TargetMode="External"/><Relationship Id="rId21" Type="http://schemas.openxmlformats.org/officeDocument/2006/relationships/hyperlink" Target="https://github.com/modelcontextprotocol/python-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Context Graph Platform Executive Briefing</dc:title>
  <dc:subject>Platform proposal, customer features, architecture and business benefits</dc:subject>
  <dc:creator/>
  <cp:keywords>context, semantic graph, AI agents, governance, memory</cp:keywords>
  <dc:description/>
  <cp:lastModifiedBy/>
  <cp:revision>1</cp:revision>
  <dcterms:created xsi:type="dcterms:W3CDTF">2013-12-23T23:15:00Z</dcterms:created>
  <dcterms:modified xsi:type="dcterms:W3CDTF">2013-12-23T23:15:00Z</dcterms:modified>
  <cp:category/>
</cp:coreProperties>
</file>