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Medistore Testing Deployment Plan</w:t>
      </w:r>
    </w:p>
    <w:p>
      <w:pPr>
        <w:spacing w:after="300"/>
      </w:pPr>
      <w:r>
        <w:rPr>
          <w:i/>
          <w:color w:val="5C6670"/>
          <w:sz w:val="23"/>
        </w:rPr>
        <w:t>Hostinger Cloud application hosting with Railway data services</w:t>
      </w:r>
    </w:p>
    <w:p>
      <w:pPr>
        <w:keepLines/>
      </w:pPr>
      <w:r>
        <w:t>For testing, deploy the Next.js storefront and Medusa backend as separate Node.js applications on Hostinger Cloud. Provision PostgreSQL and Redis in one Railway project, then connect the Hostinger backend through Railway public TCP endpoints. Cloudflare is optional for DNS and proxying; it is not the database provider in this plan.</w:t>
      </w:r>
    </w:p>
    <w:p>
      <w:pPr>
        <w:keepLines/>
      </w:pPr>
      <w:r>
        <w:t>This plan gives the setup order, production environment variables, repository changes, and checks required to move the current local application to the testing environment.</w:t>
      </w:r>
    </w:p>
    <w:p>
      <w:pPr>
        <w:pStyle w:val="Heading1"/>
        <w:keepNext/>
        <w:keepLines/>
      </w:pPr>
      <w:r>
        <w:t>Architecture</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1800"/>
            <w:shd w:fill="17324D"/>
            <w:tcMar>
              <w:top w:w="110" w:type="dxa"/>
              <w:start w:w="120" w:type="dxa"/>
              <w:bottom w:w="110" w:type="dxa"/>
              <w:end w:w="120" w:type="dxa"/>
            </w:tcMar>
            <w:vAlign w:val="center"/>
          </w:tcPr>
          <w:p>
            <w:pPr>
              <w:spacing w:after="0" w:line="252" w:lineRule="auto"/>
            </w:pPr>
            <w:r>
              <w:rPr>
                <w:b/>
                <w:color w:val="FFFFFF"/>
                <w:sz w:val="18"/>
              </w:rPr>
              <w:t>Service</w:t>
            </w:r>
          </w:p>
        </w:tc>
        <w:tc>
          <w:tcPr>
            <w:tcW w:type="dxa" w:w="1800"/>
            <w:shd w:fill="17324D"/>
            <w:tcMar>
              <w:top w:w="110" w:type="dxa"/>
              <w:start w:w="120" w:type="dxa"/>
              <w:bottom w:w="110" w:type="dxa"/>
              <w:end w:w="120" w:type="dxa"/>
            </w:tcMar>
            <w:vAlign w:val="center"/>
          </w:tcPr>
          <w:p>
            <w:pPr>
              <w:spacing w:after="0" w:line="252" w:lineRule="auto"/>
            </w:pPr>
            <w:r>
              <w:rPr>
                <w:b/>
                <w:color w:val="FFFFFF"/>
                <w:sz w:val="18"/>
              </w:rPr>
              <w:t>Platform</w:t>
            </w:r>
          </w:p>
        </w:tc>
        <w:tc>
          <w:tcPr>
            <w:tcW w:type="dxa" w:w="2664"/>
            <w:shd w:fill="17324D"/>
            <w:tcMar>
              <w:top w:w="110" w:type="dxa"/>
              <w:start w:w="120" w:type="dxa"/>
              <w:bottom w:w="110" w:type="dxa"/>
              <w:end w:w="120" w:type="dxa"/>
            </w:tcMar>
            <w:vAlign w:val="center"/>
          </w:tcPr>
          <w:p>
            <w:pPr>
              <w:spacing w:after="0" w:line="252" w:lineRule="auto"/>
            </w:pPr>
            <w:r>
              <w:rPr>
                <w:b/>
                <w:color w:val="FFFFFF"/>
                <w:sz w:val="18"/>
              </w:rPr>
              <w:t>Public address</w:t>
            </w:r>
          </w:p>
        </w:tc>
        <w:tc>
          <w:tcPr>
            <w:tcW w:type="dxa" w:w="3311"/>
            <w:shd w:fill="17324D"/>
            <w:tcMar>
              <w:top w:w="110" w:type="dxa"/>
              <w:start w:w="120" w:type="dxa"/>
              <w:bottom w:w="110" w:type="dxa"/>
              <w:end w:w="120" w:type="dxa"/>
            </w:tcMar>
            <w:vAlign w:val="center"/>
          </w:tcPr>
          <w:p>
            <w:pPr>
              <w:spacing w:after="0" w:line="252" w:lineRule="auto"/>
            </w:pPr>
            <w:r>
              <w:rPr>
                <w:b/>
                <w:color w:val="FFFFFF"/>
                <w:sz w:val="18"/>
              </w:rPr>
              <w:t>Purpose</w:t>
            </w:r>
          </w:p>
        </w:tc>
      </w:tr>
      <w:tr>
        <w:tc>
          <w:tcPr>
            <w:tcW w:type="dxa" w:w="1800"/>
            <w:tcMar>
              <w:top w:w="110" w:type="dxa"/>
              <w:start w:w="120" w:type="dxa"/>
              <w:bottom w:w="110" w:type="dxa"/>
              <w:end w:w="120" w:type="dxa"/>
            </w:tcMar>
            <w:vAlign w:val="center"/>
          </w:tcPr>
          <w:p>
            <w:pPr>
              <w:spacing w:after="0" w:line="259" w:lineRule="auto"/>
            </w:pPr>
            <w:r>
              <w:rPr>
                <w:color w:val="1F2937"/>
                <w:sz w:val="18"/>
              </w:rPr>
              <w:t>Storefront</w:t>
            </w:r>
          </w:p>
        </w:tc>
        <w:tc>
          <w:tcPr>
            <w:tcW w:type="dxa" w:w="1800"/>
            <w:tcMar>
              <w:top w:w="110" w:type="dxa"/>
              <w:start w:w="120" w:type="dxa"/>
              <w:bottom w:w="110" w:type="dxa"/>
              <w:end w:w="120" w:type="dxa"/>
            </w:tcMar>
            <w:vAlign w:val="center"/>
          </w:tcPr>
          <w:p>
            <w:pPr>
              <w:spacing w:after="0" w:line="259" w:lineRule="auto"/>
            </w:pPr>
            <w:r>
              <w:rPr>
                <w:color w:val="1F2937"/>
                <w:sz w:val="18"/>
              </w:rPr>
              <w:t>Hostinger Cloud</w:t>
            </w:r>
          </w:p>
        </w:tc>
        <w:tc>
          <w:tcPr>
            <w:tcW w:type="dxa" w:w="2664"/>
            <w:tcMar>
              <w:top w:w="110" w:type="dxa"/>
              <w:start w:w="120" w:type="dxa"/>
              <w:bottom w:w="110" w:type="dxa"/>
              <w:end w:w="120" w:type="dxa"/>
            </w:tcMar>
            <w:vAlign w:val="center"/>
          </w:tcPr>
          <w:p>
            <w:pPr>
              <w:spacing w:after="0" w:line="259" w:lineRule="auto"/>
            </w:pPr>
            <w:r>
              <w:rPr>
                <w:color w:val="1F2937"/>
                <w:sz w:val="18"/>
              </w:rPr>
              <w:t>store.yourdomain.com</w:t>
            </w:r>
          </w:p>
        </w:tc>
        <w:tc>
          <w:tcPr>
            <w:tcW w:type="dxa" w:w="3311"/>
            <w:tcMar>
              <w:top w:w="110" w:type="dxa"/>
              <w:start w:w="120" w:type="dxa"/>
              <w:bottom w:w="110" w:type="dxa"/>
              <w:end w:w="120" w:type="dxa"/>
            </w:tcMar>
            <w:vAlign w:val="center"/>
          </w:tcPr>
          <w:p>
            <w:pPr>
              <w:spacing w:after="0" w:line="259" w:lineRule="auto"/>
            </w:pPr>
            <w:r>
              <w:rPr>
                <w:color w:val="1F2937"/>
                <w:sz w:val="18"/>
              </w:rPr>
              <w:t>Next.js customer website</w:t>
            </w:r>
          </w:p>
        </w:tc>
      </w:tr>
      <w:tr>
        <w:tc>
          <w:tcPr>
            <w:tcW w:type="dxa" w:w="1800"/>
            <w:tcMar>
              <w:top w:w="110" w:type="dxa"/>
              <w:start w:w="120" w:type="dxa"/>
              <w:bottom w:w="110" w:type="dxa"/>
              <w:end w:w="120" w:type="dxa"/>
            </w:tcMar>
            <w:vAlign w:val="center"/>
            <w:shd w:fill="EEF4F8"/>
          </w:tcPr>
          <w:p>
            <w:pPr>
              <w:spacing w:after="0" w:line="259" w:lineRule="auto"/>
            </w:pPr>
            <w:r>
              <w:rPr>
                <w:color w:val="1F2937"/>
                <w:sz w:val="18"/>
              </w:rPr>
              <w:t>Backend and admin</w:t>
            </w:r>
          </w:p>
        </w:tc>
        <w:tc>
          <w:tcPr>
            <w:tcW w:type="dxa" w:w="1800"/>
            <w:tcMar>
              <w:top w:w="110" w:type="dxa"/>
              <w:start w:w="120" w:type="dxa"/>
              <w:bottom w:w="110" w:type="dxa"/>
              <w:end w:w="120" w:type="dxa"/>
            </w:tcMar>
            <w:vAlign w:val="center"/>
            <w:shd w:fill="EEF4F8"/>
          </w:tcPr>
          <w:p>
            <w:pPr>
              <w:spacing w:after="0" w:line="259" w:lineRule="auto"/>
            </w:pPr>
            <w:r>
              <w:rPr>
                <w:color w:val="1F2937"/>
                <w:sz w:val="18"/>
              </w:rPr>
              <w:t>Hostinger Cloud</w:t>
            </w:r>
          </w:p>
        </w:tc>
        <w:tc>
          <w:tcPr>
            <w:tcW w:type="dxa" w:w="2664"/>
            <w:tcMar>
              <w:top w:w="110" w:type="dxa"/>
              <w:start w:w="120" w:type="dxa"/>
              <w:bottom w:w="110" w:type="dxa"/>
              <w:end w:w="120" w:type="dxa"/>
            </w:tcMar>
            <w:vAlign w:val="center"/>
            <w:shd w:fill="EEF4F8"/>
          </w:tcPr>
          <w:p>
            <w:pPr>
              <w:spacing w:after="0" w:line="259" w:lineRule="auto"/>
            </w:pPr>
            <w:r>
              <w:rPr>
                <w:color w:val="1F2937"/>
                <w:sz w:val="18"/>
              </w:rPr>
              <w:t>api.yourdomain.com</w:t>
            </w:r>
          </w:p>
        </w:tc>
        <w:tc>
          <w:tcPr>
            <w:tcW w:type="dxa" w:w="3311"/>
            <w:tcMar>
              <w:top w:w="110" w:type="dxa"/>
              <w:start w:w="120" w:type="dxa"/>
              <w:bottom w:w="110" w:type="dxa"/>
              <w:end w:w="120" w:type="dxa"/>
            </w:tcMar>
            <w:vAlign w:val="center"/>
            <w:shd w:fill="EEF4F8"/>
          </w:tcPr>
          <w:p>
            <w:pPr>
              <w:spacing w:after="0" w:line="259" w:lineRule="auto"/>
            </w:pPr>
            <w:r>
              <w:rPr>
                <w:color w:val="1F2937"/>
                <w:sz w:val="18"/>
              </w:rPr>
              <w:t>Medusa API and admin at /app</w:t>
            </w:r>
          </w:p>
        </w:tc>
      </w:tr>
      <w:tr>
        <w:tc>
          <w:tcPr>
            <w:tcW w:type="dxa" w:w="1800"/>
            <w:tcMar>
              <w:top w:w="110" w:type="dxa"/>
              <w:start w:w="120" w:type="dxa"/>
              <w:bottom w:w="110" w:type="dxa"/>
              <w:end w:w="120" w:type="dxa"/>
            </w:tcMar>
            <w:vAlign w:val="center"/>
          </w:tcPr>
          <w:p>
            <w:pPr>
              <w:spacing w:after="0" w:line="259" w:lineRule="auto"/>
            </w:pPr>
            <w:r>
              <w:rPr>
                <w:color w:val="1F2937"/>
                <w:sz w:val="18"/>
              </w:rPr>
              <w:t>PostgreSQL</w:t>
            </w:r>
          </w:p>
        </w:tc>
        <w:tc>
          <w:tcPr>
            <w:tcW w:type="dxa" w:w="1800"/>
            <w:tcMar>
              <w:top w:w="110" w:type="dxa"/>
              <w:start w:w="120" w:type="dxa"/>
              <w:bottom w:w="110" w:type="dxa"/>
              <w:end w:w="120" w:type="dxa"/>
            </w:tcMar>
            <w:vAlign w:val="center"/>
          </w:tcPr>
          <w:p>
            <w:pPr>
              <w:spacing w:after="0" w:line="259" w:lineRule="auto"/>
            </w:pPr>
            <w:r>
              <w:rPr>
                <w:color w:val="1F2937"/>
                <w:sz w:val="18"/>
              </w:rPr>
              <w:t>Railway</w:t>
            </w:r>
          </w:p>
        </w:tc>
        <w:tc>
          <w:tcPr>
            <w:tcW w:type="dxa" w:w="2664"/>
            <w:tcMar>
              <w:top w:w="110" w:type="dxa"/>
              <w:start w:w="120" w:type="dxa"/>
              <w:bottom w:w="110" w:type="dxa"/>
              <w:end w:w="120" w:type="dxa"/>
            </w:tcMar>
            <w:vAlign w:val="center"/>
          </w:tcPr>
          <w:p>
            <w:pPr>
              <w:spacing w:after="0" w:line="259" w:lineRule="auto"/>
            </w:pPr>
            <w:r>
              <w:rPr>
                <w:color w:val="1F2937"/>
                <w:sz w:val="18"/>
              </w:rPr>
              <w:t>Public TCP endpoint</w:t>
            </w:r>
          </w:p>
        </w:tc>
        <w:tc>
          <w:tcPr>
            <w:tcW w:type="dxa" w:w="3311"/>
            <w:tcMar>
              <w:top w:w="110" w:type="dxa"/>
              <w:start w:w="120" w:type="dxa"/>
              <w:bottom w:w="110" w:type="dxa"/>
              <w:end w:w="120" w:type="dxa"/>
            </w:tcMar>
            <w:vAlign w:val="center"/>
          </w:tcPr>
          <w:p>
            <w:pPr>
              <w:spacing w:after="0" w:line="259" w:lineRule="auto"/>
            </w:pPr>
            <w:r>
              <w:rPr>
                <w:color w:val="1F2937"/>
                <w:sz w:val="18"/>
              </w:rPr>
              <w:t>Products, users, orders, and application data</w:t>
            </w:r>
          </w:p>
        </w:tc>
      </w:tr>
      <w:tr>
        <w:tc>
          <w:tcPr>
            <w:tcW w:type="dxa" w:w="1800"/>
            <w:tcMar>
              <w:top w:w="110" w:type="dxa"/>
              <w:start w:w="120" w:type="dxa"/>
              <w:bottom w:w="110" w:type="dxa"/>
              <w:end w:w="120" w:type="dxa"/>
            </w:tcMar>
            <w:vAlign w:val="center"/>
            <w:shd w:fill="EEF4F8"/>
          </w:tcPr>
          <w:p>
            <w:pPr>
              <w:spacing w:after="0" w:line="259" w:lineRule="auto"/>
            </w:pPr>
            <w:r>
              <w:rPr>
                <w:color w:val="1F2937"/>
                <w:sz w:val="18"/>
              </w:rPr>
              <w:t>Redis</w:t>
            </w:r>
          </w:p>
        </w:tc>
        <w:tc>
          <w:tcPr>
            <w:tcW w:type="dxa" w:w="1800"/>
            <w:tcMar>
              <w:top w:w="110" w:type="dxa"/>
              <w:start w:w="120" w:type="dxa"/>
              <w:bottom w:w="110" w:type="dxa"/>
              <w:end w:w="120" w:type="dxa"/>
            </w:tcMar>
            <w:vAlign w:val="center"/>
            <w:shd w:fill="EEF4F8"/>
          </w:tcPr>
          <w:p>
            <w:pPr>
              <w:spacing w:after="0" w:line="259" w:lineRule="auto"/>
            </w:pPr>
            <w:r>
              <w:rPr>
                <w:color w:val="1F2937"/>
                <w:sz w:val="18"/>
              </w:rPr>
              <w:t>Railway</w:t>
            </w:r>
          </w:p>
        </w:tc>
        <w:tc>
          <w:tcPr>
            <w:tcW w:type="dxa" w:w="2664"/>
            <w:tcMar>
              <w:top w:w="110" w:type="dxa"/>
              <w:start w:w="120" w:type="dxa"/>
              <w:bottom w:w="110" w:type="dxa"/>
              <w:end w:w="120" w:type="dxa"/>
            </w:tcMar>
            <w:vAlign w:val="center"/>
            <w:shd w:fill="EEF4F8"/>
          </w:tcPr>
          <w:p>
            <w:pPr>
              <w:spacing w:after="0" w:line="259" w:lineRule="auto"/>
            </w:pPr>
            <w:r>
              <w:rPr>
                <w:color w:val="1F2937"/>
                <w:sz w:val="18"/>
              </w:rPr>
              <w:t>Public TCP endpoint</w:t>
            </w:r>
          </w:p>
        </w:tc>
        <w:tc>
          <w:tcPr>
            <w:tcW w:type="dxa" w:w="3311"/>
            <w:tcMar>
              <w:top w:w="110" w:type="dxa"/>
              <w:start w:w="120" w:type="dxa"/>
              <w:bottom w:w="110" w:type="dxa"/>
              <w:end w:w="120" w:type="dxa"/>
            </w:tcMar>
            <w:vAlign w:val="center"/>
            <w:shd w:fill="EEF4F8"/>
          </w:tcPr>
          <w:p>
            <w:pPr>
              <w:spacing w:after="0" w:line="259" w:lineRule="auto"/>
            </w:pPr>
            <w:r>
              <w:rPr>
                <w:color w:val="1F2937"/>
                <w:sz w:val="18"/>
              </w:rPr>
              <w:t>Events, workflows, locks, and caching</w:t>
            </w:r>
          </w:p>
        </w:tc>
      </w:tr>
      <w:tr>
        <w:tc>
          <w:tcPr>
            <w:tcW w:type="dxa" w:w="1800"/>
            <w:tcMar>
              <w:top w:w="110" w:type="dxa"/>
              <w:start w:w="120" w:type="dxa"/>
              <w:bottom w:w="110" w:type="dxa"/>
              <w:end w:w="120" w:type="dxa"/>
            </w:tcMar>
            <w:vAlign w:val="center"/>
          </w:tcPr>
          <w:p>
            <w:pPr>
              <w:spacing w:after="0" w:line="259" w:lineRule="auto"/>
            </w:pPr>
            <w:r>
              <w:rPr>
                <w:color w:val="1F2937"/>
                <w:sz w:val="18"/>
              </w:rPr>
              <w:t>DNS and CDN</w:t>
            </w:r>
          </w:p>
        </w:tc>
        <w:tc>
          <w:tcPr>
            <w:tcW w:type="dxa" w:w="1800"/>
            <w:tcMar>
              <w:top w:w="110" w:type="dxa"/>
              <w:start w:w="120" w:type="dxa"/>
              <w:bottom w:w="110" w:type="dxa"/>
              <w:end w:w="120" w:type="dxa"/>
            </w:tcMar>
            <w:vAlign w:val="center"/>
          </w:tcPr>
          <w:p>
            <w:pPr>
              <w:spacing w:after="0" w:line="259" w:lineRule="auto"/>
            </w:pPr>
            <w:r>
              <w:rPr>
                <w:color w:val="1F2937"/>
                <w:sz w:val="18"/>
              </w:rPr>
              <w:t>Cloudflare optional</w:t>
            </w:r>
          </w:p>
        </w:tc>
        <w:tc>
          <w:tcPr>
            <w:tcW w:type="dxa" w:w="2664"/>
            <w:tcMar>
              <w:top w:w="110" w:type="dxa"/>
              <w:start w:w="120" w:type="dxa"/>
              <w:bottom w:w="110" w:type="dxa"/>
              <w:end w:w="120" w:type="dxa"/>
            </w:tcMar>
            <w:vAlign w:val="center"/>
          </w:tcPr>
          <w:p>
            <w:pPr>
              <w:spacing w:after="0" w:line="259" w:lineRule="auto"/>
            </w:pPr>
            <w:r>
              <w:rPr>
                <w:color w:val="1F2937"/>
                <w:sz w:val="18"/>
              </w:rPr>
              <w:t>Your domain zones</w:t>
            </w:r>
          </w:p>
        </w:tc>
        <w:tc>
          <w:tcPr>
            <w:tcW w:type="dxa" w:w="3311"/>
            <w:tcMar>
              <w:top w:w="110" w:type="dxa"/>
              <w:start w:w="120" w:type="dxa"/>
              <w:bottom w:w="110" w:type="dxa"/>
              <w:end w:w="120" w:type="dxa"/>
            </w:tcMar>
            <w:vAlign w:val="center"/>
          </w:tcPr>
          <w:p>
            <w:pPr>
              <w:spacing w:after="0" w:line="259" w:lineRule="auto"/>
            </w:pPr>
            <w:r>
              <w:rPr>
                <w:color w:val="1F2937"/>
                <w:sz w:val="18"/>
              </w:rPr>
              <w:t>DNS, TLS proxying, and edge caching</w:t>
            </w:r>
          </w:p>
        </w:tc>
      </w:tr>
    </w:tbl>
    <w:p>
      <w:pPr>
        <w:spacing w:after="20"/>
      </w:pPr>
    </w:p>
    <w:p>
      <w:pPr>
        <w:keepLines/>
      </w:pPr>
      <w:r>
        <w:rPr>
          <w:b/>
        </w:rPr>
        <w:t xml:space="preserve">Only the backend connects to PostgreSQL and Redis. </w:t>
      </w:r>
      <w:r>
        <w:t>The browser calls the Medusa API over HTTPS and must never receive database credentials.</w:t>
      </w:r>
    </w:p>
    <w:p>
      <w:pPr>
        <w:pStyle w:val="Heading1"/>
        <w:keepNext/>
        <w:keepLines/>
      </w:pPr>
      <w:r>
        <w:t>Account and domain requirements</w:t>
      </w:r>
    </w:p>
    <w:p>
      <w:pPr>
        <w:pStyle w:val="ListBullet"/>
        <w:keepLines/>
      </w:pPr>
      <w:r>
        <w:t>One Hostinger Cloud plan that supports two Node.js applications and custom domains.</w:t>
      </w:r>
    </w:p>
    <w:p>
      <w:pPr>
        <w:pStyle w:val="ListBullet"/>
        <w:keepLines/>
      </w:pPr>
      <w:r>
        <w:t>One Railway project containing PostgreSQL and Redis services.</w:t>
      </w:r>
    </w:p>
    <w:p>
      <w:pPr>
        <w:pStyle w:val="ListBullet"/>
        <w:keepLines/>
      </w:pPr>
      <w:r>
        <w:t>A domain with DNS control. Cloudflare may manage DNS, but Hostinger DNS also works.</w:t>
      </w:r>
    </w:p>
    <w:p>
      <w:pPr>
        <w:pStyle w:val="ListBullet"/>
        <w:keepLines/>
      </w:pPr>
      <w:r>
        <w:t>Fresh production secrets and a new admin account. Do not reuse local testing credentials.</w:t>
      </w:r>
    </w:p>
    <w:p>
      <w:r>
        <w:br w:type="page"/>
      </w:r>
    </w:p>
    <w:p>
      <w:pPr>
        <w:pStyle w:val="Heading1"/>
        <w:keepNext/>
        <w:keepLines/>
      </w:pPr>
      <w:r>
        <w:t>Railway setup</w:t>
      </w:r>
    </w:p>
    <w:p>
      <w:pPr>
        <w:pStyle w:val="ListNumber"/>
        <w:keepLines/>
      </w:pPr>
      <w:r>
        <w:t>Create one Railway project for the testing environment.</w:t>
      </w:r>
    </w:p>
    <w:p>
      <w:pPr>
        <w:pStyle w:val="ListNumber"/>
        <w:keepLines/>
      </w:pPr>
      <w:r>
        <w:t>Add a PostgreSQL service and a Redis service to that project.</w:t>
      </w:r>
    </w:p>
    <w:p>
      <w:pPr>
        <w:pStyle w:val="ListNumber"/>
        <w:keepLines/>
      </w:pPr>
      <w:r>
        <w:t>For each service, open Settings, then Networking, and enable Public Access.</w:t>
      </w:r>
    </w:p>
    <w:p>
      <w:pPr>
        <w:pStyle w:val="ListNumber"/>
        <w:keepLines/>
      </w:pPr>
      <w:r>
        <w:t>Copy the PostgreSQL DATABASE_PUBLIC_URL and the Redis REDIS_PUBLIC_URL from Railway.</w:t>
      </w:r>
    </w:p>
    <w:p>
      <w:pPr>
        <w:pStyle w:val="ListNumber"/>
        <w:keepLines/>
      </w:pPr>
      <w:r>
        <w:t>Keep both public URLs private. Store them only in the Hostinger backend environment variables.</w:t>
      </w:r>
    </w:p>
    <w:p>
      <w:pPr>
        <w:pStyle w:val="ListNumber"/>
        <w:keepLines/>
      </w:pPr>
      <w:r>
        <w:t>Place Railway and Hostinger services in nearby regions when possible to reduce latency.</w:t>
      </w:r>
    </w:p>
    <w:p>
      <w:pPr>
        <w:keepLines/>
      </w:pPr>
      <w:r>
        <w:rPr>
          <w:b/>
        </w:rPr>
        <w:t xml:space="preserve">Do not use Railway internal DATABASE_URL or REDIS_URL values from Hostinger. </w:t>
      </w:r>
      <w:r>
        <w:t>Those internal addresses resolve only inside Railway private networking. Public TCP traffic also creates Railway network egress charges.</w:t>
      </w:r>
    </w:p>
    <w:p>
      <w:pPr>
        <w:pStyle w:val="Heading1"/>
        <w:keepNext/>
        <w:keepLines/>
      </w:pPr>
      <w:r>
        <w:t>Hostinger backend deployment</w:t>
      </w:r>
    </w:p>
    <w:p>
      <w:pPr>
        <w:keepLines/>
      </w:pPr>
      <w:r>
        <w:t>Create a Node.js application for the backend repository path. Configure the application to build and start Medusa in production mode, bind to Hostinger's assigned port, and serve the admin interface at https://api.yourdomain.com/app.</w:t>
      </w:r>
    </w:p>
    <w:p>
      <w:pPr>
        <w:pStyle w:val="Heading2"/>
        <w:keepNext/>
        <w:keepLines/>
      </w:pPr>
      <w:r>
        <w:t>Backend environment variables</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792"/>
      </w:tblGrid>
      <w:tr>
        <w:tc>
          <w:tcPr>
            <w:tcW w:type="dxa" w:w="9576"/>
            <w:shd w:fill="F5F6F7"/>
            <w:tcMar>
              <w:top w:w="140" w:type="dxa"/>
              <w:start w:w="160" w:type="dxa"/>
              <w:bottom w:w="140" w:type="dxa"/>
              <w:end w:w="160" w:type="dxa"/>
            </w:tcMar>
          </w:tcPr>
          <w:p>
            <w:pPr>
              <w:spacing w:after="0" w:line="245" w:lineRule="auto"/>
            </w:pPr>
            <w:r>
              <w:rPr>
                <w:rFonts w:ascii="Consolas" w:hAnsi="Consolas"/>
                <w:color w:val="1F2937"/>
                <w:sz w:val="17"/>
              </w:rPr>
              <w:t>DATABASE_URL=&lt;Railway DATABASE_PUBLIC_URL&gt;</w:t>
            </w:r>
            <w:r>
              <w:br/>
            </w:r>
            <w:r>
              <w:rPr>
                <w:rFonts w:ascii="Consolas" w:hAnsi="Consolas"/>
                <w:color w:val="1F2937"/>
                <w:sz w:val="17"/>
              </w:rPr>
              <w:t>REDIS_URL=&lt;Railway REDIS_PUBLIC_URL&gt;</w:t>
            </w:r>
            <w:r>
              <w:br/>
            </w:r>
            <w:r>
              <w:rPr>
                <w:rFonts w:ascii="Consolas" w:hAnsi="Consolas"/>
                <w:color w:val="1F2937"/>
                <w:sz w:val="17"/>
              </w:rPr>
              <w:t>STORE_CORS=https://store.yourdomain.com</w:t>
            </w:r>
            <w:r>
              <w:br/>
            </w:r>
            <w:r>
              <w:rPr>
                <w:rFonts w:ascii="Consolas" w:hAnsi="Consolas"/>
                <w:color w:val="1F2937"/>
                <w:sz w:val="17"/>
              </w:rPr>
              <w:t>ADMIN_CORS=https://api.yourdomain.com</w:t>
            </w:r>
            <w:r>
              <w:br/>
            </w:r>
            <w:r>
              <w:rPr>
                <w:rFonts w:ascii="Consolas" w:hAnsi="Consolas"/>
                <w:color w:val="1F2937"/>
                <w:sz w:val="17"/>
              </w:rPr>
              <w:t>AUTH_CORS=https://store.yourdomain.com,https://api.yourdomain.com</w:t>
            </w:r>
            <w:r>
              <w:br/>
            </w:r>
            <w:r>
              <w:rPr>
                <w:rFonts w:ascii="Consolas" w:hAnsi="Consolas"/>
                <w:color w:val="1F2937"/>
                <w:sz w:val="17"/>
              </w:rPr>
              <w:t>JWT_SECRET=&lt;new-random-secret&gt;</w:t>
            </w:r>
            <w:r>
              <w:br/>
            </w:r>
            <w:r>
              <w:rPr>
                <w:rFonts w:ascii="Consolas" w:hAnsi="Consolas"/>
                <w:color w:val="1F2937"/>
                <w:sz w:val="17"/>
              </w:rPr>
              <w:t>COOKIE_SECRET=&lt;new-random-secret&gt;</w:t>
            </w:r>
            <w:r>
              <w:br/>
            </w:r>
            <w:r>
              <w:rPr>
                <w:rFonts w:ascii="Consolas" w:hAnsi="Consolas"/>
                <w:color w:val="1F2937"/>
                <w:sz w:val="17"/>
              </w:rPr>
              <w:t>NODE_ENV=production</w:t>
            </w:r>
          </w:p>
        </w:tc>
      </w:tr>
    </w:tbl>
    <w:p>
      <w:pPr>
        <w:spacing w:after="20"/>
      </w:pPr>
    </w:p>
    <w:p>
      <w:pPr>
        <w:keepLines/>
      </w:pPr>
      <w:r>
        <w:t>Generate long random values for JWT_SECRET and COOKIE_SECRET. Never commit these values or the Railway public URLs to Git.</w:t>
      </w:r>
    </w:p>
    <w:p>
      <w:pPr>
        <w:pStyle w:val="Heading2"/>
        <w:keepNext/>
        <w:keepLines/>
      </w:pPr>
      <w:r>
        <w:t>Database initialization</w:t>
      </w:r>
    </w:p>
    <w:p>
      <w:pPr>
        <w:pStyle w:val="ListNumber"/>
        <w:keepLines/>
      </w:pPr>
      <w:r>
        <w:t>Run Medusa database migrations using the Hostinger backend environment.</w:t>
      </w:r>
    </w:p>
    <w:p>
      <w:pPr>
        <w:pStyle w:val="ListNumber"/>
        <w:keepLines/>
      </w:pPr>
      <w:r>
        <w:t>Run the project seed process only if the testing environment needs demo products and categories.</w:t>
      </w:r>
    </w:p>
    <w:p>
      <w:pPr>
        <w:pStyle w:val="ListNumber"/>
        <w:keepLines/>
      </w:pPr>
      <w:r>
        <w:t>Create a new production admin user after migrations complete.</w:t>
      </w:r>
    </w:p>
    <w:p>
      <w:pPr>
        <w:pStyle w:val="ListNumber"/>
        <w:keepLines/>
      </w:pPr>
      <w:r>
        <w:t>Create a production publishable API key and associate it with the required sales channel.</w:t>
      </w:r>
    </w:p>
    <w:p>
      <w:pPr>
        <w:pStyle w:val="ListNumber"/>
        <w:keepLines/>
      </w:pPr>
      <w:r>
        <w:t>Restart the backend and confirm the health endpoint and /app load over HTTPS.</w:t>
      </w:r>
    </w:p>
    <w:p>
      <w:r>
        <w:br w:type="page"/>
      </w:r>
    </w:p>
    <w:p>
      <w:pPr>
        <w:pStyle w:val="Heading1"/>
        <w:keepNext/>
        <w:keepLines/>
      </w:pPr>
      <w:r>
        <w:t>Hostinger storefront deployment</w:t>
      </w:r>
    </w:p>
    <w:p>
      <w:pPr>
        <w:keepLines/>
      </w:pPr>
      <w:r>
        <w:t>Create a second Node.js application for the Next.js storefront. Its backend URL must use the public HTTPS Medusa domain, not localhost and not a Railway database address.</w:t>
      </w:r>
    </w:p>
    <w:p>
      <w:pPr>
        <w:pStyle w:val="Heading2"/>
        <w:keepNext/>
        <w:keepLines/>
      </w:pPr>
      <w:r>
        <w:t>Storefront environment variables</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792"/>
      </w:tblGrid>
      <w:tr>
        <w:tc>
          <w:tcPr>
            <w:tcW w:type="dxa" w:w="9576"/>
            <w:shd w:fill="F5F6F7"/>
            <w:tcMar>
              <w:top w:w="140" w:type="dxa"/>
              <w:start w:w="160" w:type="dxa"/>
              <w:bottom w:w="140" w:type="dxa"/>
              <w:end w:w="160" w:type="dxa"/>
            </w:tcMar>
          </w:tcPr>
          <w:p>
            <w:pPr>
              <w:spacing w:after="0" w:line="245" w:lineRule="auto"/>
            </w:pPr>
            <w:r>
              <w:rPr>
                <w:rFonts w:ascii="Consolas" w:hAnsi="Consolas"/>
                <w:color w:val="1F2937"/>
                <w:sz w:val="17"/>
              </w:rPr>
              <w:t>NEXT_PUBLIC_MEDUSA_BACKEND_URL=https://api.yourdomain.com</w:t>
            </w:r>
            <w:r>
              <w:br/>
            </w:r>
            <w:r>
              <w:rPr>
                <w:rFonts w:ascii="Consolas" w:hAnsi="Consolas"/>
                <w:color w:val="1F2937"/>
                <w:sz w:val="17"/>
              </w:rPr>
              <w:t>NEXT_PUBLIC_MEDUSA_PUBLISHABLE_KEY=&lt;production-publishable-key&gt;</w:t>
            </w:r>
          </w:p>
        </w:tc>
      </w:tr>
    </w:tbl>
    <w:p>
      <w:pPr>
        <w:spacing w:after="20"/>
      </w:pPr>
    </w:p>
    <w:p>
      <w:pPr>
        <w:keepLines/>
      </w:pPr>
      <w:r>
        <w:t>Redeploy the storefront whenever a NEXT_PUBLIC variable changes because Next.js includes public variables in the browser build.</w:t>
      </w:r>
    </w:p>
    <w:p>
      <w:pPr>
        <w:pStyle w:val="Heading1"/>
        <w:keepNext/>
        <w:keepLines/>
      </w:pPr>
      <w:r>
        <w:t>DNS and HTTPS</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rPr>
          <w:tblHeader w:val="true"/>
        </w:trPr>
        <w:tc>
          <w:tcPr>
            <w:tcW w:type="dxa" w:w="2664"/>
            <w:shd w:fill="17324D"/>
            <w:tcMar>
              <w:top w:w="110" w:type="dxa"/>
              <w:start w:w="120" w:type="dxa"/>
              <w:bottom w:w="110" w:type="dxa"/>
              <w:end w:w="120" w:type="dxa"/>
            </w:tcMar>
            <w:vAlign w:val="center"/>
          </w:tcPr>
          <w:p>
            <w:pPr>
              <w:spacing w:after="0" w:line="252" w:lineRule="auto"/>
            </w:pPr>
            <w:r>
              <w:rPr>
                <w:b/>
                <w:color w:val="FFFFFF"/>
                <w:sz w:val="18"/>
              </w:rPr>
              <w:t>Hostname</w:t>
            </w:r>
          </w:p>
        </w:tc>
        <w:tc>
          <w:tcPr>
            <w:tcW w:type="dxa" w:w="3311"/>
            <w:shd w:fill="17324D"/>
            <w:tcMar>
              <w:top w:w="110" w:type="dxa"/>
              <w:start w:w="120" w:type="dxa"/>
              <w:bottom w:w="110" w:type="dxa"/>
              <w:end w:w="120" w:type="dxa"/>
            </w:tcMar>
            <w:vAlign w:val="center"/>
          </w:tcPr>
          <w:p>
            <w:pPr>
              <w:spacing w:after="0" w:line="252" w:lineRule="auto"/>
            </w:pPr>
            <w:r>
              <w:rPr>
                <w:b/>
                <w:color w:val="FFFFFF"/>
                <w:sz w:val="18"/>
              </w:rPr>
              <w:t>Target</w:t>
            </w:r>
          </w:p>
        </w:tc>
        <w:tc>
          <w:tcPr>
            <w:tcW w:type="dxa" w:w="3600"/>
            <w:shd w:fill="17324D"/>
            <w:tcMar>
              <w:top w:w="110" w:type="dxa"/>
              <w:start w:w="120" w:type="dxa"/>
              <w:bottom w:w="110" w:type="dxa"/>
              <w:end w:w="120" w:type="dxa"/>
            </w:tcMar>
            <w:vAlign w:val="center"/>
          </w:tcPr>
          <w:p>
            <w:pPr>
              <w:spacing w:after="0" w:line="252" w:lineRule="auto"/>
            </w:pPr>
            <w:r>
              <w:rPr>
                <w:b/>
                <w:color w:val="FFFFFF"/>
                <w:sz w:val="18"/>
              </w:rPr>
              <w:t>Expected result</w:t>
            </w:r>
          </w:p>
        </w:tc>
      </w:tr>
      <w:tr>
        <w:tc>
          <w:tcPr>
            <w:tcW w:type="dxa" w:w="2664"/>
            <w:tcMar>
              <w:top w:w="110" w:type="dxa"/>
              <w:start w:w="120" w:type="dxa"/>
              <w:bottom w:w="110" w:type="dxa"/>
              <w:end w:w="120" w:type="dxa"/>
            </w:tcMar>
            <w:vAlign w:val="center"/>
          </w:tcPr>
          <w:p>
            <w:pPr>
              <w:spacing w:after="0" w:line="259" w:lineRule="auto"/>
            </w:pPr>
            <w:r>
              <w:rPr>
                <w:color w:val="1F2937"/>
                <w:sz w:val="18"/>
              </w:rPr>
              <w:t>store.yourdomain.com</w:t>
            </w:r>
          </w:p>
        </w:tc>
        <w:tc>
          <w:tcPr>
            <w:tcW w:type="dxa" w:w="3311"/>
            <w:tcMar>
              <w:top w:w="110" w:type="dxa"/>
              <w:start w:w="120" w:type="dxa"/>
              <w:bottom w:w="110" w:type="dxa"/>
              <w:end w:w="120" w:type="dxa"/>
            </w:tcMar>
            <w:vAlign w:val="center"/>
          </w:tcPr>
          <w:p>
            <w:pPr>
              <w:spacing w:after="0" w:line="259" w:lineRule="auto"/>
            </w:pPr>
            <w:r>
              <w:rPr>
                <w:color w:val="1F2937"/>
                <w:sz w:val="18"/>
              </w:rPr>
              <w:t>Hostinger storefront application</w:t>
            </w:r>
          </w:p>
        </w:tc>
        <w:tc>
          <w:tcPr>
            <w:tcW w:type="dxa" w:w="3600"/>
            <w:tcMar>
              <w:top w:w="110" w:type="dxa"/>
              <w:start w:w="120" w:type="dxa"/>
              <w:bottom w:w="110" w:type="dxa"/>
              <w:end w:w="120" w:type="dxa"/>
            </w:tcMar>
            <w:vAlign w:val="center"/>
          </w:tcPr>
          <w:p>
            <w:pPr>
              <w:spacing w:after="0" w:line="259" w:lineRule="auto"/>
            </w:pPr>
            <w:r>
              <w:rPr>
                <w:color w:val="1F2937"/>
                <w:sz w:val="18"/>
              </w:rPr>
              <w:t>Customer website opens over HTTPS</w:t>
            </w:r>
          </w:p>
        </w:tc>
      </w:tr>
      <w:tr>
        <w:tc>
          <w:tcPr>
            <w:tcW w:type="dxa" w:w="2664"/>
            <w:tcMar>
              <w:top w:w="110" w:type="dxa"/>
              <w:start w:w="120" w:type="dxa"/>
              <w:bottom w:w="110" w:type="dxa"/>
              <w:end w:w="120" w:type="dxa"/>
            </w:tcMar>
            <w:vAlign w:val="center"/>
            <w:shd w:fill="EEF4F8"/>
          </w:tcPr>
          <w:p>
            <w:pPr>
              <w:spacing w:after="0" w:line="259" w:lineRule="auto"/>
            </w:pPr>
            <w:r>
              <w:rPr>
                <w:color w:val="1F2937"/>
                <w:sz w:val="18"/>
              </w:rPr>
              <w:t>api.yourdomain.com</w:t>
            </w:r>
          </w:p>
        </w:tc>
        <w:tc>
          <w:tcPr>
            <w:tcW w:type="dxa" w:w="3311"/>
            <w:tcMar>
              <w:top w:w="110" w:type="dxa"/>
              <w:start w:w="120" w:type="dxa"/>
              <w:bottom w:w="110" w:type="dxa"/>
              <w:end w:w="120" w:type="dxa"/>
            </w:tcMar>
            <w:vAlign w:val="center"/>
            <w:shd w:fill="EEF4F8"/>
          </w:tcPr>
          <w:p>
            <w:pPr>
              <w:spacing w:after="0" w:line="259" w:lineRule="auto"/>
            </w:pPr>
            <w:r>
              <w:rPr>
                <w:color w:val="1F2937"/>
                <w:sz w:val="18"/>
              </w:rPr>
              <w:t>Hostinger backend application</w:t>
            </w:r>
          </w:p>
        </w:tc>
        <w:tc>
          <w:tcPr>
            <w:tcW w:type="dxa" w:w="3600"/>
            <w:tcMar>
              <w:top w:w="110" w:type="dxa"/>
              <w:start w:w="120" w:type="dxa"/>
              <w:bottom w:w="110" w:type="dxa"/>
              <w:end w:w="120" w:type="dxa"/>
            </w:tcMar>
            <w:vAlign w:val="center"/>
            <w:shd w:fill="EEF4F8"/>
          </w:tcPr>
          <w:p>
            <w:pPr>
              <w:spacing w:after="0" w:line="259" w:lineRule="auto"/>
            </w:pPr>
            <w:r>
              <w:rPr>
                <w:color w:val="1F2937"/>
                <w:sz w:val="18"/>
              </w:rPr>
              <w:t>Medusa API and /app open over HTTPS</w:t>
            </w:r>
          </w:p>
        </w:tc>
      </w:tr>
    </w:tbl>
    <w:p>
      <w:pPr>
        <w:spacing w:after="20"/>
      </w:pPr>
    </w:p>
    <w:p>
      <w:pPr>
        <w:keepLines/>
      </w:pPr>
      <w:r>
        <w:t>If Cloudflare manages DNS, begin with DNS-only records while validating Hostinger routing and certificates. Enable proxying after both applications work correctly. Do not proxy PostgreSQL or Redis through standard Cloudflare DNS records.</w:t>
      </w:r>
    </w:p>
    <w:p>
      <w:pPr>
        <w:pStyle w:val="Heading1"/>
        <w:keepNext/>
        <w:keepLines/>
      </w:pPr>
      <w:r>
        <w:t>Repository preparation</w:t>
      </w:r>
    </w:p>
    <w:p>
      <w:pPr>
        <w:pStyle w:val="ListBullet"/>
        <w:keepLines/>
      </w:pPr>
      <w:r>
        <w:t>Make the Medusa server listen on Hostinger's PORT value and on a network-accessible interface.</w:t>
      </w:r>
    </w:p>
    <w:p>
      <w:pPr>
        <w:pStyle w:val="ListBullet"/>
        <w:keepLines/>
      </w:pPr>
      <w:r>
        <w:t>Configure Medusa Redis modules for event bus, workflow execution, distributed locking, and caching. The current local fallback uses in-memory substitutes and is unsuitable for a deployed multi-process service.</w:t>
      </w:r>
    </w:p>
    <w:p>
      <w:pPr>
        <w:pStyle w:val="ListBullet"/>
        <w:keepLines/>
      </w:pPr>
      <w:r>
        <w:t>Add explicit build, start, migration, and seed scripts for Hostinger deployment.</w:t>
      </w:r>
    </w:p>
    <w:p>
      <w:pPr>
        <w:pStyle w:val="ListBullet"/>
        <w:keepLines/>
      </w:pPr>
      <w:r>
        <w:t>Enable secure cookies and confirm cross-domain CORS for the storefront and admin domains.</w:t>
      </w:r>
    </w:p>
    <w:p>
      <w:pPr>
        <w:pStyle w:val="ListBullet"/>
        <w:keepLines/>
      </w:pPr>
      <w:r>
        <w:t>Keep existing static demo product images in the storefront build. Add object storage later if administrators must upload product images through the admin panel.</w:t>
      </w:r>
    </w:p>
    <w:p>
      <w:pPr>
        <w:pStyle w:val="Heading1"/>
        <w:keepNext/>
        <w:keepLines/>
      </w:pPr>
      <w:r>
        <w:t>Deployment order</w:t>
      </w:r>
    </w:p>
    <w:p>
      <w:pPr>
        <w:pStyle w:val="ListNumber"/>
        <w:keepLines/>
      </w:pPr>
      <w:r>
        <w:t>Create Railway PostgreSQL and Redis services.</w:t>
      </w:r>
    </w:p>
    <w:p>
      <w:pPr>
        <w:pStyle w:val="ListNumber"/>
        <w:keepLines/>
      </w:pPr>
      <w:r>
        <w:t>Enable Railway Public Access and copy the public connection URLs.</w:t>
      </w:r>
    </w:p>
    <w:p>
      <w:pPr>
        <w:pStyle w:val="ListNumber"/>
        <w:keepLines/>
      </w:pPr>
      <w:r>
        <w:t>Prepare and deploy the Medusa backend on Hostinger.</w:t>
      </w:r>
    </w:p>
    <w:p>
      <w:pPr>
        <w:pStyle w:val="ListNumber"/>
        <w:keepLines/>
      </w:pPr>
      <w:r>
        <w:t>Add backend environment variables and run migrations.</w:t>
      </w:r>
    </w:p>
    <w:p>
      <w:pPr>
        <w:pStyle w:val="ListNumber"/>
        <w:keepLines/>
      </w:pPr>
      <w:r>
        <w:t>Create the admin user, publishable API key, and required sales channel association.</w:t>
      </w:r>
    </w:p>
    <w:p>
      <w:pPr>
        <w:pStyle w:val="ListNumber"/>
        <w:keepLines/>
      </w:pPr>
      <w:r>
        <w:t>Deploy the Next.js storefront on Hostinger with its production variables.</w:t>
      </w:r>
    </w:p>
    <w:p>
      <w:pPr>
        <w:pStyle w:val="ListNumber"/>
        <w:keepLines/>
      </w:pPr>
      <w:r>
        <w:t>Connect custom domains, confirm HTTPS, and complete the smoke tests.</w:t>
      </w:r>
    </w:p>
    <w:p>
      <w:r>
        <w:br w:type="page"/>
      </w:r>
    </w:p>
    <w:p>
      <w:pPr>
        <w:pStyle w:val="Heading1"/>
        <w:keepNext/>
        <w:keepLines/>
      </w:pPr>
      <w:r>
        <w:t>Validation checklist</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rPr>
          <w:tblHeader w:val="true"/>
        </w:trPr>
        <w:tc>
          <w:tcPr>
            <w:tcW w:type="dxa" w:w="1655"/>
            <w:shd w:fill="17324D"/>
            <w:tcMar>
              <w:top w:w="110" w:type="dxa"/>
              <w:start w:w="120" w:type="dxa"/>
              <w:bottom w:w="110" w:type="dxa"/>
              <w:end w:w="120" w:type="dxa"/>
            </w:tcMar>
            <w:vAlign w:val="center"/>
          </w:tcPr>
          <w:p>
            <w:pPr>
              <w:spacing w:after="0" w:line="252" w:lineRule="auto"/>
            </w:pPr>
            <w:r>
              <w:rPr>
                <w:b/>
                <w:color w:val="FFFFFF"/>
                <w:sz w:val="18"/>
              </w:rPr>
              <w:t>Area</w:t>
            </w:r>
          </w:p>
        </w:tc>
        <w:tc>
          <w:tcPr>
            <w:tcW w:type="dxa" w:w="3671"/>
            <w:shd w:fill="17324D"/>
            <w:tcMar>
              <w:top w:w="110" w:type="dxa"/>
              <w:start w:w="120" w:type="dxa"/>
              <w:bottom w:w="110" w:type="dxa"/>
              <w:end w:w="120" w:type="dxa"/>
            </w:tcMar>
            <w:vAlign w:val="center"/>
          </w:tcPr>
          <w:p>
            <w:pPr>
              <w:spacing w:after="0" w:line="252" w:lineRule="auto"/>
            </w:pPr>
            <w:r>
              <w:rPr>
                <w:b/>
                <w:color w:val="FFFFFF"/>
                <w:sz w:val="18"/>
              </w:rPr>
              <w:t>Test</w:t>
            </w:r>
          </w:p>
        </w:tc>
        <w:tc>
          <w:tcPr>
            <w:tcW w:type="dxa" w:w="4248"/>
            <w:shd w:fill="17324D"/>
            <w:tcMar>
              <w:top w:w="110" w:type="dxa"/>
              <w:start w:w="120" w:type="dxa"/>
              <w:bottom w:w="110" w:type="dxa"/>
              <w:end w:w="120" w:type="dxa"/>
            </w:tcMar>
            <w:vAlign w:val="center"/>
          </w:tcPr>
          <w:p>
            <w:pPr>
              <w:spacing w:after="0" w:line="252" w:lineRule="auto"/>
            </w:pPr>
            <w:r>
              <w:rPr>
                <w:b/>
                <w:color w:val="FFFFFF"/>
                <w:sz w:val="18"/>
              </w:rPr>
              <w:t>Expected result</w:t>
            </w:r>
          </w:p>
        </w:tc>
      </w:tr>
      <w:tr>
        <w:tc>
          <w:tcPr>
            <w:tcW w:type="dxa" w:w="1655"/>
            <w:tcMar>
              <w:top w:w="110" w:type="dxa"/>
              <w:start w:w="120" w:type="dxa"/>
              <w:bottom w:w="110" w:type="dxa"/>
              <w:end w:w="120" w:type="dxa"/>
            </w:tcMar>
            <w:vAlign w:val="center"/>
          </w:tcPr>
          <w:p>
            <w:pPr>
              <w:spacing w:after="0" w:line="259" w:lineRule="auto"/>
            </w:pPr>
            <w:r>
              <w:rPr>
                <w:color w:val="1F2937"/>
                <w:sz w:val="18"/>
              </w:rPr>
              <w:t>Storefront</w:t>
            </w:r>
          </w:p>
        </w:tc>
        <w:tc>
          <w:tcPr>
            <w:tcW w:type="dxa" w:w="3671"/>
            <w:tcMar>
              <w:top w:w="110" w:type="dxa"/>
              <w:start w:w="120" w:type="dxa"/>
              <w:bottom w:w="110" w:type="dxa"/>
              <w:end w:w="120" w:type="dxa"/>
            </w:tcMar>
            <w:vAlign w:val="center"/>
          </w:tcPr>
          <w:p>
            <w:pPr>
              <w:spacing w:after="0" w:line="259" w:lineRule="auto"/>
            </w:pPr>
            <w:r>
              <w:rPr>
                <w:color w:val="1F2937"/>
                <w:sz w:val="18"/>
              </w:rPr>
              <w:t>Open home and product pages</w:t>
            </w:r>
          </w:p>
        </w:tc>
        <w:tc>
          <w:tcPr>
            <w:tcW w:type="dxa" w:w="4248"/>
            <w:tcMar>
              <w:top w:w="110" w:type="dxa"/>
              <w:start w:w="120" w:type="dxa"/>
              <w:bottom w:w="110" w:type="dxa"/>
              <w:end w:w="120" w:type="dxa"/>
            </w:tcMar>
            <w:vAlign w:val="center"/>
          </w:tcPr>
          <w:p>
            <w:pPr>
              <w:spacing w:after="0" w:line="259" w:lineRule="auto"/>
            </w:pPr>
            <w:r>
              <w:rPr>
                <w:color w:val="1F2937"/>
                <w:sz w:val="18"/>
              </w:rPr>
              <w:t>Pages load without browser console errors</w:t>
            </w:r>
          </w:p>
        </w:tc>
      </w:tr>
      <w:tr>
        <w:tc>
          <w:tcPr>
            <w:tcW w:type="dxa" w:w="1655"/>
            <w:tcMar>
              <w:top w:w="110" w:type="dxa"/>
              <w:start w:w="120" w:type="dxa"/>
              <w:bottom w:w="110" w:type="dxa"/>
              <w:end w:w="120" w:type="dxa"/>
            </w:tcMar>
            <w:vAlign w:val="center"/>
            <w:shd w:fill="EEF4F8"/>
          </w:tcPr>
          <w:p>
            <w:pPr>
              <w:spacing w:after="0" w:line="259" w:lineRule="auto"/>
            </w:pPr>
            <w:r>
              <w:rPr>
                <w:color w:val="1F2937"/>
                <w:sz w:val="18"/>
              </w:rPr>
              <w:t>Catalog</w:t>
            </w:r>
          </w:p>
        </w:tc>
        <w:tc>
          <w:tcPr>
            <w:tcW w:type="dxa" w:w="3671"/>
            <w:tcMar>
              <w:top w:w="110" w:type="dxa"/>
              <w:start w:w="120" w:type="dxa"/>
              <w:bottom w:w="110" w:type="dxa"/>
              <w:end w:w="120" w:type="dxa"/>
            </w:tcMar>
            <w:vAlign w:val="center"/>
            <w:shd w:fill="EEF4F8"/>
          </w:tcPr>
          <w:p>
            <w:pPr>
              <w:spacing w:after="0" w:line="259" w:lineRule="auto"/>
            </w:pPr>
            <w:r>
              <w:rPr>
                <w:color w:val="1F2937"/>
                <w:sz w:val="18"/>
              </w:rPr>
              <w:t>Browse Vitamins, Syrups, and Supplements on mobile</w:t>
            </w:r>
          </w:p>
        </w:tc>
        <w:tc>
          <w:tcPr>
            <w:tcW w:type="dxa" w:w="4248"/>
            <w:tcMar>
              <w:top w:w="110" w:type="dxa"/>
              <w:start w:w="120" w:type="dxa"/>
              <w:bottom w:w="110" w:type="dxa"/>
              <w:end w:w="120" w:type="dxa"/>
            </w:tcMar>
            <w:vAlign w:val="center"/>
            <w:shd w:fill="EEF4F8"/>
          </w:tcPr>
          <w:p>
            <w:pPr>
              <w:spacing w:after="0" w:line="259" w:lineRule="auto"/>
            </w:pPr>
            <w:r>
              <w:rPr>
                <w:color w:val="1F2937"/>
                <w:sz w:val="18"/>
              </w:rPr>
              <w:t>Category cards remain small and horizontal</w:t>
            </w:r>
          </w:p>
        </w:tc>
      </w:tr>
      <w:tr>
        <w:tc>
          <w:tcPr>
            <w:tcW w:type="dxa" w:w="1655"/>
            <w:tcMar>
              <w:top w:w="110" w:type="dxa"/>
              <w:start w:w="120" w:type="dxa"/>
              <w:bottom w:w="110" w:type="dxa"/>
              <w:end w:w="120" w:type="dxa"/>
            </w:tcMar>
            <w:vAlign w:val="center"/>
          </w:tcPr>
          <w:p>
            <w:pPr>
              <w:spacing w:after="0" w:line="259" w:lineRule="auto"/>
            </w:pPr>
            <w:r>
              <w:rPr>
                <w:color w:val="1F2937"/>
                <w:sz w:val="18"/>
              </w:rPr>
              <w:t>Images</w:t>
            </w:r>
          </w:p>
        </w:tc>
        <w:tc>
          <w:tcPr>
            <w:tcW w:type="dxa" w:w="3671"/>
            <w:tcMar>
              <w:top w:w="110" w:type="dxa"/>
              <w:start w:w="120" w:type="dxa"/>
              <w:bottom w:w="110" w:type="dxa"/>
              <w:end w:w="120" w:type="dxa"/>
            </w:tcMar>
            <w:vAlign w:val="center"/>
          </w:tcPr>
          <w:p>
            <w:pPr>
              <w:spacing w:after="0" w:line="259" w:lineRule="auto"/>
            </w:pPr>
            <w:r>
              <w:rPr>
                <w:color w:val="1F2937"/>
                <w:sz w:val="18"/>
              </w:rPr>
              <w:t>Open seeded products</w:t>
            </w:r>
          </w:p>
        </w:tc>
        <w:tc>
          <w:tcPr>
            <w:tcW w:type="dxa" w:w="4248"/>
            <w:tcMar>
              <w:top w:w="110" w:type="dxa"/>
              <w:start w:w="120" w:type="dxa"/>
              <w:bottom w:w="110" w:type="dxa"/>
              <w:end w:w="120" w:type="dxa"/>
            </w:tcMar>
            <w:vAlign w:val="center"/>
          </w:tcPr>
          <w:p>
            <w:pPr>
              <w:spacing w:after="0" w:line="259" w:lineRule="auto"/>
            </w:pPr>
            <w:r>
              <w:rPr>
                <w:color w:val="1F2937"/>
                <w:sz w:val="18"/>
              </w:rPr>
              <w:t>Demo product images load correctly</w:t>
            </w:r>
          </w:p>
        </w:tc>
      </w:tr>
      <w:tr>
        <w:tc>
          <w:tcPr>
            <w:tcW w:type="dxa" w:w="1655"/>
            <w:tcMar>
              <w:top w:w="110" w:type="dxa"/>
              <w:start w:w="120" w:type="dxa"/>
              <w:bottom w:w="110" w:type="dxa"/>
              <w:end w:w="120" w:type="dxa"/>
            </w:tcMar>
            <w:vAlign w:val="center"/>
            <w:shd w:fill="EEF4F8"/>
          </w:tcPr>
          <w:p>
            <w:pPr>
              <w:spacing w:after="0" w:line="259" w:lineRule="auto"/>
            </w:pPr>
            <w:r>
              <w:rPr>
                <w:color w:val="1F2937"/>
                <w:sz w:val="18"/>
              </w:rPr>
              <w:t>Customer auth</w:t>
            </w:r>
          </w:p>
        </w:tc>
        <w:tc>
          <w:tcPr>
            <w:tcW w:type="dxa" w:w="3671"/>
            <w:tcMar>
              <w:top w:w="110" w:type="dxa"/>
              <w:start w:w="120" w:type="dxa"/>
              <w:bottom w:w="110" w:type="dxa"/>
              <w:end w:w="120" w:type="dxa"/>
            </w:tcMar>
            <w:vAlign w:val="center"/>
            <w:shd w:fill="EEF4F8"/>
          </w:tcPr>
          <w:p>
            <w:pPr>
              <w:spacing w:after="0" w:line="259" w:lineRule="auto"/>
            </w:pPr>
            <w:r>
              <w:rPr>
                <w:color w:val="1F2937"/>
                <w:sz w:val="18"/>
              </w:rPr>
              <w:t>Register, log in, refresh, and log out</w:t>
            </w:r>
          </w:p>
        </w:tc>
        <w:tc>
          <w:tcPr>
            <w:tcW w:type="dxa" w:w="4248"/>
            <w:tcMar>
              <w:top w:w="110" w:type="dxa"/>
              <w:start w:w="120" w:type="dxa"/>
              <w:bottom w:w="110" w:type="dxa"/>
              <w:end w:w="120" w:type="dxa"/>
            </w:tcMar>
            <w:vAlign w:val="center"/>
            <w:shd w:fill="EEF4F8"/>
          </w:tcPr>
          <w:p>
            <w:pPr>
              <w:spacing w:after="0" w:line="259" w:lineRule="auto"/>
            </w:pPr>
            <w:r>
              <w:rPr>
                <w:color w:val="1F2937"/>
                <w:sz w:val="18"/>
              </w:rPr>
              <w:t>Session persists securely and logout clears it</w:t>
            </w:r>
          </w:p>
        </w:tc>
      </w:tr>
      <w:tr>
        <w:tc>
          <w:tcPr>
            <w:tcW w:type="dxa" w:w="1655"/>
            <w:tcMar>
              <w:top w:w="110" w:type="dxa"/>
              <w:start w:w="120" w:type="dxa"/>
              <w:bottom w:w="110" w:type="dxa"/>
              <w:end w:w="120" w:type="dxa"/>
            </w:tcMar>
            <w:vAlign w:val="center"/>
          </w:tcPr>
          <w:p>
            <w:pPr>
              <w:spacing w:after="0" w:line="259" w:lineRule="auto"/>
            </w:pPr>
            <w:r>
              <w:rPr>
                <w:color w:val="1F2937"/>
                <w:sz w:val="18"/>
              </w:rPr>
              <w:t>Admin</w:t>
            </w:r>
          </w:p>
        </w:tc>
        <w:tc>
          <w:tcPr>
            <w:tcW w:type="dxa" w:w="3671"/>
            <w:tcMar>
              <w:top w:w="110" w:type="dxa"/>
              <w:start w:w="120" w:type="dxa"/>
              <w:bottom w:w="110" w:type="dxa"/>
              <w:end w:w="120" w:type="dxa"/>
            </w:tcMar>
            <w:vAlign w:val="center"/>
          </w:tcPr>
          <w:p>
            <w:pPr>
              <w:spacing w:after="0" w:line="259" w:lineRule="auto"/>
            </w:pPr>
            <w:r>
              <w:rPr>
                <w:color w:val="1F2937"/>
                <w:sz w:val="18"/>
              </w:rPr>
              <w:t>Open /app and sign in</w:t>
            </w:r>
          </w:p>
        </w:tc>
        <w:tc>
          <w:tcPr>
            <w:tcW w:type="dxa" w:w="4248"/>
            <w:tcMar>
              <w:top w:w="110" w:type="dxa"/>
              <w:start w:w="120" w:type="dxa"/>
              <w:bottom w:w="110" w:type="dxa"/>
              <w:end w:w="120" w:type="dxa"/>
            </w:tcMar>
            <w:vAlign w:val="center"/>
          </w:tcPr>
          <w:p>
            <w:pPr>
              <w:spacing w:after="0" w:line="259" w:lineRule="auto"/>
            </w:pPr>
            <w:r>
              <w:rPr>
                <w:color w:val="1F2937"/>
                <w:sz w:val="18"/>
              </w:rPr>
              <w:t>New production admin can access the dashboard</w:t>
            </w:r>
          </w:p>
        </w:tc>
      </w:tr>
      <w:tr>
        <w:tc>
          <w:tcPr>
            <w:tcW w:type="dxa" w:w="1655"/>
            <w:tcMar>
              <w:top w:w="110" w:type="dxa"/>
              <w:start w:w="120" w:type="dxa"/>
              <w:bottom w:w="110" w:type="dxa"/>
              <w:end w:w="120" w:type="dxa"/>
            </w:tcMar>
            <w:vAlign w:val="center"/>
            <w:shd w:fill="EEF4F8"/>
          </w:tcPr>
          <w:p>
            <w:pPr>
              <w:spacing w:after="0" w:line="259" w:lineRule="auto"/>
            </w:pPr>
            <w:r>
              <w:rPr>
                <w:color w:val="1F2937"/>
                <w:sz w:val="18"/>
              </w:rPr>
              <w:t>Database</w:t>
            </w:r>
          </w:p>
        </w:tc>
        <w:tc>
          <w:tcPr>
            <w:tcW w:type="dxa" w:w="3671"/>
            <w:tcMar>
              <w:top w:w="110" w:type="dxa"/>
              <w:start w:w="120" w:type="dxa"/>
              <w:bottom w:w="110" w:type="dxa"/>
              <w:end w:w="120" w:type="dxa"/>
            </w:tcMar>
            <w:vAlign w:val="center"/>
            <w:shd w:fill="EEF4F8"/>
          </w:tcPr>
          <w:p>
            <w:pPr>
              <w:spacing w:after="0" w:line="259" w:lineRule="auto"/>
            </w:pPr>
            <w:r>
              <w:rPr>
                <w:color w:val="1F2937"/>
                <w:sz w:val="18"/>
              </w:rPr>
              <w:t>Create or update a product</w:t>
            </w:r>
          </w:p>
        </w:tc>
        <w:tc>
          <w:tcPr>
            <w:tcW w:type="dxa" w:w="4248"/>
            <w:tcMar>
              <w:top w:w="110" w:type="dxa"/>
              <w:start w:w="120" w:type="dxa"/>
              <w:bottom w:w="110" w:type="dxa"/>
              <w:end w:w="120" w:type="dxa"/>
            </w:tcMar>
            <w:vAlign w:val="center"/>
            <w:shd w:fill="EEF4F8"/>
          </w:tcPr>
          <w:p>
            <w:pPr>
              <w:spacing w:after="0" w:line="259" w:lineRule="auto"/>
            </w:pPr>
            <w:r>
              <w:rPr>
                <w:color w:val="1F2937"/>
                <w:sz w:val="18"/>
              </w:rPr>
              <w:t>Changes remain after backend restart</w:t>
            </w:r>
          </w:p>
        </w:tc>
      </w:tr>
      <w:tr>
        <w:tc>
          <w:tcPr>
            <w:tcW w:type="dxa" w:w="1655"/>
            <w:tcMar>
              <w:top w:w="110" w:type="dxa"/>
              <w:start w:w="120" w:type="dxa"/>
              <w:bottom w:w="110" w:type="dxa"/>
              <w:end w:w="120" w:type="dxa"/>
            </w:tcMar>
            <w:vAlign w:val="center"/>
          </w:tcPr>
          <w:p>
            <w:pPr>
              <w:spacing w:after="0" w:line="259" w:lineRule="auto"/>
            </w:pPr>
            <w:r>
              <w:rPr>
                <w:color w:val="1F2937"/>
                <w:sz w:val="18"/>
              </w:rPr>
              <w:t>Redis</w:t>
            </w:r>
          </w:p>
        </w:tc>
        <w:tc>
          <w:tcPr>
            <w:tcW w:type="dxa" w:w="3671"/>
            <w:tcMar>
              <w:top w:w="110" w:type="dxa"/>
              <w:start w:w="120" w:type="dxa"/>
              <w:bottom w:w="110" w:type="dxa"/>
              <w:end w:w="120" w:type="dxa"/>
            </w:tcMar>
            <w:vAlign w:val="center"/>
          </w:tcPr>
          <w:p>
            <w:pPr>
              <w:spacing w:after="0" w:line="259" w:lineRule="auto"/>
            </w:pPr>
            <w:r>
              <w:rPr>
                <w:color w:val="1F2937"/>
                <w:sz w:val="18"/>
              </w:rPr>
              <w:t>Run a workflow and restart the backend</w:t>
            </w:r>
          </w:p>
        </w:tc>
        <w:tc>
          <w:tcPr>
            <w:tcW w:type="dxa" w:w="4248"/>
            <w:tcMar>
              <w:top w:w="110" w:type="dxa"/>
              <w:start w:w="120" w:type="dxa"/>
              <w:bottom w:w="110" w:type="dxa"/>
              <w:end w:w="120" w:type="dxa"/>
            </w:tcMar>
            <w:vAlign w:val="center"/>
          </w:tcPr>
          <w:p>
            <w:pPr>
              <w:spacing w:after="0" w:line="259" w:lineRule="auto"/>
            </w:pPr>
            <w:r>
              <w:rPr>
                <w:color w:val="1F2937"/>
                <w:sz w:val="18"/>
              </w:rPr>
              <w:t>No in-memory fallback warnings appear</w:t>
            </w:r>
          </w:p>
        </w:tc>
      </w:tr>
      <w:tr>
        <w:tc>
          <w:tcPr>
            <w:tcW w:type="dxa" w:w="1655"/>
            <w:tcMar>
              <w:top w:w="110" w:type="dxa"/>
              <w:start w:w="120" w:type="dxa"/>
              <w:bottom w:w="110" w:type="dxa"/>
              <w:end w:w="120" w:type="dxa"/>
            </w:tcMar>
            <w:vAlign w:val="center"/>
            <w:shd w:fill="EEF4F8"/>
          </w:tcPr>
          <w:p>
            <w:pPr>
              <w:spacing w:after="0" w:line="259" w:lineRule="auto"/>
            </w:pPr>
            <w:r>
              <w:rPr>
                <w:color w:val="1F2937"/>
                <w:sz w:val="18"/>
              </w:rPr>
              <w:t>CORS</w:t>
            </w:r>
          </w:p>
        </w:tc>
        <w:tc>
          <w:tcPr>
            <w:tcW w:type="dxa" w:w="3671"/>
            <w:tcMar>
              <w:top w:w="110" w:type="dxa"/>
              <w:start w:w="120" w:type="dxa"/>
              <w:bottom w:w="110" w:type="dxa"/>
              <w:end w:w="120" w:type="dxa"/>
            </w:tcMar>
            <w:vAlign w:val="center"/>
            <w:shd w:fill="EEF4F8"/>
          </w:tcPr>
          <w:p>
            <w:pPr>
              <w:spacing w:after="0" w:line="259" w:lineRule="auto"/>
            </w:pPr>
            <w:r>
              <w:rPr>
                <w:color w:val="1F2937"/>
                <w:sz w:val="18"/>
              </w:rPr>
              <w:t>Use storefront and admin from their public domains</w:t>
            </w:r>
          </w:p>
        </w:tc>
        <w:tc>
          <w:tcPr>
            <w:tcW w:type="dxa" w:w="4248"/>
            <w:tcMar>
              <w:top w:w="110" w:type="dxa"/>
              <w:start w:w="120" w:type="dxa"/>
              <w:bottom w:w="110" w:type="dxa"/>
              <w:end w:w="120" w:type="dxa"/>
            </w:tcMar>
            <w:vAlign w:val="center"/>
            <w:shd w:fill="EEF4F8"/>
          </w:tcPr>
          <w:p>
            <w:pPr>
              <w:spacing w:after="0" w:line="259" w:lineRule="auto"/>
            </w:pPr>
            <w:r>
              <w:rPr>
                <w:color w:val="1F2937"/>
                <w:sz w:val="18"/>
              </w:rPr>
              <w:t>API requests succeed without CORS errors</w:t>
            </w:r>
          </w:p>
        </w:tc>
      </w:tr>
      <w:tr>
        <w:tc>
          <w:tcPr>
            <w:tcW w:type="dxa" w:w="1655"/>
            <w:tcMar>
              <w:top w:w="110" w:type="dxa"/>
              <w:start w:w="120" w:type="dxa"/>
              <w:bottom w:w="110" w:type="dxa"/>
              <w:end w:w="120" w:type="dxa"/>
            </w:tcMar>
            <w:vAlign w:val="center"/>
          </w:tcPr>
          <w:p>
            <w:pPr>
              <w:spacing w:after="0" w:line="259" w:lineRule="auto"/>
            </w:pPr>
            <w:r>
              <w:rPr>
                <w:color w:val="1F2937"/>
                <w:sz w:val="18"/>
              </w:rPr>
              <w:t>Secrets</w:t>
            </w:r>
          </w:p>
        </w:tc>
        <w:tc>
          <w:tcPr>
            <w:tcW w:type="dxa" w:w="3671"/>
            <w:tcMar>
              <w:top w:w="110" w:type="dxa"/>
              <w:start w:w="120" w:type="dxa"/>
              <w:bottom w:w="110" w:type="dxa"/>
              <w:end w:w="120" w:type="dxa"/>
            </w:tcMar>
            <w:vAlign w:val="center"/>
          </w:tcPr>
          <w:p>
            <w:pPr>
              <w:spacing w:after="0" w:line="259" w:lineRule="auto"/>
            </w:pPr>
            <w:r>
              <w:rPr>
                <w:color w:val="1F2937"/>
                <w:sz w:val="18"/>
              </w:rPr>
              <w:t>Review browser bundle and repository</w:t>
            </w:r>
          </w:p>
        </w:tc>
        <w:tc>
          <w:tcPr>
            <w:tcW w:type="dxa" w:w="4248"/>
            <w:tcMar>
              <w:top w:w="110" w:type="dxa"/>
              <w:start w:w="120" w:type="dxa"/>
              <w:bottom w:w="110" w:type="dxa"/>
              <w:end w:w="120" w:type="dxa"/>
            </w:tcMar>
            <w:vAlign w:val="center"/>
          </w:tcPr>
          <w:p>
            <w:pPr>
              <w:spacing w:after="0" w:line="259" w:lineRule="auto"/>
            </w:pPr>
            <w:r>
              <w:rPr>
                <w:color w:val="1F2937"/>
                <w:sz w:val="18"/>
              </w:rPr>
              <w:t>No database URLs, Redis URLs, or server secrets are exposed</w:t>
            </w:r>
          </w:p>
        </w:tc>
      </w:tr>
    </w:tbl>
    <w:p>
      <w:pPr>
        <w:spacing w:after="20"/>
      </w:pPr>
    </w:p>
    <w:p>
      <w:pPr>
        <w:pStyle w:val="Heading1"/>
        <w:keepNext/>
        <w:keepLines/>
      </w:pPr>
      <w:r>
        <w:t>Testing limitations and production notes</w:t>
      </w:r>
    </w:p>
    <w:p>
      <w:pPr>
        <w:pStyle w:val="ListBullet"/>
        <w:keepLines/>
      </w:pPr>
      <w:r>
        <w:t>Public Railway database access is acceptable for this testing setup but increases exposure. Rotate credentials immediately if they are shared or leaked.</w:t>
      </w:r>
    </w:p>
    <w:p>
      <w:pPr>
        <w:pStyle w:val="ListBullet"/>
        <w:keepLines/>
      </w:pPr>
      <w:r>
        <w:t>Cross-provider database traffic adds latency and egress cost. A future production setup should place application and data services in the same private network when practical.</w:t>
      </w:r>
    </w:p>
    <w:p>
      <w:pPr>
        <w:pStyle w:val="ListBullet"/>
        <w:keepLines/>
      </w:pPr>
      <w:r>
        <w:t>Use a dedicated object-storage service for admin uploads before relying on user-managed product media in production.</w:t>
      </w:r>
    </w:p>
    <w:p>
      <w:pPr>
        <w:pStyle w:val="ListBullet"/>
        <w:keepLines/>
      </w:pPr>
      <w:r>
        <w:t>Add automated backups, monitoring, error reporting, and recovery procedures before accepting real customer orders.</w:t>
      </w:r>
    </w:p>
    <w:p>
      <w:pPr>
        <w:pStyle w:val="Heading1"/>
        <w:keepNext/>
        <w:keepLines/>
      </w:pPr>
      <w:r>
        <w:t>Reference documentation</w:t>
      </w:r>
    </w:p>
    <w:p>
      <w:pPr>
        <w:pStyle w:val="ListBullet"/>
        <w:keepLines/>
      </w:pPr>
      <w:hyperlink r:id="rId10">
        <w:r>
          <w:rPr>
            <w:color w:val="0563C1"/>
            <w:u w:val="single"/>
          </w:rPr>
          <w:t>Railway PostgreSQL</w:t>
        </w:r>
      </w:hyperlink>
    </w:p>
    <w:p>
      <w:pPr>
        <w:pStyle w:val="ListBullet"/>
        <w:keepLines/>
      </w:pPr>
      <w:hyperlink r:id="rId11">
        <w:r>
          <w:rPr>
            <w:color w:val="0563C1"/>
            <w:u w:val="single"/>
          </w:rPr>
          <w:t>Railway Redis</w:t>
        </w:r>
      </w:hyperlink>
    </w:p>
    <w:p>
      <w:pPr>
        <w:pStyle w:val="ListBullet"/>
        <w:keepLines/>
      </w:pPr>
      <w:hyperlink r:id="rId12">
        <w:r>
          <w:rPr>
            <w:color w:val="0563C1"/>
            <w:u w:val="single"/>
          </w:rPr>
          <w:t>Hostinger Node.js deployment</w:t>
        </w:r>
      </w:hyperlink>
    </w:p>
    <w:p>
      <w:pPr>
        <w:pStyle w:val="ListBullet"/>
        <w:keepLines/>
      </w:pPr>
      <w:hyperlink r:id="rId13">
        <w:r>
          <w:rPr>
            <w:color w:val="0563C1"/>
            <w:u w:val="single"/>
          </w:rPr>
          <w:t>Hostinger environment variables</w:t>
        </w:r>
      </w:hyperlink>
    </w:p>
    <w:p>
      <w:pPr>
        <w:pStyle w:val="ListBullet"/>
        <w:keepLines/>
      </w:pPr>
      <w:hyperlink r:id="rId14">
        <w:r>
          <w:rPr>
            <w:color w:val="0563C1"/>
            <w:u w:val="single"/>
          </w:rPr>
          <w:t>Medusa deployment</w:t>
        </w:r>
      </w:hyperlink>
    </w:p>
    <w:sectPr w:rsidR="00FC693F" w:rsidRPr="0006063C" w:rsidSect="00034616">
      <w:footerReference w:type="default" r:id="rId9"/>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5C6670"/>
        <w:sz w:val="16"/>
      </w:rPr>
      <w:t>Medistore Testing Deployment Plan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Aptos" w:hAnsi="Aptos"/>
      <w:color w:val="1F293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contextualSpacing/>
    </w:pPr>
    <w:rPr>
      <w:rFonts w:ascii="Aptos" w:hAnsi="Aptos"/>
      <w:color w:val="1F293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railway.com/databases/postgresql" TargetMode="External"/><Relationship Id="rId11" Type="http://schemas.openxmlformats.org/officeDocument/2006/relationships/hyperlink" Target="https://docs.railway.com/databases/redis" TargetMode="External"/><Relationship Id="rId12" Type="http://schemas.openxmlformats.org/officeDocument/2006/relationships/hyperlink" Target="https://www.hostinger.com/support/how-to-deploy-a-nodejs-website-in-hostinger/" TargetMode="External"/><Relationship Id="rId13" Type="http://schemas.openxmlformats.org/officeDocument/2006/relationships/hyperlink" Target="https://www.hostinger.com/support/how-to-add-environment-variables-during-node-js-application-deployment/" TargetMode="External"/><Relationship Id="rId14" Type="http://schemas.openxmlformats.org/officeDocument/2006/relationships/hyperlink" Target="https://docs.medusajs.com/learn/deployment/gener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Medistore Testing Deployment Plan</dc:title>
  <dc:subject>Hostinger Cloud and Railway testing deployment</dc:subject>
  <dc:creator>Medistore</dc:creator>
  <cp:keywords/>
  <dc:description>generated by python-docx</dc:description>
  <cp:lastModifiedBy/>
  <cp:revision>1</cp:revision>
  <dcterms:created xsi:type="dcterms:W3CDTF">2013-12-23T23:15:00Z</dcterms:created>
  <dcterms:modified xsi:type="dcterms:W3CDTF">2013-12-23T23:15:00Z</dcterms:modified>
  <cp:category/>
</cp:coreProperties>
</file>