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5C73" w14:textId="77777777" w:rsidR="00EB59DB" w:rsidRPr="000C5323" w:rsidRDefault="00000000">
      <w:pPr>
        <w:spacing w:before="800"/>
        <w:jc w:val="center"/>
        <w:rPr>
          <w:rFonts w:ascii="Times New Roman" w:hAnsi="Times New Roman" w:cs="Times New Roman"/>
          <w:color w:val="000000" w:themeColor="text1"/>
        </w:rPr>
      </w:pPr>
      <w:r w:rsidRPr="000C5323">
        <w:rPr>
          <w:rFonts w:ascii="Times New Roman" w:hAnsi="Times New Roman" w:cs="Times New Roman"/>
          <w:b/>
          <w:color w:val="000000" w:themeColor="text1"/>
          <w:sz w:val="48"/>
        </w:rPr>
        <w:t>ENGINEERING DESIGN REPORT</w:t>
      </w:r>
    </w:p>
    <w:p w14:paraId="2BDF94CD" w14:textId="77777777" w:rsidR="00EB59DB" w:rsidRPr="000C5323" w:rsidRDefault="00000000">
      <w:pPr>
        <w:jc w:val="center"/>
        <w:rPr>
          <w:rFonts w:ascii="Times New Roman" w:hAnsi="Times New Roman" w:cs="Times New Roman"/>
          <w:color w:val="000000" w:themeColor="text1"/>
        </w:rPr>
      </w:pPr>
      <w:r w:rsidRPr="000C5323">
        <w:rPr>
          <w:rFonts w:ascii="Times New Roman" w:hAnsi="Times New Roman" w:cs="Times New Roman"/>
          <w:b/>
          <w:color w:val="000000" w:themeColor="text1"/>
          <w:sz w:val="32"/>
        </w:rPr>
        <w:t>Evolution, Cellular Planning, Spectrum Use</w:t>
      </w:r>
      <w:r w:rsidRPr="000C5323">
        <w:rPr>
          <w:rFonts w:ascii="Times New Roman" w:hAnsi="Times New Roman" w:cs="Times New Roman"/>
          <w:b/>
          <w:color w:val="000000" w:themeColor="text1"/>
          <w:sz w:val="32"/>
        </w:rPr>
        <w:br/>
        <w:t>and Interference Management</w:t>
      </w:r>
    </w:p>
    <w:p w14:paraId="3B5C3B0A" w14:textId="77777777" w:rsidR="00EB59DB" w:rsidRPr="000C5323" w:rsidRDefault="00000000">
      <w:pPr>
        <w:spacing w:before="440"/>
        <w:jc w:val="center"/>
        <w:rPr>
          <w:rFonts w:ascii="Times New Roman" w:hAnsi="Times New Roman" w:cs="Times New Roman"/>
          <w:color w:val="000000" w:themeColor="text1"/>
        </w:rPr>
      </w:pPr>
      <w:r w:rsidRPr="000C5323">
        <w:rPr>
          <w:rFonts w:ascii="Times New Roman" w:hAnsi="Times New Roman" w:cs="Times New Roman"/>
          <w:color w:val="000000" w:themeColor="text1"/>
          <w:sz w:val="22"/>
        </w:rPr>
        <w:t>Course: ECA56 – Advanced Wireless Communication Systems</w:t>
      </w:r>
    </w:p>
    <w:p w14:paraId="5C51BBCF" w14:textId="77777777" w:rsidR="00EB59DB" w:rsidRPr="000C5323" w:rsidRDefault="00000000">
      <w:pPr>
        <w:spacing w:before="240"/>
        <w:jc w:val="center"/>
        <w:rPr>
          <w:rFonts w:ascii="Times New Roman" w:hAnsi="Times New Roman" w:cs="Times New Roman"/>
          <w:color w:val="000000" w:themeColor="text1"/>
        </w:rPr>
      </w:pPr>
      <w:r w:rsidRPr="000C5323">
        <w:rPr>
          <w:rFonts w:ascii="Times New Roman" w:hAnsi="Times New Roman" w:cs="Times New Roman"/>
          <w:color w:val="000000" w:themeColor="text1"/>
          <w:sz w:val="22"/>
        </w:rPr>
        <w:t>CO1: Integrated Engineering Analysis and Planning Assignment</w:t>
      </w:r>
    </w:p>
    <w:p w14:paraId="469ED17C" w14:textId="77777777" w:rsidR="00EB59DB" w:rsidRPr="000C5323" w:rsidRDefault="00EB59DB">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880"/>
        <w:gridCol w:w="6768"/>
      </w:tblGrid>
      <w:tr w:rsidR="00EB59DB" w:rsidRPr="000C5323" w14:paraId="2A337B20" w14:textId="77777777" w:rsidTr="000C5323">
        <w:tc>
          <w:tcPr>
            <w:tcW w:w="2880" w:type="dxa"/>
          </w:tcPr>
          <w:p w14:paraId="55D7615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20"/>
              </w:rPr>
              <w:t>STUDENT DETAILS</w:t>
            </w:r>
          </w:p>
        </w:tc>
        <w:tc>
          <w:tcPr>
            <w:tcW w:w="6768" w:type="dxa"/>
          </w:tcPr>
          <w:p w14:paraId="42BEBBB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20"/>
              </w:rPr>
              <w:t>INFORMATION</w:t>
            </w:r>
          </w:p>
        </w:tc>
      </w:tr>
      <w:tr w:rsidR="00EB59DB" w:rsidRPr="000C5323" w14:paraId="39A9CE54" w14:textId="77777777" w:rsidTr="000C5323">
        <w:tc>
          <w:tcPr>
            <w:tcW w:w="2880" w:type="dxa"/>
          </w:tcPr>
          <w:p w14:paraId="14073DD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Name</w:t>
            </w:r>
          </w:p>
        </w:tc>
        <w:tc>
          <w:tcPr>
            <w:tcW w:w="6768" w:type="dxa"/>
          </w:tcPr>
          <w:p w14:paraId="74DC11F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Joseph Paul B</w:t>
            </w:r>
          </w:p>
        </w:tc>
      </w:tr>
      <w:tr w:rsidR="00EB59DB" w:rsidRPr="000C5323" w14:paraId="6FB20751" w14:textId="77777777" w:rsidTr="000C5323">
        <w:tc>
          <w:tcPr>
            <w:tcW w:w="2880" w:type="dxa"/>
          </w:tcPr>
          <w:p w14:paraId="425D3CC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Register Number</w:t>
            </w:r>
          </w:p>
        </w:tc>
        <w:tc>
          <w:tcPr>
            <w:tcW w:w="6768" w:type="dxa"/>
          </w:tcPr>
          <w:p w14:paraId="0DF0F34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192512244</w:t>
            </w:r>
          </w:p>
        </w:tc>
      </w:tr>
      <w:tr w:rsidR="00EB59DB" w:rsidRPr="000C5323" w14:paraId="0719773B" w14:textId="77777777" w:rsidTr="000C5323">
        <w:tc>
          <w:tcPr>
            <w:tcW w:w="2880" w:type="dxa"/>
          </w:tcPr>
          <w:p w14:paraId="1BCF996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Assessment format</w:t>
            </w:r>
          </w:p>
        </w:tc>
        <w:tc>
          <w:tcPr>
            <w:tcW w:w="6768" w:type="dxa"/>
          </w:tcPr>
          <w:p w14:paraId="063DACC3"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Open-ended engineering design report</w:t>
            </w:r>
          </w:p>
        </w:tc>
      </w:tr>
      <w:tr w:rsidR="00EB59DB" w:rsidRPr="000C5323" w14:paraId="2A40E589" w14:textId="77777777" w:rsidTr="000C5323">
        <w:tc>
          <w:tcPr>
            <w:tcW w:w="2880" w:type="dxa"/>
          </w:tcPr>
          <w:p w14:paraId="76FFC35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Course outcome</w:t>
            </w:r>
          </w:p>
        </w:tc>
        <w:tc>
          <w:tcPr>
            <w:tcW w:w="6768" w:type="dxa"/>
          </w:tcPr>
          <w:p w14:paraId="4CF691B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20"/>
              </w:rPr>
              <w:t>CO1 – Mobile-system evolution, cellular architecture, spectrum and interference</w:t>
            </w:r>
          </w:p>
        </w:tc>
      </w:tr>
    </w:tbl>
    <w:p w14:paraId="16B27A42" w14:textId="77777777" w:rsidR="00EB59DB" w:rsidRPr="000C5323" w:rsidRDefault="00EB59DB">
      <w:pPr>
        <w:spacing w:after="0"/>
        <w:rPr>
          <w:rFonts w:ascii="Times New Roman" w:hAnsi="Times New Roman" w:cs="Times New Roman"/>
          <w:color w:val="000000" w:themeColor="text1"/>
        </w:rPr>
      </w:pPr>
    </w:p>
    <w:p w14:paraId="58090660" w14:textId="1A6E11DB" w:rsidR="00EB59DB" w:rsidRPr="000C5323" w:rsidRDefault="00EB59DB">
      <w:pPr>
        <w:spacing w:before="500"/>
        <w:jc w:val="center"/>
        <w:rPr>
          <w:rFonts w:ascii="Times New Roman" w:hAnsi="Times New Roman" w:cs="Times New Roman"/>
          <w:color w:val="000000" w:themeColor="text1"/>
        </w:rPr>
      </w:pPr>
    </w:p>
    <w:p w14:paraId="6D4666E4"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br w:type="page"/>
      </w:r>
    </w:p>
    <w:p w14:paraId="40E626C0"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lastRenderedPageBreak/>
        <w:t>Executive Summary</w:t>
      </w:r>
    </w:p>
    <w:p w14:paraId="58695935"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This report evaluates a regional mobile network using the supplied cell, traffic, mobility, interference and spectrum data. The main results are: a hexagonal cell area of 10.39 km²; a 19-cell cluster area of 197.45 km²; a reuse distance of 9.17 km for N = 7; busy-hour offered traffic of 80 Erlangs; and a minimum of 92 traffic channels to keep Erlang B blocking at or below 2%. The existing 100-channel group is therefore sufficient for the stated traffic model, with a calculated blocking probability of about 0.40%.</w:t>
      </w:r>
    </w:p>
    <w:p w14:paraId="5C902EB4"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The interference calculation gives a co-channel-only C/I of 15 dB, but combining co-channel and adjacent-channel interference reduces the interference-limited SINR to approximately 13.81 dB, below the 15 dB target. The operator should prioritize interference optimization and measured radio planning before adding capacity. For broad coverage, 900 MHz is the most propagation-friendly of the compared bands; 3.5 GHz is a balanced capacity layer; and 28 GHz is best reserved for targeted high-capacity hotspots with line-of-sight-friendly conditions.</w:t>
      </w:r>
    </w:p>
    <w:p w14:paraId="225C912D"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1. Requirements, Inputs and Assumptions</w:t>
      </w:r>
    </w:p>
    <w:tbl>
      <w:tblPr>
        <w:tblStyle w:val="TableGrid"/>
        <w:tblW w:w="0" w:type="auto"/>
        <w:tblLook w:val="04A0" w:firstRow="1" w:lastRow="0" w:firstColumn="1" w:lastColumn="0" w:noHBand="0" w:noVBand="1"/>
      </w:tblPr>
      <w:tblGrid>
        <w:gridCol w:w="2160"/>
        <w:gridCol w:w="7488"/>
      </w:tblGrid>
      <w:tr w:rsidR="00EB59DB" w:rsidRPr="000C5323" w14:paraId="0A6C3740" w14:textId="77777777" w:rsidTr="000C5323">
        <w:tc>
          <w:tcPr>
            <w:tcW w:w="2160" w:type="dxa"/>
          </w:tcPr>
          <w:p w14:paraId="543A206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Parameter</w:t>
            </w:r>
          </w:p>
        </w:tc>
        <w:tc>
          <w:tcPr>
            <w:tcW w:w="7488" w:type="dxa"/>
          </w:tcPr>
          <w:p w14:paraId="54F9B39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Supplied value / interpretation</w:t>
            </w:r>
          </w:p>
        </w:tc>
      </w:tr>
      <w:tr w:rsidR="00EB59DB" w:rsidRPr="000C5323" w14:paraId="7C9AEF60" w14:textId="77777777" w:rsidTr="000C5323">
        <w:tc>
          <w:tcPr>
            <w:tcW w:w="2160" w:type="dxa"/>
          </w:tcPr>
          <w:p w14:paraId="749041F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Cell model</w:t>
            </w:r>
          </w:p>
        </w:tc>
        <w:tc>
          <w:tcPr>
            <w:tcW w:w="7488" w:type="dxa"/>
          </w:tcPr>
          <w:p w14:paraId="5D4008B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Ideal hexagon; radius r = 2 km; cluster contains 19 cells; reuse cluster size N = 7</w:t>
            </w:r>
          </w:p>
        </w:tc>
      </w:tr>
      <w:tr w:rsidR="00EB59DB" w:rsidRPr="000C5323" w14:paraId="3499C89F" w14:textId="77777777" w:rsidTr="000C5323">
        <w:tc>
          <w:tcPr>
            <w:tcW w:w="2160" w:type="dxa"/>
          </w:tcPr>
          <w:p w14:paraId="5EDE3E1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Traffic</w:t>
            </w:r>
          </w:p>
        </w:tc>
        <w:tc>
          <w:tcPr>
            <w:tcW w:w="7488" w:type="dxa"/>
          </w:tcPr>
          <w:p w14:paraId="0F01014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1,000 subscribers × 0.08 Erlang/subscriber in busy hour; base-station group C = 100 channels; blocking target ≤ 2%</w:t>
            </w:r>
          </w:p>
        </w:tc>
      </w:tr>
      <w:tr w:rsidR="00EB59DB" w:rsidRPr="000C5323" w14:paraId="06625B40" w14:textId="77777777" w:rsidTr="000C5323">
        <w:tc>
          <w:tcPr>
            <w:tcW w:w="2160" w:type="dxa"/>
          </w:tcPr>
          <w:p w14:paraId="0AB2437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Mobility</w:t>
            </w:r>
          </w:p>
        </w:tc>
        <w:tc>
          <w:tcPr>
            <w:tcW w:w="7488" w:type="dxa"/>
          </w:tcPr>
          <w:p w14:paraId="73D325E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Speed = 60 km/h; overlap dwell = 6 s; nominal route cell length = 1 km; handoff interruption = 0.5 s; target-cell unavailability = 1%</w:t>
            </w:r>
          </w:p>
        </w:tc>
      </w:tr>
      <w:tr w:rsidR="00EB59DB" w:rsidRPr="000C5323" w14:paraId="0199771C" w14:textId="77777777" w:rsidTr="000C5323">
        <w:tc>
          <w:tcPr>
            <w:tcW w:w="2160" w:type="dxa"/>
          </w:tcPr>
          <w:p w14:paraId="0653669E"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Interference</w:t>
            </w:r>
          </w:p>
        </w:tc>
        <w:tc>
          <w:tcPr>
            <w:tcW w:w="7488" w:type="dxa"/>
          </w:tcPr>
          <w:p w14:paraId="48946FF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Desired signal S = −70 dBm; co-channel I₁ = −85 dBm; adjacent-channel I₂ = −90 dBm; target SINR = 15 dB</w:t>
            </w:r>
          </w:p>
        </w:tc>
      </w:tr>
      <w:tr w:rsidR="00EB59DB" w:rsidRPr="000C5323" w14:paraId="498B9DB9" w14:textId="77777777" w:rsidTr="000C5323">
        <w:tc>
          <w:tcPr>
            <w:tcW w:w="2160" w:type="dxa"/>
          </w:tcPr>
          <w:p w14:paraId="777B2F1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Spectrum</w:t>
            </w:r>
          </w:p>
        </w:tc>
        <w:tc>
          <w:tcPr>
            <w:tcW w:w="7488" w:type="dxa"/>
          </w:tcPr>
          <w:p w14:paraId="4BCB190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900 MHz, 3.5 GHz and 28 GHz; distance d = 100 m; c = 3 × 10⁸ m/s</w:t>
            </w:r>
          </w:p>
        </w:tc>
      </w:tr>
    </w:tbl>
    <w:p w14:paraId="0C2E91EF" w14:textId="77777777" w:rsidR="00EB59DB" w:rsidRPr="000C5323" w:rsidRDefault="00EB59DB">
      <w:pPr>
        <w:spacing w:after="0"/>
        <w:rPr>
          <w:rFonts w:ascii="Times New Roman" w:hAnsi="Times New Roman" w:cs="Times New Roman"/>
          <w:color w:val="000000" w:themeColor="text1"/>
        </w:rPr>
      </w:pPr>
    </w:p>
    <w:p w14:paraId="71A13B7D" w14:textId="77777777" w:rsidR="00EB59DB" w:rsidRPr="000C5323" w:rsidRDefault="00000000">
      <w:pPr>
        <w:pStyle w:val="Heading2"/>
        <w:rPr>
          <w:rFonts w:ascii="Times New Roman" w:hAnsi="Times New Roman" w:cs="Times New Roman"/>
          <w:color w:val="000000" w:themeColor="text1"/>
        </w:rPr>
      </w:pPr>
      <w:r w:rsidRPr="000C5323">
        <w:rPr>
          <w:rFonts w:ascii="Times New Roman" w:hAnsi="Times New Roman" w:cs="Times New Roman"/>
          <w:color w:val="000000" w:themeColor="text1"/>
        </w:rPr>
        <w:t>Assumptions</w:t>
      </w:r>
    </w:p>
    <w:p w14:paraId="5174170E"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The hexagonal model is idealized and assumes uniform cells, flat terrain, consistent cell radius and a regular reuse pattern.</w:t>
      </w:r>
    </w:p>
    <w:p w14:paraId="6DA55C9C"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Erlang B assumes random call arrivals, statistically independent call durations, no queueing, and blocked calls cleared (lost-call system). Each subscriber contributes 0.08 Erlang during the busy hour.</w:t>
      </w:r>
    </w:p>
    <w:p w14:paraId="7BDEB56B"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For the idealized 1G channel count, guard bands, duplexing, control channels and practical channel-plan constraints are ignored unless stated otherwise.</w:t>
      </w:r>
    </w:p>
    <w:p w14:paraId="29E2C7AD"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The interference SINR calculation uses only the two supplied interference powers. Thermal noise and other interferers are not supplied, so they are excluded; actual SINR would generally be lower.</w:t>
      </w:r>
    </w:p>
    <w:p w14:paraId="7C1310C9"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For handoff frequency, the 1 km cell length is interpreted as the distance along the route between successive cell-boundary crossings, not the full diameter of a hexagonal cell.</w:t>
      </w:r>
    </w:p>
    <w:p w14:paraId="0277E02A"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2. Stage 1 — Evolution of Mobile Systems</w:t>
      </w:r>
    </w:p>
    <w:tbl>
      <w:tblPr>
        <w:tblStyle w:val="TableGrid"/>
        <w:tblW w:w="0" w:type="auto"/>
        <w:tblLook w:val="04A0" w:firstRow="1" w:lastRow="0" w:firstColumn="1" w:lastColumn="0" w:noHBand="0" w:noVBand="1"/>
      </w:tblPr>
      <w:tblGrid>
        <w:gridCol w:w="941"/>
        <w:gridCol w:w="2088"/>
        <w:gridCol w:w="2880"/>
        <w:gridCol w:w="3744"/>
      </w:tblGrid>
      <w:tr w:rsidR="00EB59DB" w:rsidRPr="000C5323" w14:paraId="3F386BC0" w14:textId="77777777" w:rsidTr="000C5323">
        <w:tc>
          <w:tcPr>
            <w:tcW w:w="936" w:type="dxa"/>
          </w:tcPr>
          <w:p w14:paraId="4BDF6986"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Generation</w:t>
            </w:r>
          </w:p>
        </w:tc>
        <w:tc>
          <w:tcPr>
            <w:tcW w:w="2088" w:type="dxa"/>
          </w:tcPr>
          <w:p w14:paraId="54E0115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Service capability</w:t>
            </w:r>
          </w:p>
        </w:tc>
        <w:tc>
          <w:tcPr>
            <w:tcW w:w="2880" w:type="dxa"/>
          </w:tcPr>
          <w:p w14:paraId="330661BE"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Access / radio technology</w:t>
            </w:r>
          </w:p>
        </w:tc>
        <w:tc>
          <w:tcPr>
            <w:tcW w:w="3744" w:type="dxa"/>
          </w:tcPr>
          <w:p w14:paraId="16E08AC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Limitation or engineering change</w:t>
            </w:r>
          </w:p>
        </w:tc>
      </w:tr>
      <w:tr w:rsidR="00EB59DB" w:rsidRPr="000C5323" w14:paraId="04F29A54" w14:textId="77777777" w:rsidTr="000C5323">
        <w:tc>
          <w:tcPr>
            <w:tcW w:w="936" w:type="dxa"/>
          </w:tcPr>
          <w:p w14:paraId="728A89D3"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1G</w:t>
            </w:r>
          </w:p>
        </w:tc>
        <w:tc>
          <w:tcPr>
            <w:tcW w:w="2088" w:type="dxa"/>
          </w:tcPr>
          <w:p w14:paraId="47D6652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Basic analog voice</w:t>
            </w:r>
          </w:p>
        </w:tc>
        <w:tc>
          <w:tcPr>
            <w:tcW w:w="2880" w:type="dxa"/>
          </w:tcPr>
          <w:p w14:paraId="06F2780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AMPS; 800 MHz; 30 kHz analog FDMA channels</w:t>
            </w:r>
          </w:p>
        </w:tc>
        <w:tc>
          <w:tcPr>
            <w:tcW w:w="3744" w:type="dxa"/>
          </w:tcPr>
          <w:p w14:paraId="1EF3AAF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Low spectral efficiency, limited capacity, weak privacy and analog interference sensitivity.</w:t>
            </w:r>
          </w:p>
        </w:tc>
      </w:tr>
      <w:tr w:rsidR="00EB59DB" w:rsidRPr="000C5323" w14:paraId="5A6E9BCB" w14:textId="77777777" w:rsidTr="000C5323">
        <w:tc>
          <w:tcPr>
            <w:tcW w:w="936" w:type="dxa"/>
          </w:tcPr>
          <w:p w14:paraId="6A173EC3"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2G</w:t>
            </w:r>
          </w:p>
        </w:tc>
        <w:tc>
          <w:tcPr>
            <w:tcW w:w="2088" w:type="dxa"/>
          </w:tcPr>
          <w:p w14:paraId="18CFAC2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Digital voice, SMS and improved service control</w:t>
            </w:r>
          </w:p>
        </w:tc>
        <w:tc>
          <w:tcPr>
            <w:tcW w:w="2880" w:type="dxa"/>
          </w:tcPr>
          <w:p w14:paraId="720C7B4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GSM at 900 MHz; 200 kHz carrier; 8 TDMA time slots</w:t>
            </w:r>
          </w:p>
        </w:tc>
        <w:tc>
          <w:tcPr>
            <w:tcW w:w="3744" w:type="dxa"/>
          </w:tcPr>
          <w:p w14:paraId="63E16F1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Digital coding and time-slot sharing improve capacity and service quality; data rates remain limited.</w:t>
            </w:r>
          </w:p>
        </w:tc>
      </w:tr>
      <w:tr w:rsidR="00EB59DB" w:rsidRPr="000C5323" w14:paraId="5EAA4032" w14:textId="77777777" w:rsidTr="000C5323">
        <w:tc>
          <w:tcPr>
            <w:tcW w:w="936" w:type="dxa"/>
          </w:tcPr>
          <w:p w14:paraId="605B928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3G</w:t>
            </w:r>
          </w:p>
        </w:tc>
        <w:tc>
          <w:tcPr>
            <w:tcW w:w="2088" w:type="dxa"/>
          </w:tcPr>
          <w:p w14:paraId="341273A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Mobile internet and multimedia</w:t>
            </w:r>
          </w:p>
        </w:tc>
        <w:tc>
          <w:tcPr>
            <w:tcW w:w="2880" w:type="dxa"/>
          </w:tcPr>
          <w:p w14:paraId="42EBC99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UMTS; 5 MHz carrier; wideband CDMA family</w:t>
            </w:r>
          </w:p>
        </w:tc>
        <w:tc>
          <w:tcPr>
            <w:tcW w:w="3744" w:type="dxa"/>
          </w:tcPr>
          <w:p w14:paraId="6AA1DD0E"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Higher data capability, but capacity and performance depend on interference, load and radio conditions.</w:t>
            </w:r>
          </w:p>
        </w:tc>
      </w:tr>
      <w:tr w:rsidR="00EB59DB" w:rsidRPr="000C5323" w14:paraId="0BD26116" w14:textId="77777777" w:rsidTr="000C5323">
        <w:tc>
          <w:tcPr>
            <w:tcW w:w="936" w:type="dxa"/>
          </w:tcPr>
          <w:p w14:paraId="446D9D66"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4G</w:t>
            </w:r>
          </w:p>
        </w:tc>
        <w:tc>
          <w:tcPr>
            <w:tcW w:w="2088" w:type="dxa"/>
          </w:tcPr>
          <w:p w14:paraId="3C3C26B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Broadband IP services, video and low-latency applications</w:t>
            </w:r>
          </w:p>
        </w:tc>
        <w:tc>
          <w:tcPr>
            <w:tcW w:w="2880" w:type="dxa"/>
          </w:tcPr>
          <w:p w14:paraId="6AA66AC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LTE; OFDMA downlink, SC-FDMA uplink in conventional LTE; MIMO</w:t>
            </w:r>
          </w:p>
        </w:tc>
        <w:tc>
          <w:tcPr>
            <w:tcW w:w="3744" w:type="dxa"/>
          </w:tcPr>
          <w:p w14:paraId="0D5B8A3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Moves toward high-throughput packet networks; needs careful scheduling, frequency planning and multi-antenna design.</w:t>
            </w:r>
          </w:p>
        </w:tc>
      </w:tr>
      <w:tr w:rsidR="00EB59DB" w:rsidRPr="000C5323" w14:paraId="017EA766" w14:textId="77777777" w:rsidTr="000C5323">
        <w:tc>
          <w:tcPr>
            <w:tcW w:w="936" w:type="dxa"/>
          </w:tcPr>
          <w:p w14:paraId="20E33B3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5G</w:t>
            </w:r>
          </w:p>
        </w:tc>
        <w:tc>
          <w:tcPr>
            <w:tcW w:w="2088" w:type="dxa"/>
          </w:tcPr>
          <w:p w14:paraId="4862BB7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eMBB, URLLC-oriented services and massive IoT</w:t>
            </w:r>
          </w:p>
        </w:tc>
        <w:tc>
          <w:tcPr>
            <w:tcW w:w="2880" w:type="dxa"/>
          </w:tcPr>
          <w:p w14:paraId="0EBE96F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5G NR; sub-6 GHz/mid-band and mmWave; beamforming and massive MIMO</w:t>
            </w:r>
          </w:p>
        </w:tc>
        <w:tc>
          <w:tcPr>
            <w:tcW w:w="3744" w:type="dxa"/>
          </w:tcPr>
          <w:p w14:paraId="40B1D67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Higher capacity and flexibility, but high-frequency coverage, blockage, densification and synchronization become important.</w:t>
            </w:r>
          </w:p>
        </w:tc>
      </w:tr>
      <w:tr w:rsidR="00EB59DB" w:rsidRPr="000C5323" w14:paraId="48E53A59" w14:textId="77777777" w:rsidTr="000C5323">
        <w:tc>
          <w:tcPr>
            <w:tcW w:w="936" w:type="dxa"/>
          </w:tcPr>
          <w:p w14:paraId="72E89EB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6G vision</w:t>
            </w:r>
          </w:p>
        </w:tc>
        <w:tc>
          <w:tcPr>
            <w:tcW w:w="2088" w:type="dxa"/>
          </w:tcPr>
          <w:p w14:paraId="611CAD5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Immersive/holographic communication, tactile applications, AI-native networking and ISAC</w:t>
            </w:r>
          </w:p>
        </w:tc>
        <w:tc>
          <w:tcPr>
            <w:tcW w:w="2880" w:type="dxa"/>
          </w:tcPr>
          <w:p w14:paraId="2432BB1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Potential THz spectrum, AI-assisted control and integrated sensing/communication; still under development</w:t>
            </w:r>
          </w:p>
        </w:tc>
        <w:tc>
          <w:tcPr>
            <w:tcW w:w="3744" w:type="dxa"/>
          </w:tcPr>
          <w:p w14:paraId="4940756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Research vision rather than a fully deployed standard; feasibility, energy, coverage, cost and regulation remain open questions.</w:t>
            </w:r>
          </w:p>
        </w:tc>
      </w:tr>
    </w:tbl>
    <w:p w14:paraId="1CFC562E" w14:textId="77777777" w:rsidR="00EB59DB" w:rsidRPr="000C5323" w:rsidRDefault="00EB59DB">
      <w:pPr>
        <w:spacing w:after="0"/>
        <w:rPr>
          <w:rFonts w:ascii="Times New Roman" w:hAnsi="Times New Roman" w:cs="Times New Roman"/>
          <w:color w:val="000000" w:themeColor="text1"/>
        </w:rPr>
      </w:pPr>
    </w:p>
    <w:p w14:paraId="6EDD8E79" w14:textId="77777777" w:rsidR="002A5916" w:rsidRDefault="002A5916">
      <w:pPr>
        <w:pStyle w:val="Heading2"/>
        <w:rPr>
          <w:rFonts w:ascii="Times New Roman" w:hAnsi="Times New Roman" w:cs="Times New Roman"/>
          <w:color w:val="000000" w:themeColor="text1"/>
        </w:rPr>
      </w:pPr>
    </w:p>
    <w:p w14:paraId="1782E121" w14:textId="44AFA979" w:rsidR="00EB59DB" w:rsidRPr="000C5323" w:rsidRDefault="00000000">
      <w:pPr>
        <w:pStyle w:val="Heading2"/>
        <w:rPr>
          <w:rFonts w:ascii="Times New Roman" w:hAnsi="Times New Roman" w:cs="Times New Roman"/>
          <w:color w:val="000000" w:themeColor="text1"/>
        </w:rPr>
      </w:pPr>
      <w:r w:rsidRPr="000C5323">
        <w:rPr>
          <w:rFonts w:ascii="Times New Roman" w:hAnsi="Times New Roman" w:cs="Times New Roman"/>
          <w:color w:val="000000" w:themeColor="text1"/>
        </w:rPr>
        <w:t>1G wavelength and idealized channel count</w:t>
      </w:r>
    </w:p>
    <w:p w14:paraId="13036E3B"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Wavelength is λ = c/f. At f = 800 MHz:</w:t>
      </w:r>
    </w:p>
    <w:p w14:paraId="05A88C9A"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λ = (3 × 10⁸ m/s) / (800 × 10⁶ Hz) = 0.375 m.</w:t>
      </w:r>
    </w:p>
    <w:p w14:paraId="2E26A825"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Idealized channel count = total allocation / channel bandwidth = 10 MHz / 30 kHz = 10,000 kHz / 30 kHz = 333.33, or at most 333 whole 30 kHz channels in this simplified calculation. This is not a practical AMPS channel plan: duplexing, guard bands, control channels, band-edge restrictions and channel allocation rules reduce the usable number.</w:t>
      </w:r>
    </w:p>
    <w:p w14:paraId="1C0D4FC3"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The move from 1G analog FDMA to 2G digital transmission and TDMA allowed multiple users to share a carrier in separate time slots, while digital coding improved voice quality, service features and spectrum efficiency. Across generations, the objective shifted from voice access toward higher data rates, more users per area, reliability and low latency. Consequently, interference control evolved from fixed frequency planning toward power control, scheduling, MIMO/beamforming, dynamic resource allocation and coordinated network optimization. The 6G items listed are a vision; ITU-R describes IMT-2030 as a framework for future capabilities, not a guarantee of deployed performance [1].</w:t>
      </w:r>
    </w:p>
    <w:p w14:paraId="45B9A7C8"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3. Stage 2 — Cell Coverage and Frequency Reuse</w:t>
      </w:r>
    </w:p>
    <w:p w14:paraId="7E66897B"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For a regular hexagon whose radius r is the distance from its centre to a vertex, area is A = (3√3/2)r².</w:t>
      </w:r>
    </w:p>
    <w:p w14:paraId="3EB52E1E"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A = (3√3/2)(2 km)² = 10.392 km² ≈ 10.39 km² per cell.</w:t>
      </w:r>
    </w:p>
    <w:p w14:paraId="47B7073F"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Area of the 19-cell planning cluster = 19 × 10.392 = 197.454 km² ≈ 197.45 km².</w:t>
      </w:r>
    </w:p>
    <w:p w14:paraId="539DC744"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Frequency reuse fraction = 1/N = 1/7 = 0.1429 ≈ 14.29% of the total channel set assigned to each cell in the ideal reuse pattern.</w:t>
      </w:r>
    </w:p>
    <w:p w14:paraId="66F24B33"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Reuse distance: D = r√(3N) = 2 km × √(3 × 7) = 2√21 km = 9.165 km ≈ 9.17 km.</w:t>
      </w:r>
    </w:p>
    <w:p w14:paraId="783BD903"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The hexagonal approximation tessellates a plane without gaps or overlaps and simplifies area and reuse calculations. Real radio coverage is not a perfect hexagon: terrain, buildings, antenna height and tilt, clutter, weather at high frequencies, user equipment, traffic load and interference create irregular coverage. Geometric coverage therefore does not guarantee a usable signal, a minimum data rate or indoor service.</w:t>
      </w:r>
    </w:p>
    <w:p w14:paraId="2B01411A" w14:textId="77777777" w:rsidR="00EB59DB" w:rsidRPr="000C5323" w:rsidRDefault="00000000">
      <w:pPr>
        <w:pStyle w:val="Heading2"/>
        <w:rPr>
          <w:rFonts w:ascii="Times New Roman" w:hAnsi="Times New Roman" w:cs="Times New Roman"/>
          <w:color w:val="000000" w:themeColor="text1"/>
        </w:rPr>
      </w:pPr>
      <w:r w:rsidRPr="000C5323">
        <w:rPr>
          <w:rFonts w:ascii="Times New Roman" w:hAnsi="Times New Roman" w:cs="Times New Roman"/>
          <w:color w:val="000000" w:themeColor="text1"/>
        </w:rPr>
        <w:t>Capacity-expansion options</w:t>
      </w:r>
    </w:p>
    <w:tbl>
      <w:tblPr>
        <w:tblStyle w:val="TableGrid"/>
        <w:tblW w:w="0" w:type="auto"/>
        <w:tblLook w:val="04A0" w:firstRow="1" w:lastRow="0" w:firstColumn="1" w:lastColumn="0" w:noHBand="0" w:noVBand="1"/>
      </w:tblPr>
      <w:tblGrid>
        <w:gridCol w:w="1872"/>
        <w:gridCol w:w="3528"/>
        <w:gridCol w:w="4248"/>
      </w:tblGrid>
      <w:tr w:rsidR="00EB59DB" w:rsidRPr="000C5323" w14:paraId="7E520DB4" w14:textId="77777777" w:rsidTr="000C5323">
        <w:tc>
          <w:tcPr>
            <w:tcW w:w="1872" w:type="dxa"/>
          </w:tcPr>
          <w:p w14:paraId="6A2B436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Measure</w:t>
            </w:r>
          </w:p>
        </w:tc>
        <w:tc>
          <w:tcPr>
            <w:tcW w:w="3528" w:type="dxa"/>
          </w:tcPr>
          <w:p w14:paraId="18C5D92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Benefit</w:t>
            </w:r>
          </w:p>
        </w:tc>
        <w:tc>
          <w:tcPr>
            <w:tcW w:w="4248" w:type="dxa"/>
          </w:tcPr>
          <w:p w14:paraId="7927937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Trade-off / use</w:t>
            </w:r>
          </w:p>
        </w:tc>
      </w:tr>
      <w:tr w:rsidR="00EB59DB" w:rsidRPr="000C5323" w14:paraId="5C6B6DD0" w14:textId="77777777" w:rsidTr="000C5323">
        <w:tc>
          <w:tcPr>
            <w:tcW w:w="1872" w:type="dxa"/>
          </w:tcPr>
          <w:p w14:paraId="2CE4B6C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Cell splitting</w:t>
            </w:r>
          </w:p>
        </w:tc>
        <w:tc>
          <w:tcPr>
            <w:tcW w:w="3528" w:type="dxa"/>
          </w:tcPr>
          <w:p w14:paraId="5D453BB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Adds smaller cells and increases spatial reuse/capacity.</w:t>
            </w:r>
          </w:p>
        </w:tc>
        <w:tc>
          <w:tcPr>
            <w:tcW w:w="4248" w:type="dxa"/>
          </w:tcPr>
          <w:p w14:paraId="441107F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More sites, backhaul and handoffs; transmit power and reuse planning must be recalculated.</w:t>
            </w:r>
          </w:p>
        </w:tc>
      </w:tr>
      <w:tr w:rsidR="00EB59DB" w:rsidRPr="000C5323" w14:paraId="26524FBA" w14:textId="77777777" w:rsidTr="000C5323">
        <w:tc>
          <w:tcPr>
            <w:tcW w:w="1872" w:type="dxa"/>
          </w:tcPr>
          <w:p w14:paraId="2060B1A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Sectoring</w:t>
            </w:r>
          </w:p>
        </w:tc>
        <w:tc>
          <w:tcPr>
            <w:tcW w:w="3528" w:type="dxa"/>
          </w:tcPr>
          <w:p w14:paraId="388C65D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Directional antennas reduce the number of dominant interferers and improve resource use per sector.</w:t>
            </w:r>
          </w:p>
        </w:tc>
        <w:tc>
          <w:tcPr>
            <w:tcW w:w="4248" w:type="dxa"/>
          </w:tcPr>
          <w:p w14:paraId="7D2C44A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More radio chains/sectors and handover or sector-transition complexity; traffic imbalance can remain.</w:t>
            </w:r>
          </w:p>
        </w:tc>
      </w:tr>
      <w:tr w:rsidR="00EB59DB" w:rsidRPr="000C5323" w14:paraId="6347DE4B" w14:textId="77777777" w:rsidTr="000C5323">
        <w:tc>
          <w:tcPr>
            <w:tcW w:w="1872" w:type="dxa"/>
          </w:tcPr>
          <w:p w14:paraId="3EC947B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Microcells / picocells</w:t>
            </w:r>
          </w:p>
        </w:tc>
        <w:tc>
          <w:tcPr>
            <w:tcW w:w="3528" w:type="dxa"/>
          </w:tcPr>
          <w:p w14:paraId="4AD0493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Adds targeted capacity in busy streets, campuses, malls or transport hubs.</w:t>
            </w:r>
          </w:p>
        </w:tc>
        <w:tc>
          <w:tcPr>
            <w:tcW w:w="4248" w:type="dxa"/>
          </w:tcPr>
          <w:p w14:paraId="339481E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More frequent handoffs and careful neighbor/interference planning.</w:t>
            </w:r>
          </w:p>
        </w:tc>
      </w:tr>
      <w:tr w:rsidR="00EB59DB" w:rsidRPr="000C5323" w14:paraId="02697CB4" w14:textId="77777777" w:rsidTr="000C5323">
        <w:tc>
          <w:tcPr>
            <w:tcW w:w="1872" w:type="dxa"/>
          </w:tcPr>
          <w:p w14:paraId="5727D49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Femtocells</w:t>
            </w:r>
          </w:p>
        </w:tc>
        <w:tc>
          <w:tcPr>
            <w:tcW w:w="3528" w:type="dxa"/>
          </w:tcPr>
          <w:p w14:paraId="2E145E0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Improves indoor coverage using small, low-power cells.</w:t>
            </w:r>
          </w:p>
        </w:tc>
        <w:tc>
          <w:tcPr>
            <w:tcW w:w="4248" w:type="dxa"/>
          </w:tcPr>
          <w:p w14:paraId="5E6922D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Self-configuration, access control, backhaul and cross-tier interference need management.</w:t>
            </w:r>
          </w:p>
        </w:tc>
      </w:tr>
    </w:tbl>
    <w:p w14:paraId="23E1B187" w14:textId="77777777" w:rsidR="00EB59DB" w:rsidRPr="000C5323" w:rsidRDefault="00EB59DB">
      <w:pPr>
        <w:spacing w:after="0"/>
        <w:rPr>
          <w:rFonts w:ascii="Times New Roman" w:hAnsi="Times New Roman" w:cs="Times New Roman"/>
          <w:color w:val="000000" w:themeColor="text1"/>
        </w:rPr>
      </w:pPr>
    </w:p>
    <w:p w14:paraId="24643B00"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Recommendation: use a measured, traffic-led combination of sectoring and selective micro/picocell deployment in demonstrated busy areas before undertaking blanket cell splitting. Retain macro coverage for mobility and broad-area service. This adds capacity where needed, while controlling site cost; small cells increase handoff frequency and can create more inter-cell interference if power, channels and neighbor relations are poorly managed.</w:t>
      </w:r>
    </w:p>
    <w:p w14:paraId="343826E6"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4. Stage 3 — Traffic and Channel Capacity</w:t>
      </w:r>
    </w:p>
    <w:p w14:paraId="69390C5C"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Offered busy-hour traffic A = number of subscribers × traffic per subscriber = 1,000 × 0.08 Erlang = 80 Erlangs.</w:t>
      </w:r>
    </w:p>
    <w:p w14:paraId="4C9C1836"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Erlang B recursion used for numerical evaluation: B(0, A) = 1; for n = 1…C, B(n, A) = [A × B(n−1, A)] / [n + A × B(n−1, A)]. Here A = 80 Erlangs and C is the number of traffic channels.</w:t>
      </w:r>
    </w:p>
    <w:tbl>
      <w:tblPr>
        <w:tblStyle w:val="TableGrid"/>
        <w:tblW w:w="0" w:type="auto"/>
        <w:tblLook w:val="04A0" w:firstRow="1" w:lastRow="0" w:firstColumn="1" w:lastColumn="0" w:noHBand="0" w:noVBand="1"/>
      </w:tblPr>
      <w:tblGrid>
        <w:gridCol w:w="1872"/>
        <w:gridCol w:w="3024"/>
        <w:gridCol w:w="4752"/>
      </w:tblGrid>
      <w:tr w:rsidR="00EB59DB" w:rsidRPr="000C5323" w14:paraId="607BCF45" w14:textId="77777777" w:rsidTr="000C5323">
        <w:tc>
          <w:tcPr>
            <w:tcW w:w="1872" w:type="dxa"/>
          </w:tcPr>
          <w:p w14:paraId="1B59B3F3"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Channel count C</w:t>
            </w:r>
          </w:p>
        </w:tc>
        <w:tc>
          <w:tcPr>
            <w:tcW w:w="3024" w:type="dxa"/>
          </w:tcPr>
          <w:p w14:paraId="5B592D1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Erlang B blocking probability</w:t>
            </w:r>
          </w:p>
        </w:tc>
        <w:tc>
          <w:tcPr>
            <w:tcW w:w="4752" w:type="dxa"/>
          </w:tcPr>
          <w:p w14:paraId="0722E36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Interpretation</w:t>
            </w:r>
          </w:p>
        </w:tc>
      </w:tr>
      <w:tr w:rsidR="00EB59DB" w:rsidRPr="000C5323" w14:paraId="47A8C03D" w14:textId="77777777" w:rsidTr="000C5323">
        <w:tc>
          <w:tcPr>
            <w:tcW w:w="1872" w:type="dxa"/>
          </w:tcPr>
          <w:p w14:paraId="08CB81E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92</w:t>
            </w:r>
          </w:p>
        </w:tc>
        <w:tc>
          <w:tcPr>
            <w:tcW w:w="3024" w:type="dxa"/>
          </w:tcPr>
          <w:p w14:paraId="0242593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0.019224 ≈ 1.92%</w:t>
            </w:r>
          </w:p>
        </w:tc>
        <w:tc>
          <w:tcPr>
            <w:tcW w:w="4752" w:type="dxa"/>
          </w:tcPr>
          <w:p w14:paraId="4665BA4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Smallest channel count meeting the ≤ 2% target.</w:t>
            </w:r>
          </w:p>
        </w:tc>
      </w:tr>
      <w:tr w:rsidR="00EB59DB" w:rsidRPr="000C5323" w14:paraId="2F7656EE" w14:textId="77777777" w:rsidTr="000C5323">
        <w:tc>
          <w:tcPr>
            <w:tcW w:w="1872" w:type="dxa"/>
          </w:tcPr>
          <w:p w14:paraId="2FE3D1B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100</w:t>
            </w:r>
          </w:p>
        </w:tc>
        <w:tc>
          <w:tcPr>
            <w:tcW w:w="3024" w:type="dxa"/>
          </w:tcPr>
          <w:p w14:paraId="51F0D5A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0.003992 ≈ 0.399%</w:t>
            </w:r>
          </w:p>
        </w:tc>
        <w:tc>
          <w:tcPr>
            <w:tcW w:w="4752" w:type="dxa"/>
          </w:tcPr>
          <w:p w14:paraId="1F41841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Supplied initial group meets the target with margin.</w:t>
            </w:r>
          </w:p>
        </w:tc>
      </w:tr>
    </w:tbl>
    <w:p w14:paraId="69F1AEBE" w14:textId="77777777" w:rsidR="00EB59DB" w:rsidRPr="000C5323" w:rsidRDefault="00EB59DB">
      <w:pPr>
        <w:spacing w:after="0"/>
        <w:rPr>
          <w:rFonts w:ascii="Times New Roman" w:hAnsi="Times New Roman" w:cs="Times New Roman"/>
          <w:color w:val="000000" w:themeColor="text1"/>
        </w:rPr>
      </w:pPr>
    </w:p>
    <w:p w14:paraId="77C99765"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lastRenderedPageBreak/>
        <w:t>The smallest integer C meeting B(C, 80) ≤ 0.02 is 92 channels. With 100-channel groups, the first-order group count is ceil(92/100) = 1 group. The given 100-channel base station can therefore carry the modelled traffic at the specified blocking target.</w:t>
      </w:r>
    </w:p>
    <w:p w14:paraId="0BC1FEDF"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Interpretation and trade-offs: the 100-channel system is not short of traffic channels under this model; the calculated blocking probability is well below 2%. Adding another full 100-channel group would not be justified by these numbers alone. However, a channel group is not the same as a complete site plan. Real planning must consider licensed spectrum, channel bandwidth and duplexing, sectorization, frequency reuse, uneven traffic, busy-hour growth, data throughput, signaling/control resources, coverage holes, backhaul, site constraints and interference. The 80-Erlang input is an aggregate busy-hour average; subscriber traffic is assumed statistically independent and calls blocked are assumed cleared rather than queued.</w:t>
      </w:r>
    </w:p>
    <w:p w14:paraId="2C5B6A2F"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5. Stage 4 — Mobility and Handoff</w:t>
      </w:r>
    </w:p>
    <w:p w14:paraId="4A055741"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Speed conversion: 60 km/h = 60,000 m / 3,600 s = 16.67 m/s.</w:t>
      </w:r>
    </w:p>
    <w:p w14:paraId="49F12BB5"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Distance travelled during the 6 s overlap interval = 16.67 m/s × 6 s ≈ 100 m.</w:t>
      </w:r>
    </w:p>
    <w:p w14:paraId="4426A974"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With the stated interpretation of 1 km route cell length, the mobile crosses about 1 km per minute at 60 km/h. Estimated hard handoffs ≈ 60 km/h ÷ 1 km = 60 handoffs/hour = 1 handoff/minute on a continuous route. Actual values vary with cell shape, route, overlap and network topology.</w:t>
      </w:r>
    </w:p>
    <w:tbl>
      <w:tblPr>
        <w:tblStyle w:val="TableGrid"/>
        <w:tblW w:w="0" w:type="auto"/>
        <w:tblLook w:val="04A0" w:firstRow="1" w:lastRow="0" w:firstColumn="1" w:lastColumn="0" w:noHBand="0" w:noVBand="1"/>
      </w:tblPr>
      <w:tblGrid>
        <w:gridCol w:w="1728"/>
        <w:gridCol w:w="3312"/>
        <w:gridCol w:w="4608"/>
      </w:tblGrid>
      <w:tr w:rsidR="00EB59DB" w:rsidRPr="000C5323" w14:paraId="3D9954D1" w14:textId="77777777" w:rsidTr="000C5323">
        <w:tc>
          <w:tcPr>
            <w:tcW w:w="1728" w:type="dxa"/>
          </w:tcPr>
          <w:p w14:paraId="1A3F93C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Handoff type</w:t>
            </w:r>
          </w:p>
        </w:tc>
        <w:tc>
          <w:tcPr>
            <w:tcW w:w="3312" w:type="dxa"/>
          </w:tcPr>
          <w:p w14:paraId="1415A59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Continuity</w:t>
            </w:r>
          </w:p>
        </w:tc>
        <w:tc>
          <w:tcPr>
            <w:tcW w:w="4608" w:type="dxa"/>
          </w:tcPr>
          <w:p w14:paraId="1D7F743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Resource / deployment implications</w:t>
            </w:r>
          </w:p>
        </w:tc>
      </w:tr>
      <w:tr w:rsidR="00EB59DB" w:rsidRPr="000C5323" w14:paraId="398EF488" w14:textId="77777777" w:rsidTr="000C5323">
        <w:tc>
          <w:tcPr>
            <w:tcW w:w="1728" w:type="dxa"/>
          </w:tcPr>
          <w:p w14:paraId="3E57A7A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Hard handoff</w:t>
            </w:r>
          </w:p>
        </w:tc>
        <w:tc>
          <w:tcPr>
            <w:tcW w:w="3312" w:type="dxa"/>
          </w:tcPr>
          <w:p w14:paraId="43C851D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Break-before-make in the simplified description; brief interruption can occur.</w:t>
            </w:r>
          </w:p>
        </w:tc>
        <w:tc>
          <w:tcPr>
            <w:tcW w:w="4608" w:type="dxa"/>
          </w:tcPr>
          <w:p w14:paraId="76F8959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Usually lower simultaneous radio-resource use; common in LTE/5G inter-frequency and inter-cell mobility.</w:t>
            </w:r>
          </w:p>
        </w:tc>
      </w:tr>
      <w:tr w:rsidR="00EB59DB" w:rsidRPr="000C5323" w14:paraId="21C220CA" w14:textId="77777777" w:rsidTr="000C5323">
        <w:tc>
          <w:tcPr>
            <w:tcW w:w="1728" w:type="dxa"/>
          </w:tcPr>
          <w:p w14:paraId="3C47CDD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Soft handoff</w:t>
            </w:r>
          </w:p>
        </w:tc>
        <w:tc>
          <w:tcPr>
            <w:tcW w:w="3312" w:type="dxa"/>
          </w:tcPr>
          <w:p w14:paraId="29B1639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Make-before-break with simultaneous links to multiple base stations where supported.</w:t>
            </w:r>
          </w:p>
        </w:tc>
        <w:tc>
          <w:tcPr>
            <w:tcW w:w="4608" w:type="dxa"/>
          </w:tcPr>
          <w:p w14:paraId="154561B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Can improve continuity but consumes extra radio resources; classically associated with CDMA systems.</w:t>
            </w:r>
          </w:p>
        </w:tc>
      </w:tr>
      <w:tr w:rsidR="00EB59DB" w:rsidRPr="000C5323" w14:paraId="2A05386A" w14:textId="77777777" w:rsidTr="000C5323">
        <w:tc>
          <w:tcPr>
            <w:tcW w:w="1728" w:type="dxa"/>
          </w:tcPr>
          <w:p w14:paraId="2F70BC8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Softer handoff</w:t>
            </w:r>
          </w:p>
        </w:tc>
        <w:tc>
          <w:tcPr>
            <w:tcW w:w="3312" w:type="dxa"/>
          </w:tcPr>
          <w:p w14:paraId="12FD440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Transition between sectors of the same base station, with combining/coordination depending on system.</w:t>
            </w:r>
          </w:p>
        </w:tc>
        <w:tc>
          <w:tcPr>
            <w:tcW w:w="4608" w:type="dxa"/>
          </w:tcPr>
          <w:p w14:paraId="1927E19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Can improve continuity within a site but uses sector resources and is technology-dependent.</w:t>
            </w:r>
          </w:p>
        </w:tc>
      </w:tr>
    </w:tbl>
    <w:p w14:paraId="255211F3" w14:textId="77777777" w:rsidR="00EB59DB" w:rsidRPr="000C5323" w:rsidRDefault="00EB59DB">
      <w:pPr>
        <w:spacing w:after="0"/>
        <w:rPr>
          <w:rFonts w:ascii="Times New Roman" w:hAnsi="Times New Roman" w:cs="Times New Roman"/>
          <w:color w:val="000000" w:themeColor="text1"/>
        </w:rPr>
      </w:pPr>
    </w:p>
    <w:p w14:paraId="58877024"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A 0.5 s interruption is 0.5/6 = 8.33% of the 6 s overlap interval. This ratio indicates that the interruption is not negligible relative to the overlap window, but it is not itself a call-drop probability. If the target cell is unavailable 1% of the time and the handoff target is selected at a random independent time, a simple estimate of drop risk attributable to target-cell unavailability is approximately 1% per handoff. A purely illustrative exposure heuristic combining 1% unavailability with the 8.33% interruption/overlap ratio would be 1 − (0.99 × (1 − 0.0833)) ≈ 9.25%, but this must NOT be treated as a validated call-drop probability: interruption duration does not mean a call drops, and the supplied data do not define failure thresholds, radio-link timers, overlap geometry or outage correlation. Measure handoff success, radio-link failure and interruption distributions in the field.</w:t>
      </w:r>
    </w:p>
    <w:p w14:paraId="5EE5FF40"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6. Stage 5 — Interference and Spectrum Bands</w:t>
      </w:r>
    </w:p>
    <w:p w14:paraId="387E22DA" w14:textId="77777777" w:rsidR="00EB59DB" w:rsidRPr="000C5323" w:rsidRDefault="00000000">
      <w:pPr>
        <w:pStyle w:val="Heading2"/>
        <w:rPr>
          <w:rFonts w:ascii="Times New Roman" w:hAnsi="Times New Roman" w:cs="Times New Roman"/>
          <w:color w:val="000000" w:themeColor="text1"/>
        </w:rPr>
      </w:pPr>
      <w:r w:rsidRPr="000C5323">
        <w:rPr>
          <w:rFonts w:ascii="Times New Roman" w:hAnsi="Times New Roman" w:cs="Times New Roman"/>
          <w:color w:val="000000" w:themeColor="text1"/>
        </w:rPr>
        <w:t>6.1 Co-channel and adjacent-channel interference</w:t>
      </w:r>
    </w:p>
    <w:p w14:paraId="5A0BCE8D"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Using co-channel interference alone, C/I₁ = S − I₁ = (−70) − (−85) = 15 dB. This exactly equals the stated 15 dB target if no other interference or noise is counted.</w:t>
      </w:r>
    </w:p>
    <w:p w14:paraId="11FFCA65"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Interference powers must be added in linear units, not directly in dBm. Relative to 1 mW: I₁ = 10^(−85/10) mW = 3.162 × 10⁻⁹ mW; I₂ = 10^(−90/10) mW = 1.000 × 10⁻⁹ mW. Total I = 4.162 × 10⁻⁹ mW.</w:t>
      </w:r>
    </w:p>
    <w:p w14:paraId="1D044FFF"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I_total(dBm) = 10 log₁₀(4.162 × 10⁻⁹) = −83.81 dBm.</w:t>
      </w:r>
    </w:p>
    <w:p w14:paraId="497DB22B"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Interference-limited SINR = S − I_total = (−70) − (−83.81) = 13.81 dB. Therefore, the 15 dB target is NOT met; the combined interference reduces the margin by about 1.19 dB. This calculation excludes thermal noise and any unlisted interferers, so it is an optimistic upper bound on actual SINR.</w:t>
      </w:r>
    </w:p>
    <w:p w14:paraId="7628EEDD"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Mitigation recommendation: improve antenna azimuth/tilt and sector isolation, then verify with drive-test or scanner measurements; if needed, coordinate channel assignments and apply power control or beamforming. These measures can reduce unwanted received interference, but may trade off cell-edge coverage, capacity in another sector, or installation complexity. Since the co-channel-only result is already at the threshold, the design needs a positive margin rather than merely touching the target.</w:t>
      </w:r>
    </w:p>
    <w:p w14:paraId="1B608CEC" w14:textId="77777777" w:rsidR="00EB59DB" w:rsidRPr="000C5323" w:rsidRDefault="00000000">
      <w:pPr>
        <w:pStyle w:val="Heading2"/>
        <w:rPr>
          <w:rFonts w:ascii="Times New Roman" w:hAnsi="Times New Roman" w:cs="Times New Roman"/>
          <w:color w:val="000000" w:themeColor="text1"/>
        </w:rPr>
      </w:pPr>
      <w:r w:rsidRPr="000C5323">
        <w:rPr>
          <w:rFonts w:ascii="Times New Roman" w:hAnsi="Times New Roman" w:cs="Times New Roman"/>
          <w:color w:val="000000" w:themeColor="text1"/>
        </w:rPr>
        <w:t>6.2 Wavelength and free-space path loss</w:t>
      </w:r>
    </w:p>
    <w:p w14:paraId="620AFE4B"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Wavelength λ = c/f. Free-space path loss (FSPL) = 20 log₁₀(4πd/λ), with d = 100 m and c = 3 × 10⁸ m/s.</w:t>
      </w:r>
    </w:p>
    <w:tbl>
      <w:tblPr>
        <w:tblStyle w:val="TableGrid"/>
        <w:tblW w:w="0" w:type="auto"/>
        <w:tblLook w:val="04A0" w:firstRow="1" w:lastRow="0" w:firstColumn="1" w:lastColumn="0" w:noHBand="0" w:noVBand="1"/>
      </w:tblPr>
      <w:tblGrid>
        <w:gridCol w:w="1584"/>
        <w:gridCol w:w="2160"/>
        <w:gridCol w:w="2304"/>
        <w:gridCol w:w="2448"/>
      </w:tblGrid>
      <w:tr w:rsidR="00EB59DB" w:rsidRPr="000C5323" w14:paraId="1374CEAB" w14:textId="77777777" w:rsidTr="000C5323">
        <w:tc>
          <w:tcPr>
            <w:tcW w:w="1584" w:type="dxa"/>
          </w:tcPr>
          <w:p w14:paraId="5ACA64C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Frequency</w:t>
            </w:r>
          </w:p>
        </w:tc>
        <w:tc>
          <w:tcPr>
            <w:tcW w:w="2160" w:type="dxa"/>
          </w:tcPr>
          <w:p w14:paraId="2189F95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Wavelength λ</w:t>
            </w:r>
          </w:p>
        </w:tc>
        <w:tc>
          <w:tcPr>
            <w:tcW w:w="2304" w:type="dxa"/>
          </w:tcPr>
          <w:p w14:paraId="452F7BE3"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FSPL at 100 m</w:t>
            </w:r>
          </w:p>
        </w:tc>
        <w:tc>
          <w:tcPr>
            <w:tcW w:w="2448" w:type="dxa"/>
          </w:tcPr>
          <w:p w14:paraId="49B081E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7"/>
              </w:rPr>
              <w:t>Difference vs 900 MHz</w:t>
            </w:r>
          </w:p>
        </w:tc>
      </w:tr>
      <w:tr w:rsidR="00EB59DB" w:rsidRPr="000C5323" w14:paraId="518695AE" w14:textId="77777777" w:rsidTr="000C5323">
        <w:tc>
          <w:tcPr>
            <w:tcW w:w="1584" w:type="dxa"/>
          </w:tcPr>
          <w:p w14:paraId="032935B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900 MHz</w:t>
            </w:r>
          </w:p>
        </w:tc>
        <w:tc>
          <w:tcPr>
            <w:tcW w:w="2160" w:type="dxa"/>
          </w:tcPr>
          <w:p w14:paraId="5EFF4F4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0.3333 m (33.33 cm)</w:t>
            </w:r>
          </w:p>
        </w:tc>
        <w:tc>
          <w:tcPr>
            <w:tcW w:w="2304" w:type="dxa"/>
          </w:tcPr>
          <w:p w14:paraId="03922D4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71.53 dB</w:t>
            </w:r>
          </w:p>
        </w:tc>
        <w:tc>
          <w:tcPr>
            <w:tcW w:w="2448" w:type="dxa"/>
          </w:tcPr>
          <w:p w14:paraId="19E06B7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0 dB (reference)</w:t>
            </w:r>
          </w:p>
        </w:tc>
      </w:tr>
      <w:tr w:rsidR="00EB59DB" w:rsidRPr="000C5323" w14:paraId="023750D2" w14:textId="77777777" w:rsidTr="000C5323">
        <w:tc>
          <w:tcPr>
            <w:tcW w:w="1584" w:type="dxa"/>
          </w:tcPr>
          <w:p w14:paraId="332926E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lastRenderedPageBreak/>
              <w:t>3.5 GHz</w:t>
            </w:r>
          </w:p>
        </w:tc>
        <w:tc>
          <w:tcPr>
            <w:tcW w:w="2160" w:type="dxa"/>
          </w:tcPr>
          <w:p w14:paraId="4CC72F75"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0.08571 m (8.57 cm)</w:t>
            </w:r>
          </w:p>
        </w:tc>
        <w:tc>
          <w:tcPr>
            <w:tcW w:w="2304" w:type="dxa"/>
          </w:tcPr>
          <w:p w14:paraId="107481C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83.32 dB</w:t>
            </w:r>
          </w:p>
        </w:tc>
        <w:tc>
          <w:tcPr>
            <w:tcW w:w="2448" w:type="dxa"/>
          </w:tcPr>
          <w:p w14:paraId="60A3AD2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+11.80 dB</w:t>
            </w:r>
          </w:p>
        </w:tc>
      </w:tr>
      <w:tr w:rsidR="00EB59DB" w:rsidRPr="000C5323" w14:paraId="524F134B" w14:textId="77777777" w:rsidTr="000C5323">
        <w:tc>
          <w:tcPr>
            <w:tcW w:w="1584" w:type="dxa"/>
          </w:tcPr>
          <w:p w14:paraId="1F2447F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28 GHz</w:t>
            </w:r>
          </w:p>
        </w:tc>
        <w:tc>
          <w:tcPr>
            <w:tcW w:w="2160" w:type="dxa"/>
          </w:tcPr>
          <w:p w14:paraId="4DEA2AC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0.01071 m (1.071 cm)</w:t>
            </w:r>
          </w:p>
        </w:tc>
        <w:tc>
          <w:tcPr>
            <w:tcW w:w="2304" w:type="dxa"/>
          </w:tcPr>
          <w:p w14:paraId="2B78B0F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101.38 dB</w:t>
            </w:r>
          </w:p>
        </w:tc>
        <w:tc>
          <w:tcPr>
            <w:tcW w:w="2448" w:type="dxa"/>
          </w:tcPr>
          <w:p w14:paraId="50290FC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7"/>
              </w:rPr>
              <w:t>+29.86 dB</w:t>
            </w:r>
          </w:p>
        </w:tc>
      </w:tr>
      <w:tr w:rsidR="000C5323" w:rsidRPr="000C5323" w14:paraId="69F9992D" w14:textId="77777777" w:rsidTr="000C5323">
        <w:tc>
          <w:tcPr>
            <w:tcW w:w="1584" w:type="dxa"/>
          </w:tcPr>
          <w:p w14:paraId="7EACF9B5" w14:textId="77777777" w:rsidR="000C5323" w:rsidRDefault="000C5323">
            <w:pPr>
              <w:spacing w:before="20" w:after="20"/>
              <w:rPr>
                <w:rFonts w:ascii="Times New Roman" w:hAnsi="Times New Roman" w:cs="Times New Roman"/>
                <w:color w:val="000000" w:themeColor="text1"/>
                <w:sz w:val="17"/>
              </w:rPr>
            </w:pPr>
          </w:p>
          <w:p w14:paraId="5AA4F38C" w14:textId="77777777" w:rsidR="000C5323" w:rsidRDefault="000C5323">
            <w:pPr>
              <w:spacing w:before="20" w:after="20"/>
              <w:rPr>
                <w:rFonts w:ascii="Times New Roman" w:hAnsi="Times New Roman" w:cs="Times New Roman"/>
                <w:color w:val="000000" w:themeColor="text1"/>
                <w:sz w:val="17"/>
              </w:rPr>
            </w:pPr>
          </w:p>
          <w:p w14:paraId="74FA9654" w14:textId="77777777" w:rsidR="000C5323" w:rsidRPr="000C5323" w:rsidRDefault="000C5323">
            <w:pPr>
              <w:spacing w:before="20" w:after="20"/>
              <w:rPr>
                <w:rFonts w:ascii="Times New Roman" w:hAnsi="Times New Roman" w:cs="Times New Roman"/>
                <w:color w:val="000000" w:themeColor="text1"/>
                <w:sz w:val="17"/>
              </w:rPr>
            </w:pPr>
          </w:p>
        </w:tc>
        <w:tc>
          <w:tcPr>
            <w:tcW w:w="2160" w:type="dxa"/>
          </w:tcPr>
          <w:p w14:paraId="4C660189" w14:textId="77777777" w:rsidR="000C5323" w:rsidRPr="000C5323" w:rsidRDefault="000C5323">
            <w:pPr>
              <w:spacing w:before="20" w:after="20"/>
              <w:rPr>
                <w:rFonts w:ascii="Times New Roman" w:hAnsi="Times New Roman" w:cs="Times New Roman"/>
                <w:color w:val="000000" w:themeColor="text1"/>
                <w:sz w:val="17"/>
              </w:rPr>
            </w:pPr>
          </w:p>
        </w:tc>
        <w:tc>
          <w:tcPr>
            <w:tcW w:w="2304" w:type="dxa"/>
          </w:tcPr>
          <w:p w14:paraId="0055C9B4" w14:textId="77777777" w:rsidR="000C5323" w:rsidRPr="000C5323" w:rsidRDefault="000C5323">
            <w:pPr>
              <w:spacing w:before="20" w:after="20"/>
              <w:rPr>
                <w:rFonts w:ascii="Times New Roman" w:hAnsi="Times New Roman" w:cs="Times New Roman"/>
                <w:color w:val="000000" w:themeColor="text1"/>
                <w:sz w:val="17"/>
              </w:rPr>
            </w:pPr>
          </w:p>
        </w:tc>
        <w:tc>
          <w:tcPr>
            <w:tcW w:w="2448" w:type="dxa"/>
          </w:tcPr>
          <w:p w14:paraId="7627A533" w14:textId="77777777" w:rsidR="000C5323" w:rsidRPr="000C5323" w:rsidRDefault="000C5323">
            <w:pPr>
              <w:spacing w:before="20" w:after="20"/>
              <w:rPr>
                <w:rFonts w:ascii="Times New Roman" w:hAnsi="Times New Roman" w:cs="Times New Roman"/>
                <w:color w:val="000000" w:themeColor="text1"/>
                <w:sz w:val="17"/>
              </w:rPr>
            </w:pPr>
          </w:p>
        </w:tc>
      </w:tr>
    </w:tbl>
    <w:p w14:paraId="3EA40175" w14:textId="77777777" w:rsidR="00EB59DB" w:rsidRPr="000C5323" w:rsidRDefault="00EB59DB">
      <w:pPr>
        <w:spacing w:after="0"/>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440"/>
        <w:gridCol w:w="4752"/>
        <w:gridCol w:w="2448"/>
      </w:tblGrid>
      <w:tr w:rsidR="00EB59DB" w:rsidRPr="000C5323" w14:paraId="47777457" w14:textId="77777777" w:rsidTr="000C5323">
        <w:tc>
          <w:tcPr>
            <w:tcW w:w="1440" w:type="dxa"/>
          </w:tcPr>
          <w:p w14:paraId="34D8BDD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Band</w:t>
            </w:r>
          </w:p>
        </w:tc>
        <w:tc>
          <w:tcPr>
            <w:tcW w:w="4752" w:type="dxa"/>
          </w:tcPr>
          <w:p w14:paraId="79F7E73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Likely propagation / antenna implications</w:t>
            </w:r>
          </w:p>
        </w:tc>
        <w:tc>
          <w:tcPr>
            <w:tcW w:w="2448" w:type="dxa"/>
          </w:tcPr>
          <w:p w14:paraId="366E7B2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6"/>
              </w:rPr>
              <w:t>Deployment role</w:t>
            </w:r>
          </w:p>
        </w:tc>
      </w:tr>
      <w:tr w:rsidR="00EB59DB" w:rsidRPr="000C5323" w14:paraId="002B5C89" w14:textId="77777777" w:rsidTr="000C5323">
        <w:tc>
          <w:tcPr>
            <w:tcW w:w="1440" w:type="dxa"/>
          </w:tcPr>
          <w:p w14:paraId="4CB6FA0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900 MHz</w:t>
            </w:r>
          </w:p>
        </w:tc>
        <w:tc>
          <w:tcPr>
            <w:tcW w:w="4752" w:type="dxa"/>
          </w:tcPr>
          <w:p w14:paraId="22A2E93D"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Best of the three for broad-area propagation and building penetration; longer wavelength means physically larger antennas for comparable element design.</w:t>
            </w:r>
          </w:p>
        </w:tc>
        <w:tc>
          <w:tcPr>
            <w:tcW w:w="2448" w:type="dxa"/>
          </w:tcPr>
          <w:p w14:paraId="5EDA84F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Coverage layer, rural/suburban reach and mobility continuity.</w:t>
            </w:r>
          </w:p>
        </w:tc>
      </w:tr>
      <w:tr w:rsidR="00EB59DB" w:rsidRPr="000C5323" w14:paraId="21713DBF" w14:textId="77777777" w:rsidTr="000C5323">
        <w:tc>
          <w:tcPr>
            <w:tcW w:w="1440" w:type="dxa"/>
          </w:tcPr>
          <w:p w14:paraId="1A89A9B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3.5 GHz</w:t>
            </w:r>
          </w:p>
        </w:tc>
        <w:tc>
          <w:tcPr>
            <w:tcW w:w="4752" w:type="dxa"/>
          </w:tcPr>
          <w:p w14:paraId="2E40C94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More path loss and generally weaker indoor penetration than 900 MHz; antennas can be smaller and wide bandwidth supports higher capacity.</w:t>
            </w:r>
          </w:p>
        </w:tc>
        <w:tc>
          <w:tcPr>
            <w:tcW w:w="2448" w:type="dxa"/>
          </w:tcPr>
          <w:p w14:paraId="0677151A"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Primary mid-band capacity layer in towns and busy corridors.</w:t>
            </w:r>
          </w:p>
        </w:tc>
      </w:tr>
      <w:tr w:rsidR="00EB59DB" w:rsidRPr="000C5323" w14:paraId="219D7444" w14:textId="77777777" w:rsidTr="000C5323">
        <w:tc>
          <w:tcPr>
            <w:tcW w:w="1440" w:type="dxa"/>
          </w:tcPr>
          <w:p w14:paraId="105A7DD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28 GHz</w:t>
            </w:r>
          </w:p>
        </w:tc>
        <w:tc>
          <w:tcPr>
            <w:tcW w:w="4752" w:type="dxa"/>
          </w:tcPr>
          <w:p w14:paraId="7A995B9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Much higher free-space loss and sensitivity to blockage; very small wavelengths support compact phased arrays and narrow directional beams.</w:t>
            </w:r>
          </w:p>
        </w:tc>
        <w:tc>
          <w:tcPr>
            <w:tcW w:w="2448" w:type="dxa"/>
          </w:tcPr>
          <w:p w14:paraId="685BB78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6"/>
              </w:rPr>
              <w:t>Targeted hotspots, venues and fixed/short-range high-throughput links.</w:t>
            </w:r>
          </w:p>
        </w:tc>
      </w:tr>
    </w:tbl>
    <w:p w14:paraId="30821897" w14:textId="77777777" w:rsidR="00EB59DB" w:rsidRPr="000C5323" w:rsidRDefault="00EB59DB">
      <w:pPr>
        <w:spacing w:after="0"/>
        <w:rPr>
          <w:rFonts w:ascii="Times New Roman" w:hAnsi="Times New Roman" w:cs="Times New Roman"/>
          <w:color w:val="000000" w:themeColor="text1"/>
        </w:rPr>
      </w:pPr>
    </w:p>
    <w:p w14:paraId="09F62210"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The FSPL difference alone does not determine real network performance. Antenna gain, array size, beamforming, bandwidth, transmitter power, receiver noise figure, propagation environment, blockage, reflections, coding, MIMO and regulatory limits all matter. Higher bands may provide much wider bandwidth and directional array gain, which can offset some link-budget disadvantages, but they do not automatically provide broad coverage or reliable penetration.</w:t>
      </w:r>
    </w:p>
    <w:p w14:paraId="4285850C"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7. Stage 6 — International Spectrum Coordination</w:t>
      </w:r>
    </w:p>
    <w:p w14:paraId="174DF0E8"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ITU-R (the ITU Radiocommunication Sector) develops technical studies, recommendations and the international regulatory framework for radio-frequency spectrum and satellite-orbit use. Its work supports compatibility between services and helps address harmful interference.</w:t>
      </w:r>
    </w:p>
    <w:p w14:paraId="241FBC11"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The World Radiocommunication Conference (WRC) is the member-state conference that reviews and revises the international Radio Regulations, including allocations and conditions for spectrum use.</w:t>
      </w:r>
    </w:p>
    <w:p w14:paraId="707E8C19"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The Radiocommunication Bureau (BR) provides administrative and technical support for ITU-R radiocommunication work, processes frequency notifications and coordination, and maintains international records such as the Master International Frequency Register.</w:t>
      </w:r>
    </w:p>
    <w:p w14:paraId="41D19690"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International outcomes influence national regulators when they make national frequency-allocation tables, licensing conditions, band plans and interference-protection rules. Operators must then use spectrum in accordance with national licences and applicable coordination requirements. Harmonized bands can support economies of scale and roaming, while cross-border coordination can be important where transmitters near a national border could interfere with neighboring-country services. ITU-R's published material describes the Radio Regulations as the international framework for spectrum and satellite-orbit use [2].</w:t>
      </w:r>
    </w:p>
    <w:p w14:paraId="2089F957"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8. Integrated Recommendation and Deployment Phases</w:t>
      </w:r>
    </w:p>
    <w:tbl>
      <w:tblPr>
        <w:tblStyle w:val="TableGrid"/>
        <w:tblW w:w="0" w:type="auto"/>
        <w:tblLook w:val="04A0" w:firstRow="1" w:lastRow="0" w:firstColumn="1" w:lastColumn="0" w:noHBand="0" w:noVBand="1"/>
      </w:tblPr>
      <w:tblGrid>
        <w:gridCol w:w="1800"/>
        <w:gridCol w:w="3960"/>
        <w:gridCol w:w="4032"/>
      </w:tblGrid>
      <w:tr w:rsidR="00EB59DB" w:rsidRPr="000C5323" w14:paraId="7DE5DC7A" w14:textId="77777777" w:rsidTr="000C5323">
        <w:tc>
          <w:tcPr>
            <w:tcW w:w="1800" w:type="dxa"/>
          </w:tcPr>
          <w:p w14:paraId="682F4F1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Phase</w:t>
            </w:r>
          </w:p>
        </w:tc>
        <w:tc>
          <w:tcPr>
            <w:tcW w:w="3960" w:type="dxa"/>
          </w:tcPr>
          <w:p w14:paraId="79F98F4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Recommended action</w:t>
            </w:r>
          </w:p>
        </w:tc>
        <w:tc>
          <w:tcPr>
            <w:tcW w:w="4032" w:type="dxa"/>
          </w:tcPr>
          <w:p w14:paraId="75F9740C"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b/>
                <w:color w:val="000000" w:themeColor="text1"/>
                <w:sz w:val="15"/>
              </w:rPr>
              <w:t>Engineering reason / check</w:t>
            </w:r>
          </w:p>
        </w:tc>
      </w:tr>
      <w:tr w:rsidR="00EB59DB" w:rsidRPr="000C5323" w14:paraId="480BC755" w14:textId="77777777" w:rsidTr="000C5323">
        <w:tc>
          <w:tcPr>
            <w:tcW w:w="1800" w:type="dxa"/>
          </w:tcPr>
          <w:p w14:paraId="764838B7"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1. Validate and optimize</w:t>
            </w:r>
          </w:p>
        </w:tc>
        <w:tc>
          <w:tcPr>
            <w:tcW w:w="3960" w:type="dxa"/>
          </w:tcPr>
          <w:p w14:paraId="4BB4C32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Audit the existing 100-channel configuration; measure busy-hour traffic, SINR, handoff success and coverage. Optimize antenna tilt/azimuth, power and neighbor relations.</w:t>
            </w:r>
          </w:p>
        </w:tc>
        <w:tc>
          <w:tcPr>
            <w:tcW w:w="4032" w:type="dxa"/>
          </w:tcPr>
          <w:p w14:paraId="70B0C1E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Traffic model predicts only 0.40% blocking at 100 channels, but measured SINR is below target when adjacent interference is included.</w:t>
            </w:r>
          </w:p>
        </w:tc>
      </w:tr>
      <w:tr w:rsidR="00EB59DB" w:rsidRPr="000C5323" w14:paraId="44934DA2" w14:textId="77777777" w:rsidTr="000C5323">
        <w:tc>
          <w:tcPr>
            <w:tcW w:w="1800" w:type="dxa"/>
          </w:tcPr>
          <w:p w14:paraId="06EAF102"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2. Strengthen macro coverage</w:t>
            </w:r>
          </w:p>
        </w:tc>
        <w:tc>
          <w:tcPr>
            <w:tcW w:w="3960" w:type="dxa"/>
          </w:tcPr>
          <w:p w14:paraId="7E2C8721"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Use 900 MHz where licensed and technically available for broad-area coverage and mobility; retain a carefully planned macro layer.</w:t>
            </w:r>
          </w:p>
        </w:tc>
        <w:tc>
          <w:tcPr>
            <w:tcW w:w="4032" w:type="dxa"/>
          </w:tcPr>
          <w:p w14:paraId="0D49000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Longer wavelength and lower FSPL support broader reach and better penetration than the compared higher bands.</w:t>
            </w:r>
          </w:p>
        </w:tc>
      </w:tr>
      <w:tr w:rsidR="00EB59DB" w:rsidRPr="000C5323" w14:paraId="11FB1D2F" w14:textId="77777777" w:rsidTr="000C5323">
        <w:tc>
          <w:tcPr>
            <w:tcW w:w="1800" w:type="dxa"/>
          </w:tcPr>
          <w:p w14:paraId="62161D10"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3. Add targeted capacity</w:t>
            </w:r>
          </w:p>
        </w:tc>
        <w:tc>
          <w:tcPr>
            <w:tcW w:w="3960" w:type="dxa"/>
          </w:tcPr>
          <w:p w14:paraId="0565C728"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Deploy 3.5 GHz capacity where demand maps show congestion; use sectoring and selective micro/picocells in hotspots.</w:t>
            </w:r>
          </w:p>
        </w:tc>
        <w:tc>
          <w:tcPr>
            <w:tcW w:w="4032" w:type="dxa"/>
          </w:tcPr>
          <w:p w14:paraId="2C9602EE"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Improves capacity without densifying every location. Re-plan interference and expect more handoffs in denser layouts.</w:t>
            </w:r>
          </w:p>
        </w:tc>
      </w:tr>
      <w:tr w:rsidR="00EB59DB" w:rsidRPr="000C5323" w14:paraId="1AEF4D78" w14:textId="77777777" w:rsidTr="000C5323">
        <w:tc>
          <w:tcPr>
            <w:tcW w:w="1800" w:type="dxa"/>
          </w:tcPr>
          <w:p w14:paraId="699B5ACE"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4. Localized high-capacity trials</w:t>
            </w:r>
          </w:p>
        </w:tc>
        <w:tc>
          <w:tcPr>
            <w:tcW w:w="3960" w:type="dxa"/>
          </w:tcPr>
          <w:p w14:paraId="07F77CA9"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Use 28 GHz only in selected venues or short-range hotspot zones after link-budget and blockage testing.</w:t>
            </w:r>
          </w:p>
        </w:tc>
        <w:tc>
          <w:tcPr>
            <w:tcW w:w="4032" w:type="dxa"/>
          </w:tcPr>
          <w:p w14:paraId="3C76217B"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High FSPL and blockage sensitivity make it unsuitable as the only broad-coverage layer; beamforming and dense placement are likely needed.</w:t>
            </w:r>
          </w:p>
        </w:tc>
      </w:tr>
      <w:tr w:rsidR="00EB59DB" w:rsidRPr="000C5323" w14:paraId="24FE2836" w14:textId="77777777" w:rsidTr="000C5323">
        <w:tc>
          <w:tcPr>
            <w:tcW w:w="1800" w:type="dxa"/>
          </w:tcPr>
          <w:p w14:paraId="697BA9A4"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5. Future readiness</w:t>
            </w:r>
          </w:p>
        </w:tc>
        <w:tc>
          <w:tcPr>
            <w:tcW w:w="3960" w:type="dxa"/>
          </w:tcPr>
          <w:p w14:paraId="4827E97F"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Track 5G-Advanced and formal 6G/IMT-2030 developments; avoid committing to speculative THz/holographic features before standards, spectrum and business cases mature.</w:t>
            </w:r>
          </w:p>
        </w:tc>
        <w:tc>
          <w:tcPr>
            <w:tcW w:w="4032" w:type="dxa"/>
          </w:tcPr>
          <w:p w14:paraId="3E357CB6" w14:textId="77777777" w:rsidR="00EB59DB" w:rsidRPr="000C5323" w:rsidRDefault="00000000">
            <w:pPr>
              <w:spacing w:before="20" w:after="20"/>
              <w:rPr>
                <w:rFonts w:ascii="Times New Roman" w:hAnsi="Times New Roman" w:cs="Times New Roman"/>
                <w:color w:val="000000" w:themeColor="text1"/>
              </w:rPr>
            </w:pPr>
            <w:r w:rsidRPr="000C5323">
              <w:rPr>
                <w:rFonts w:ascii="Times New Roman" w:hAnsi="Times New Roman" w:cs="Times New Roman"/>
                <w:color w:val="000000" w:themeColor="text1"/>
                <w:sz w:val="15"/>
              </w:rPr>
              <w:t>The 6G vision includes AI-native networking, immersive communication and ISAC, but implementation and performance remain subject to standardization and validation [1].</w:t>
            </w:r>
          </w:p>
        </w:tc>
      </w:tr>
    </w:tbl>
    <w:p w14:paraId="45596E24" w14:textId="77777777" w:rsidR="00EB59DB" w:rsidRPr="000C5323" w:rsidRDefault="00EB59DB">
      <w:pPr>
        <w:spacing w:after="0"/>
        <w:rPr>
          <w:rFonts w:ascii="Times New Roman" w:hAnsi="Times New Roman" w:cs="Times New Roman"/>
          <w:color w:val="000000" w:themeColor="text1"/>
        </w:rPr>
      </w:pPr>
    </w:p>
    <w:p w14:paraId="12E342B5" w14:textId="77777777" w:rsidR="00EB59DB" w:rsidRPr="000C5323" w:rsidRDefault="00000000">
      <w:pPr>
        <w:pStyle w:val="Heading2"/>
        <w:rPr>
          <w:rFonts w:ascii="Times New Roman" w:hAnsi="Times New Roman" w:cs="Times New Roman"/>
          <w:color w:val="000000" w:themeColor="text1"/>
        </w:rPr>
      </w:pPr>
      <w:r w:rsidRPr="000C5323">
        <w:rPr>
          <w:rFonts w:ascii="Times New Roman" w:hAnsi="Times New Roman" w:cs="Times New Roman"/>
          <w:color w:val="000000" w:themeColor="text1"/>
        </w:rPr>
        <w:lastRenderedPageBreak/>
        <w:t>Key uncertainties to resolve before deployment</w:t>
      </w:r>
    </w:p>
    <w:p w14:paraId="3382D540"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Confirm the licensed bandwidth, duplex arrangement, guard bands, channel raster and actual usable channel count for the operator's band.</w:t>
      </w:r>
    </w:p>
    <w:p w14:paraId="3D3BB445"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Collect geographically resolved busy-hour traffic and growth forecasts; the uniform 0.08-Erlang subscriber assumption may hide hotspots and data-heavy users.</w:t>
      </w:r>
    </w:p>
    <w:p w14:paraId="367F8180"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Validate cell radius, terrain, building penetration, antenna heights, feeder losses, shadowing and indoor coverage using propagation models and field measurements.</w:t>
      </w:r>
    </w:p>
    <w:p w14:paraId="5497DB73"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Measure interference under realistic load, including thermal noise, multiple interferers, adjacent-channel leakage/selectivity and neighboring operators.</w:t>
      </w:r>
    </w:p>
    <w:p w14:paraId="60CA9D59"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Clarify whether the 1 km route cell length means boundary-to-boundary spacing for the chosen road and obtain handoff interruption and failure statistics from the actual radio technology.</w:t>
      </w:r>
    </w:p>
    <w:p w14:paraId="58033F9D" w14:textId="77777777" w:rsidR="00EB59DB" w:rsidRPr="000C5323" w:rsidRDefault="00000000">
      <w:pPr>
        <w:pStyle w:val="ListBullet"/>
        <w:spacing w:after="40"/>
        <w:rPr>
          <w:rFonts w:ascii="Times New Roman" w:hAnsi="Times New Roman" w:cs="Times New Roman"/>
          <w:color w:val="000000" w:themeColor="text1"/>
        </w:rPr>
      </w:pPr>
      <w:r w:rsidRPr="000C5323">
        <w:rPr>
          <w:rFonts w:ascii="Times New Roman" w:hAnsi="Times New Roman" w:cs="Times New Roman"/>
          <w:color w:val="000000" w:themeColor="text1"/>
        </w:rPr>
        <w:t>Assess backhaul, power, site permissions, fiber availability, energy cost, device support, national licensing and applicable cross-border coordination constraints.</w:t>
      </w:r>
    </w:p>
    <w:p w14:paraId="0FAC538A"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Conclusion</w:t>
      </w:r>
    </w:p>
    <w:p w14:paraId="610D7F04"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The supplied calculations do not support immediate blanket capacity expansion: 80 Erlangs of offered traffic require 92 channels for a 2% Erlang B blocking target, and the existing 100-channel group calculates to approximately 0.40% blocking. The more immediate technical concern is interference: combining the supplied co-channel and adjacent-channel terms gives an SINR of about 13.81 dB, below the 15 dB target. The recommended plan is therefore to measure and optimize the existing network first, retain 900 MHz for coverage, add 3.5 GHz and small cells selectively where measured demand justifies them, and trial 28 GHz only in appropriate hotspots. This phased approach balances capacity, coverage, handoff behavior, interference and cost while leaving the network adaptable to future 6G developments.</w:t>
      </w:r>
    </w:p>
    <w:p w14:paraId="5DCEAAE5"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References</w:t>
      </w:r>
    </w:p>
    <w:p w14:paraId="5C7F095A" w14:textId="77777777" w:rsidR="00EB59DB" w:rsidRPr="000C5323" w:rsidRDefault="00000000">
      <w:pPr>
        <w:pStyle w:val="ListNumber"/>
        <w:rPr>
          <w:rFonts w:ascii="Times New Roman" w:hAnsi="Times New Roman" w:cs="Times New Roman"/>
          <w:color w:val="000000" w:themeColor="text1"/>
        </w:rPr>
      </w:pPr>
      <w:r w:rsidRPr="000C5323">
        <w:rPr>
          <w:rFonts w:ascii="Times New Roman" w:hAnsi="Times New Roman" w:cs="Times New Roman"/>
          <w:color w:val="000000" w:themeColor="text1"/>
        </w:rPr>
        <w:t>[1] International Telecommunication Union, Radiocommunication Sector (ITU-R). “IMT towards 2030 and beyond (IMT-2030).” Official framework and work programme. https://www.itu.int/en/ITU-R/study-groups/rsg5/rwp5d/IMT-2030/Pages/default.aspx</w:t>
      </w:r>
    </w:p>
    <w:p w14:paraId="1096ACB2" w14:textId="77777777" w:rsidR="00EB59DB" w:rsidRPr="000C5323" w:rsidRDefault="00000000">
      <w:pPr>
        <w:pStyle w:val="ListNumber"/>
        <w:rPr>
          <w:rFonts w:ascii="Times New Roman" w:hAnsi="Times New Roman" w:cs="Times New Roman"/>
          <w:color w:val="000000" w:themeColor="text1"/>
        </w:rPr>
      </w:pPr>
      <w:r w:rsidRPr="000C5323">
        <w:rPr>
          <w:rFonts w:ascii="Times New Roman" w:hAnsi="Times New Roman" w:cs="Times New Roman"/>
          <w:color w:val="000000" w:themeColor="text1"/>
        </w:rPr>
        <w:t>[2] International Telecommunication Union (ITU). “ITU-R Radio Communication Study Groups – 2025.” Overview of the Radio Regulations, international spectrum coordination and the Radiocommunication Bureau. https://www.itu.int/dms_pub/itu-r/opb/gen/R-GEN-SGB-2025-PDF-E.pdf</w:t>
      </w:r>
    </w:p>
    <w:p w14:paraId="7F6BEAD2" w14:textId="77777777" w:rsidR="00EB59DB" w:rsidRPr="000C5323" w:rsidRDefault="00000000">
      <w:pPr>
        <w:pStyle w:val="Heading1"/>
        <w:rPr>
          <w:rFonts w:ascii="Times New Roman" w:hAnsi="Times New Roman" w:cs="Times New Roman"/>
          <w:color w:val="000000" w:themeColor="text1"/>
        </w:rPr>
      </w:pPr>
      <w:r w:rsidRPr="000C5323">
        <w:rPr>
          <w:rFonts w:ascii="Times New Roman" w:hAnsi="Times New Roman" w:cs="Times New Roman"/>
          <w:color w:val="000000" w:themeColor="text1"/>
        </w:rPr>
        <w:t>Appendix A — Numerical Method Summary</w:t>
      </w:r>
    </w:p>
    <w:p w14:paraId="6A1C8966" w14:textId="77777777" w:rsidR="00EB59DB" w:rsidRPr="000C5323" w:rsidRDefault="00000000">
      <w:pPr>
        <w:rPr>
          <w:rFonts w:ascii="Times New Roman" w:hAnsi="Times New Roman" w:cs="Times New Roman"/>
          <w:color w:val="000000" w:themeColor="text1"/>
        </w:rPr>
      </w:pPr>
      <w:r w:rsidRPr="000C5323">
        <w:rPr>
          <w:rFonts w:ascii="Times New Roman" w:hAnsi="Times New Roman" w:cs="Times New Roman"/>
          <w:color w:val="000000" w:themeColor="text1"/>
        </w:rPr>
        <w:t>Erlang B was evaluated using the stable iterative recursion B₀ = 1 and Bₙ = (A Bₙ₋₁)/(n + A Bₙ₋₁), with A = 80 Erlangs. The recursion was evaluated for increasing integer channel counts; C = 91 remains above the 2% threshold, while C = 92 gives 1.922%. The FSPL values were computed from the supplied formula with distance in metres and wavelength in metres. Values are rounded for presentation.</w:t>
      </w:r>
    </w:p>
    <w:sectPr w:rsidR="00EB59DB" w:rsidRPr="000C532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1EB1" w14:textId="77777777" w:rsidR="00B53996" w:rsidRDefault="00B53996">
      <w:pPr>
        <w:spacing w:after="0" w:line="240" w:lineRule="auto"/>
      </w:pPr>
      <w:r>
        <w:separator/>
      </w:r>
    </w:p>
  </w:endnote>
  <w:endnote w:type="continuationSeparator" w:id="0">
    <w:p w14:paraId="026A08AC" w14:textId="77777777" w:rsidR="00B53996" w:rsidRDefault="00B53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B80E" w14:textId="77777777" w:rsidR="00B53996" w:rsidRDefault="00B53996">
      <w:pPr>
        <w:spacing w:after="0" w:line="240" w:lineRule="auto"/>
      </w:pPr>
      <w:r>
        <w:separator/>
      </w:r>
    </w:p>
  </w:footnote>
  <w:footnote w:type="continuationSeparator" w:id="0">
    <w:p w14:paraId="030FAEAB" w14:textId="77777777" w:rsidR="00B53996" w:rsidRDefault="00B53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094893">
    <w:abstractNumId w:val="8"/>
  </w:num>
  <w:num w:numId="2" w16cid:durableId="774789675">
    <w:abstractNumId w:val="6"/>
  </w:num>
  <w:num w:numId="3" w16cid:durableId="329985275">
    <w:abstractNumId w:val="5"/>
  </w:num>
  <w:num w:numId="4" w16cid:durableId="1140345948">
    <w:abstractNumId w:val="4"/>
  </w:num>
  <w:num w:numId="5" w16cid:durableId="462968314">
    <w:abstractNumId w:val="7"/>
  </w:num>
  <w:num w:numId="6" w16cid:durableId="383915511">
    <w:abstractNumId w:val="3"/>
  </w:num>
  <w:num w:numId="7" w16cid:durableId="1621570583">
    <w:abstractNumId w:val="2"/>
  </w:num>
  <w:num w:numId="8" w16cid:durableId="830482706">
    <w:abstractNumId w:val="1"/>
  </w:num>
  <w:num w:numId="9" w16cid:durableId="41216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323"/>
    <w:rsid w:val="0015074B"/>
    <w:rsid w:val="0029639D"/>
    <w:rsid w:val="002A5916"/>
    <w:rsid w:val="00326F90"/>
    <w:rsid w:val="00394C2D"/>
    <w:rsid w:val="00AA1D8D"/>
    <w:rsid w:val="00B47730"/>
    <w:rsid w:val="00B53996"/>
    <w:rsid w:val="00CB0664"/>
    <w:rsid w:val="00EB5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C527F7C-E24E-4B01-8B7F-B83435CE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C53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paul</cp:lastModifiedBy>
  <cp:revision>3</cp:revision>
  <dcterms:created xsi:type="dcterms:W3CDTF">2013-12-23T23:15:00Z</dcterms:created>
  <dcterms:modified xsi:type="dcterms:W3CDTF">2026-10-28T03:58:00Z</dcterms:modified>
  <cp:category/>
</cp:coreProperties>
</file>