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9A698"/>
          <w:spacing w:val="30"/>
          <w:sz w:val="17"/>
          <w:szCs w:val="17"/>
        </w:rPr>
        <w:t xml:space="preserve">SYNERGY HEALTH PARTNERS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F4E4A"/>
          <w:sz w:val="40"/>
          <w:szCs w:val="40"/>
        </w:rPr>
        <w:t xml:space="preserve">Physician Liaison Standard Operating Procedure</w:t>
      </w:r>
    </w:p>
    <w:p>
      <w:pPr>
        <w:spacing w:after="180"/>
      </w:pPr>
      <w:r>
        <w:rPr>
          <w:rFonts w:ascii="Calibri" w:cs="Calibri" w:eastAsia="Calibri" w:hAnsi="Calibri"/>
          <w:color w:val="5E7773"/>
          <w:sz w:val="22"/>
          <w:szCs w:val="22"/>
        </w:rPr>
        <w:t xml:space="preserve">Spine Referral Program · PL-SOP-001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300"/>
        <w:gridCol w:w="1440"/>
      </w:tblGrid>
      <w:tr>
        <w:trPr>
          <w:tblHeader/>
        </w:trPr>
        <w:tc>
          <w:tcPr>
            <w:tcW w:type="dxa" w:w="23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144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3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DRAFT</w:t>
            </w:r>
          </w:p>
        </w:tc>
        <w:tc>
          <w:tcPr>
            <w:tcW w:type="dxa" w:w="38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Pending approval — Gautam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effective on approval (target Jul 28, 2026)</w:t>
            </w:r>
          </w:p>
        </w:tc>
        <w:tc>
          <w:tcPr>
            <w:tcW w:type="dxa" w:w="23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Kristen (field) · Joe (systems)</w:t>
            </w:r>
          </w:p>
        </w:tc>
        <w:tc>
          <w:tcPr>
            <w:tcW w:type="dxa" w:w="144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80"/>
      </w:pP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Objective. </w:t>
      </w:r>
      <w:r>
        <w:rPr>
          <w:rFonts w:ascii="Calibri" w:cs="Calibri" w:eastAsia="Calibri" w:hAnsi="Calibri"/>
          <w:sz w:val="20"/>
          <w:szCs w:val="20"/>
        </w:rPr>
        <w:t xml:space="preserve">Grow attributed B2B spine referrals from the June baseline of 79/month to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committed 95–115/month by October 2026</w:t>
      </w:r>
      <w:r>
        <w:rPr>
          <w:rFonts w:ascii="Calibri" w:cs="Calibri" w:eastAsia="Calibri" w:hAnsi="Calibri"/>
          <w:sz w:val="20"/>
          <w:szCs w:val="20"/>
        </w:rPr>
        <w:t xml:space="preserve"> (150 = stretch), by protecting proven referrers, converting one-time and ortho-only senders, and systematically testing prospects — without sacrificing the ortho field book. Every account, number, and cadence herein traces to the July 2026 operating report and the Jul 17–23 working sessions. Definitions: pm/glossary.md.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1. The account universe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  </w:t>
      </w:r>
      <w:r>
        <w:rPr>
          <w:rFonts w:ascii="Calibri" w:cs="Calibri" w:eastAsia="Calibri" w:hAnsi="Calibri"/>
          <w:sz w:val="20"/>
          <w:szCs w:val="20"/>
        </w:rPr>
        <w:t xml:space="preserve">The working universe is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848-account spine book</w:t>
      </w:r>
      <w:r>
        <w:rPr>
          <w:rFonts w:ascii="Calibri" w:cs="Calibri" w:eastAsia="Calibri" w:hAnsi="Calibri"/>
          <w:sz w:val="20"/>
          <w:szCs w:val="20"/>
        </w:rPr>
        <w:t xml:space="preserve"> (Kristen 180 · Jasmine 310 · Coty 318 · Sean 40):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Tier 1</w:t>
      </w:r>
      <w:r>
        <w:rPr>
          <w:rFonts w:ascii="Calibri" w:cs="Calibri" w:eastAsia="Calibri" w:hAnsi="Calibri"/>
          <w:sz w:val="20"/>
          <w:szCs w:val="20"/>
        </w:rPr>
        <w:t xml:space="preserve"> sent ≥1 spine patient (146)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Tier 2</w:t>
      </w:r>
      <w:r>
        <w:rPr>
          <w:rFonts w:ascii="Calibri" w:cs="Calibri" w:eastAsia="Calibri" w:hAnsi="Calibri"/>
          <w:sz w:val="20"/>
          <w:szCs w:val="20"/>
        </w:rPr>
        <w:t xml:space="preserve"> ortho-only senders (156)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Tier 3</w:t>
      </w:r>
      <w:r>
        <w:rPr>
          <w:rFonts w:ascii="Calibri" w:cs="Calibri" w:eastAsia="Calibri" w:hAnsi="Calibri"/>
          <w:sz w:val="20"/>
          <w:szCs w:val="20"/>
        </w:rPr>
        <w:t xml:space="preserve"> other-service senders (37)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Prospects</w:t>
      </w:r>
      <w:r>
        <w:rPr>
          <w:rFonts w:ascii="Calibri" w:cs="Calibri" w:eastAsia="Calibri" w:hAnsi="Calibri"/>
          <w:sz w:val="20"/>
          <w:szCs w:val="20"/>
        </w:rPr>
        <w:t xml:space="preserve"> (469).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Wave 1</w:t>
      </w:r>
      <w:r>
        <w:rPr>
          <w:rFonts w:ascii="Calibri" w:cs="Calibri" w:eastAsia="Calibri" w:hAnsi="Calibri"/>
          <w:sz w:val="20"/>
          <w:szCs w:val="20"/>
        </w:rPr>
        <w:t xml:space="preserve"> = the 90 highest-priority proven senders, always first in line each cycle.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1.2  Accounts are never deleted. </w:t>
      </w:r>
      <w:r>
        <w:rPr>
          <w:rFonts w:ascii="Calibri" w:cs="Calibri" w:eastAsia="Calibri" w:hAnsi="Calibri"/>
          <w:sz w:val="20"/>
          <w:szCs w:val="20"/>
        </w:rPr>
        <w:t xml:space="preserve">An account leaves the rotation only by the MMC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“Non-Spine” group tag</w:t>
      </w:r>
      <w:r>
        <w:rPr>
          <w:rFonts w:ascii="Calibri" w:cs="Calibri" w:eastAsia="Calibri" w:hAnsi="Calibri"/>
          <w:sz w:val="20"/>
          <w:szCs w:val="20"/>
        </w:rPr>
        <w:t xml:space="preserve"> or by being parked to the backlog. Both are reversible.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1.3  Universe changes have one door: </w:t>
      </w:r>
      <w:r>
        <w:rPr>
          <w:rFonts w:ascii="Calibri" w:cs="Calibri" w:eastAsia="Calibri" w:hAnsi="Calibri"/>
          <w:sz w:val="20"/>
          <w:szCs w:val="20"/>
        </w:rPr>
        <w:t xml:space="preserve">PL validation output → Joel consolidates (one owner per account) → Joe regenerates routes, schedule, app, and the MMC import. No side-channel edits.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2. The operating cycle — six stages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900"/>
        <w:gridCol w:w="1780"/>
      </w:tblGrid>
      <w:tr>
        <w:trPr>
          <w:tblHeader/>
        </w:trP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7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· Validate</w:t>
            </w:r>
          </w:p>
        </w:tc>
        <w:tc>
          <w:tcPr>
            <w:tcW w:type="dxa" w:w="47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Eyeball pass in the per-PL file (Yes / No / Not sure + one-line note); pre-flags confirmed or overridden; producing accounts are never removed on a hunch.</w:t>
            </w:r>
          </w:p>
        </w:tc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PLs → Joel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 23–29, then quarterly</w:t>
            </w:r>
          </w:p>
        </w:tc>
      </w:tr>
      <w:t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· Plan</w:t>
            </w:r>
          </w:p>
        </w:tc>
        <w:tc>
          <w:tcPr>
            <w:tcW w:type="dxa" w:w="47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Monday huddle: Protect-Radar review (goal: zero unexplained lapses), pick weekdays for the week's route days, stamp dates in MMC.</w:t>
            </w:r>
          </w:p>
        </w:tc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Kristen + PLs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Monday, 30 min</w:t>
            </w:r>
          </w:p>
        </w:tc>
      </w:tr>
      <w:t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 · Execute</w:t>
            </w:r>
          </w:p>
        </w:tc>
        <w:tc>
          <w:tcPr>
            <w:tcW w:type="dxa" w:w="47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 the day from the app: Next stop → visit frame (§3) → check in → one-line business note. Prospects ride along inside every route day.</w:t>
            </w:r>
          </w:p>
        </w:tc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PL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 · Log &amp; report</w:t>
            </w:r>
          </w:p>
        </w:tc>
        <w:tc>
          <w:tcPr>
            <w:tcW w:type="dxa" w:w="47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Check-ins logged the same day; Friday: Export log → Joe; scorecard published the same day.</w:t>
            </w:r>
          </w:p>
        </w:tc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PLs → Joe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/ Friday</w:t>
            </w:r>
          </w:p>
        </w:tc>
      </w:tr>
      <w:t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 · Reassess</w:t>
            </w:r>
          </w:p>
        </w:tc>
        <w:tc>
          <w:tcPr>
            <w:tcW w:type="dxa" w:w="47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~2 touches (≈90 days at prospect rhythm):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Promote / Hold / Park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the PL's field read; decisions logged at the Monday huddle; Joe re-runs schedule + MMC so systems follow the field.</w:t>
            </w:r>
          </w:p>
        </w:tc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PLs decide · Joe syncs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Monday huddle</w:t>
            </w:r>
          </w:p>
        </w:tc>
      </w:tr>
      <w:t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 · Recover &amp; escalate</w:t>
            </w:r>
          </w:p>
        </w:tc>
        <w:tc>
          <w:tcPr>
            <w:tcW w:type="dxa" w:w="47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referral → same-day personal thank-you. Producer gone quiet → recovery visit within 7 days (“we owe you a visit”). Service complaint → one fix committed, follow-up ≤1 week. Coverage gap → Kristen reassigns.</w:t>
            </w:r>
          </w:p>
        </w:tc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 / Kristen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triggered</w:t>
            </w:r>
          </w:p>
        </w:tc>
      </w:tr>
    </w:tbl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3. The visit standard — the 90-second frame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THANK → OPEN → MESSAGE → ASK.</w:t>
      </w:r>
      <w:r>
        <w:rPr>
          <w:rFonts w:ascii="Calibri" w:cs="Calibri" w:eastAsia="Calibri" w:hAnsi="Calibri"/>
          <w:sz w:val="20"/>
          <w:szCs w:val="20"/>
        </w:rPr>
        <w:t xml:space="preserve">  Per-account wording is pre-loaded on every stop card in the app.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THANK — </w:t>
      </w:r>
      <w:r>
        <w:rPr>
          <w:rFonts w:ascii="Calibri" w:cs="Calibri" w:eastAsia="Calibri" w:hAnsi="Calibri"/>
          <w:sz w:val="20"/>
          <w:szCs w:val="20"/>
        </w:rPr>
        <w:t xml:space="preserve">“Thank you for trusting us with the care of your patients.” No counts, no “this year.” Individual thanks are given discreetly, in private, with the referring provider only.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 — </w:t>
      </w:r>
      <w:r>
        <w:rPr>
          <w:rFonts w:ascii="Calibri" w:cs="Calibri" w:eastAsia="Calibri" w:hAnsi="Calibri"/>
          <w:sz w:val="20"/>
          <w:szCs w:val="20"/>
        </w:rPr>
        <w:t xml:space="preserve">a service question: “What could we do better — access, notes back, anything?” Then listen.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MESSAGE — </w:t>
      </w:r>
      <w:r>
        <w:rPr>
          <w:rFonts w:ascii="Calibri" w:cs="Calibri" w:eastAsia="Calibri" w:hAnsi="Calibri"/>
          <w:sz w:val="20"/>
          <w:szCs w:val="20"/>
        </w:rPr>
        <w:t xml:space="preserve">one sentence, matched to practice type (pm/pl-visit-messages.md §2).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ASK — </w:t>
      </w:r>
      <w:r>
        <w:rPr>
          <w:rFonts w:ascii="Calibri" w:cs="Calibri" w:eastAsia="Calibri" w:hAnsi="Calibri"/>
          <w:sz w:val="20"/>
          <w:szCs w:val="20"/>
        </w:rPr>
        <w:t xml:space="preserve">one behavior. Protect: “anything pending we can get seen this week?” · Convert: “make us your default.” · Cross-sell: “send the next back/neck the way you send knees.” · Prospect: “send us a handful — let us show you what we're about.”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LEAVE-BEHIND — </w:t>
      </w:r>
      <w:r>
        <w:rPr>
          <w:rFonts w:ascii="Calibri" w:cs="Calibri" w:eastAsia="Calibri" w:hAnsi="Calibri"/>
          <w:sz w:val="20"/>
          <w:szCs w:val="20"/>
        </w:rPr>
        <w:t xml:space="preserve">from the rotating materials set (§7) + coordinator card + direct line.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4. Cadence standard (adopted Jul 22)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080"/>
      </w:tblGrid>
      <w:tr>
        <w:trPr>
          <w:tblHeader/>
        </w:trPr>
        <w:tc>
          <w:tcPr>
            <w:tcW w:type="dxa" w:w="26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Rhythm</w:t>
            </w:r>
          </w:p>
        </w:tc>
        <w:tc>
          <w:tcPr>
            <w:tcW w:type="dxa" w:w="50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1 (incl. Wave 1)</w:t>
            </w:r>
          </w:p>
        </w:tc>
        <w:tc>
          <w:tcPr>
            <w:tcW w:type="dxa" w:w="22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every 21 days</w:t>
            </w:r>
          </w:p>
        </w:tc>
        <w:tc>
          <w:tcPr>
            <w:tcW w:type="dxa" w:w="50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Wave 1 goes first in line each cycle. 14-day was rejected: “two weeks is too soon — we get annoying.”</w:t>
            </w:r>
          </w:p>
        </w:tc>
      </w:tr>
      <w:tr>
        <w:tc>
          <w:tcPr>
            <w:tcW w:type="dxa" w:w="26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2 (ortho senders)</w:t>
            </w:r>
          </w:p>
        </w:tc>
        <w:tc>
          <w:tcPr>
            <w:tcW w:type="dxa" w:w="22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every 30 days</w:t>
            </w:r>
          </w:p>
        </w:tc>
        <w:tc>
          <w:tcPr>
            <w:tcW w:type="dxa" w:w="50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All-in cross-sell — these practices already trust us.</w:t>
            </w:r>
          </w:p>
        </w:tc>
      </w:tr>
      <w:tr>
        <w:tc>
          <w:tcPr>
            <w:tcW w:type="dxa" w:w="26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every 45 days</w:t>
            </w:r>
          </w:p>
        </w:tc>
        <w:tc>
          <w:tcPr>
            <w:tcW w:type="dxa" w:w="50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Prospects</w:t>
            </w:r>
          </w:p>
        </w:tc>
        <w:tc>
          <w:tcPr>
            <w:tcW w:type="dxa" w:w="22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45-day first pass</w:t>
            </w:r>
          </w:p>
        </w:tc>
        <w:tc>
          <w:tcPr>
            <w:tcW w:type="dxa" w:w="50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per the 90-day read: Promote / Hold / Park.</w:t>
            </w:r>
          </w:p>
        </w:tc>
      </w:tr>
      <w:tr>
        <w:tc>
          <w:tcPr>
            <w:tcW w:type="dxa" w:w="26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Capacity guard</w:t>
            </w:r>
          </w:p>
        </w:tc>
        <w:tc>
          <w:tcPr>
            <w:tcW w:type="dxa" w:w="22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3–4 spine days / PL-week</w:t>
            </w:r>
          </w:p>
        </w:tc>
        <w:tc>
          <w:tcPr>
            <w:tcW w:type="dxa" w:w="50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ortho book keeps 1–2 field days — non-negotiable.</w:t>
            </w:r>
          </w:p>
        </w:tc>
      </w:tr>
    </w:tbl>
    <w:p>
      <w:pPr>
        <w:spacing w:after="11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“visit”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logged MMC check-in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. Texts and calls are real relationship work but invisible to the CRM — a lapse flag means “check this,” never “you failed.” Optional (team decision pending): quick-log high-value text/call touches on Tier-1 accounts only.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5. Payer &amp; scheduling rules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WC / auto no-fault: </w:t>
      </w:r>
      <w:r>
        <w:rPr>
          <w:rFonts w:ascii="Calibri" w:cs="Calibri" w:eastAsia="Calibri" w:hAnsi="Calibri"/>
          <w:sz w:val="20"/>
          <w:szCs w:val="20"/>
        </w:rPr>
        <w:t xml:space="preserve">no referral, no copay — schedule directly. Attorney relationships are service-only; never inducements of any kind.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HMO plans (BCN, HAP, McLaren, Priority HMO): </w:t>
      </w:r>
      <w:r>
        <w:rPr>
          <w:rFonts w:ascii="Calibri" w:cs="Calibri" w:eastAsia="Calibri" w:hAnsi="Calibri"/>
          <w:sz w:val="20"/>
          <w:szCs w:val="20"/>
        </w:rPr>
        <w:t xml:space="preserve">PCP referral required — offer to handle the paperwork with the practice's staff.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Medicaid-likely flags (red chip): </w:t>
      </w:r>
      <w:r>
        <w:rPr>
          <w:rFonts w:ascii="Calibri" w:cs="Calibri" w:eastAsia="Calibri" w:hAnsi="Calibri"/>
          <w:sz w:val="20"/>
          <w:szCs w:val="20"/>
        </w:rPr>
        <w:t xml:space="preserve">do NOT promise same-week access until intake verifies; select providers only. Uninsured → Harmony Health Direct Pay.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When unsure: </w:t>
      </w:r>
      <w:r>
        <w:rPr>
          <w:rFonts w:ascii="Calibri" w:cs="Calibri" w:eastAsia="Calibri" w:hAnsi="Calibri"/>
          <w:sz w:val="20"/>
          <w:szCs w:val="20"/>
        </w:rPr>
        <w:t xml:space="preserve">“Intake will confirm coverage the same day.”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Patients we can't serve: </w:t>
      </w:r>
      <w:r>
        <w:rPr>
          <w:rFonts w:ascii="Calibri" w:cs="Calibri" w:eastAsia="Calibri" w:hAnsi="Calibri"/>
          <w:sz w:val="20"/>
          <w:szCs w:val="20"/>
        </w:rPr>
        <w:t xml:space="preserve">capture the reason; partner-referral routing (from call-center “treatment not offered” analysis) is the pending companion process.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6. Roles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980"/>
      </w:tblGrid>
      <w:tr>
        <w:trPr>
          <w:tblHeader/>
        </w:trP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</w:tr>
      <w:t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Gautam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Approves this SOP, the target framing (95–115 commit / 150 stretch), and capacity decisions (Sean coverage, 4th-PL trigger, protected field days).</w:t>
            </w:r>
          </w:p>
        </w:tc>
      </w:tr>
      <w:t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Kristen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 standard &amp; coaching; Monday huddle; message voice; account reassignment; the Non-Spine group.</w:t>
            </w:r>
          </w:p>
        </w:tc>
      </w:tr>
      <w:t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PLs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Stages 2–6; eyeball validation; same-day logging; Promote/Hold/Park reads.</w:t>
            </w:r>
          </w:p>
        </w:tc>
      </w:tr>
      <w:t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Schedule, app, scorecard, data refreshes, MMC imports; custodian of this document.</w:t>
            </w:r>
          </w:p>
        </w:tc>
      </w:tr>
      <w:t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Joel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consolidation (one owner per account) and route regeneration each cycle.</w:t>
            </w:r>
          </w:p>
        </w:tc>
      </w:tr>
      <w:t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Santosh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Referral-match hardening, MMC People export, B2B/B2C validation, MMC API.</w:t>
            </w:r>
          </w:p>
        </w:tc>
      </w:tr>
      <w:tr>
        <w:tc>
          <w:tcPr>
            <w:tcW w:type="dxa" w:w="19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Kelly</w:t>
            </w:r>
          </w:p>
        </w:tc>
        <w:tc>
          <w:tcPr>
            <w:tcW w:type="dxa" w:w="79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Payer verification (Tier 1 first); intake scripting alignment (spine-first routing).</w:t>
            </w:r>
          </w:p>
        </w:tc>
      </w:tr>
    </w:tbl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7. Tools &amp; materials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Spine Routes app</w:t>
      </w:r>
      <w:r>
        <w:rPr>
          <w:rFonts w:ascii="Calibri" w:cs="Calibri" w:eastAsia="Calibri" w:hAnsi="Calibri"/>
          <w:sz w:val="20"/>
          <w:szCs w:val="20"/>
        </w:rPr>
        <w:t xml:space="preserve"> — the daily driver: ranked days, per-stop message, payer chip, navigation, check-ins, Friday export.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Map My Customers</w:t>
      </w:r>
      <w:r>
        <w:rPr>
          <w:rFonts w:ascii="Calibri" w:cs="Calibri" w:eastAsia="Calibri" w:hAnsi="Calibri"/>
          <w:sz w:val="20"/>
          <w:szCs w:val="20"/>
        </w:rPr>
        <w:t xml:space="preserve"> — system of record: logged visits, the Non-Spine group, and group-level visit frequencies (21/30/45) so Past-Due flags match this SOP.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Eyeball files</w:t>
      </w:r>
      <w:r>
        <w:rPr>
          <w:rFonts w:ascii="Calibri" w:cs="Calibri" w:eastAsia="Calibri" w:hAnsi="Calibri"/>
          <w:sz w:val="20"/>
          <w:szCs w:val="20"/>
        </w:rPr>
        <w:t xml:space="preserve"> (pm/eyeball-check/) — the per-PL validation instrument, quarterly.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Weekly Spine Scorecard</w:t>
      </w:r>
      <w:r>
        <w:rPr>
          <w:rFonts w:ascii="Calibri" w:cs="Calibri" w:eastAsia="Calibri" w:hAnsi="Calibri"/>
          <w:sz w:val="20"/>
          <w:szCs w:val="20"/>
        </w:rPr>
        <w:t xml:space="preserve"> — Friday truth: B2B spine NPs, visit-days/PL, lapse count, NP/100, match-rate.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Materials (open item): </w:t>
      </w:r>
      <w:r>
        <w:rPr>
          <w:rFonts w:ascii="Calibri" w:cs="Calibri" w:eastAsia="Calibri" w:hAnsi="Calibri"/>
          <w:sz w:val="20"/>
          <w:szCs w:val="20"/>
        </w:rPr>
        <w:t xml:space="preserve">rotating leave-behind set — sciatica, herniated disc, degenerative disc disease, spinal stenosis — no practice sees the same piece twice in a row. Owner: Joe + Randall; required before mid-August.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8. Measurement &amp; review rhythm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Daily</w:t>
      </w:r>
      <w:r>
        <w:rPr>
          <w:rFonts w:ascii="Calibri" w:cs="Calibri" w:eastAsia="Calibri" w:hAnsi="Calibri"/>
          <w:sz w:val="20"/>
          <w:szCs w:val="20"/>
        </w:rPr>
        <w:t xml:space="preserve"> check-ins logged same day (unlogged work does not exist in the data)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Monday</w:t>
      </w:r>
      <w:r>
        <w:rPr>
          <w:rFonts w:ascii="Calibri" w:cs="Calibri" w:eastAsia="Calibri" w:hAnsi="Calibri"/>
          <w:sz w:val="20"/>
          <w:szCs w:val="20"/>
        </w:rPr>
        <w:t xml:space="preserve"> huddle (radar, week plan, Promote/Hold/Park)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Friday</w:t>
      </w:r>
      <w:r>
        <w:rPr>
          <w:rFonts w:ascii="Calibri" w:cs="Calibri" w:eastAsia="Calibri" w:hAnsi="Calibri"/>
          <w:sz w:val="20"/>
          <w:szCs w:val="20"/>
        </w:rPr>
        <w:t xml:space="preserve"> exports in, scorecard published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Monthly</w:t>
      </w:r>
      <w:r>
        <w:rPr>
          <w:rFonts w:ascii="Calibri" w:cs="Calibri" w:eastAsia="Calibri" w:hAnsi="Calibri"/>
          <w:sz w:val="20"/>
          <w:szCs w:val="20"/>
        </w:rPr>
        <w:t xml:space="preserve"> leadership review vs the ramp.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measurement contract: </w:t>
      </w:r>
      <w:r>
        <w:rPr>
          <w:rFonts w:ascii="Calibri" w:cs="Calibri" w:eastAsia="Calibri" w:hAnsi="Calibri"/>
          <w:sz w:val="20"/>
          <w:szCs w:val="20"/>
        </w:rPr>
        <w:t xml:space="preserve">weeks 1–2 are judged on activity (lapses → 0, visit-days on plan); the patient line reads from mid-August (31-day median visit→appointment lag);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September is the verdict month.</w:t>
      </w:r>
      <w:r>
        <w:rPr>
          <w:rFonts w:ascii="Calibri" w:cs="Calibri" w:eastAsia="Calibri" w:hAnsi="Calibri"/>
          <w:sz w:val="20"/>
          <w:szCs w:val="20"/>
        </w:rPr>
        <w:t xml:space="preserve"> August will look soft — the June–July activity dip is already baked in. No re-planning on a flat August patient line.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9. Compliance (blocking)</w:t>
      </w:r>
    </w:p>
    <w:p>
      <w:pPr>
        <w:spacing w:after="110" w:line="264"/>
      </w:pPr>
      <w:r>
        <w:rPr>
          <w:rFonts w:ascii="Calibri" w:cs="Calibri" w:eastAsia="Calibri" w:hAnsi="Calibri"/>
          <w:sz w:val="20"/>
          <w:szCs w:val="20"/>
        </w:rPr>
        <w:t xml:space="preserve">No payments, gifts, or inducements for referrals — ever (AKS/Stark). No PHI in writing, notes, texts, or within earshot of anyone; discreet private thanks with the referring provider are permitted. No superiority or outcome claims — verified claims only (same-week access, integrated ortho+spine model, 96% recommend). No access promises to unverified panels. All clinical or attorney-facing collateral passes compliance review before use.</w:t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1F4E4A"/>
          <w:sz w:val="26"/>
          <w:szCs w:val="26"/>
        </w:rPr>
        <w:t xml:space="preserve">10. Exceptions &amp; change control</w:t>
      </w:r>
    </w:p>
    <w:p>
      <w:pPr>
        <w:spacing w:after="110" w:line="264"/>
      </w:pPr>
      <w:r>
        <w:rPr>
          <w:rFonts w:ascii="Calibri" w:cs="Calibri" w:eastAsia="Calibri" w:hAnsi="Calibri"/>
          <w:sz w:val="20"/>
          <w:szCs w:val="20"/>
        </w:rPr>
        <w:t xml:space="preserve">Cadence override for an account → Kristen (logged at the huddle, synced by Joe). Universe changes → Stage 1 only. Target or capacity changes → Gautam. Anything with legal texture → compliance before action. This SOP changes by version, not by drift: propose → Kristen + Joe review → Gautam approves → version bump.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800"/>
        <w:gridCol w:w="1780"/>
      </w:tblGrid>
      <w:tr>
        <w:trPr>
          <w:tblHeader/>
        </w:trP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5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DRAFT</w:t>
            </w:r>
          </w:p>
        </w:tc>
        <w:tc>
          <w:tcPr>
            <w:tcW w:type="dxa" w:w="18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2026-07-23</w:t>
            </w:r>
          </w:p>
        </w:tc>
        <w:tc>
          <w:tcPr>
            <w:tcW w:type="dxa" w:w="480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 for approval</w:t>
            </w:r>
          </w:p>
        </w:tc>
        <w:tc>
          <w:tcPr>
            <w:tcW w:type="dxa" w:w="1780"/>
            <w:tcBorders>
              <w:top w:val="single" w:color="DCE7E3" w:sz="4"/>
              <w:left w:val="single" w:color="DCE7E3" w:sz="4"/>
              <w:bottom w:val="single" w:color="DCE7E3" w:sz="4"/>
              <w:right w:val="single" w:color="DCE7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pending — Gautam</w:t>
            </w:r>
          </w:p>
        </w:tc>
      </w:tr>
    </w:tbl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2026-07-23T19:41:19.635Z</dcterms:created>
  <dcterms:modified xsi:type="dcterms:W3CDTF">2026-07-23T19:41:19.635Z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