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8826A1" w14:textId="77777777" w:rsidR="009D2338" w:rsidRPr="009D2338" w:rsidRDefault="009D2338" w:rsidP="009D2338">
      <w:pPr>
        <w:spacing w:before="100" w:beforeAutospacing="1" w:after="100" w:afterAutospacing="1" w:line="240" w:lineRule="auto"/>
        <w:outlineLvl w:val="1"/>
        <w:rPr>
          <w:rFonts w:ascii="Times New Roman" w:eastAsia="Times New Roman" w:hAnsi="Times New Roman" w:cs="Times New Roman"/>
          <w:b/>
          <w:bCs/>
          <w:sz w:val="36"/>
          <w:szCs w:val="36"/>
        </w:rPr>
      </w:pPr>
      <w:r w:rsidRPr="009D2338">
        <w:rPr>
          <w:rFonts w:ascii="Times New Roman" w:eastAsia="Times New Roman" w:hAnsi="Times New Roman" w:cs="Times New Roman"/>
          <w:b/>
          <w:bCs/>
          <w:sz w:val="36"/>
          <w:szCs w:val="36"/>
        </w:rPr>
        <w:t>PHASE 1 · STEP 1.1 &amp; 1.2 — TESTBED COMBINED SUBMISSION</w:t>
      </w:r>
    </w:p>
    <w:p w14:paraId="3C3E9AFF"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DRAFT 1: EXCEL DATA AUDIT &amp; ANALYSIS READINESS</w:t>
      </w:r>
    </w:p>
    <w:p w14:paraId="48CCFE6F"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PART 0: PASSPORT &amp; FIRST PAGE COMPULSORY INCLUSION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3369"/>
        <w:gridCol w:w="1753"/>
        <w:gridCol w:w="2478"/>
      </w:tblGrid>
      <w:tr w:rsidR="009D2338" w:rsidRPr="009D2338" w14:paraId="03C1D512" w14:textId="77777777" w:rsidTr="009D23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Entry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Entry</w:t>
            </w:r>
          </w:p>
        </w:tc>
      </w:tr>
      <w:tr w:rsidR="009D2338" w:rsidRPr="009D2338" w14:paraId="58635DD7"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7BA81"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Student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Nahimatu Ayippey, Joseph Edem Anyigbah, Grace Badu Gyimah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2ECD1"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Student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6515224 / 6507924 / 6515324</w:t>
            </w:r>
          </w:p>
        </w:tc>
      </w:tr>
      <w:tr w:rsidR="009D2338" w:rsidRPr="009D2338" w14:paraId="215970DB"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56B84"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Model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COMPLETED — Excel frequency audit; predictive models not fitted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2662A"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F/M/R/S Operation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Not applicable to this audit; no factorial model run</w:t>
            </w:r>
          </w:p>
        </w:tc>
      </w:tr>
      <w:tr w:rsidR="009D2338" w:rsidRPr="009D2338" w14:paraId="1A782FEC"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B4238"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Target Claim Tier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Descriptive workbook frequencies only; no predictive or generalisation claim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C3033"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Dataset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SINGLE-SOURCE</w:t>
            </w:r>
          </w:p>
        </w:tc>
      </w:tr>
      <w:tr w:rsidR="009D2338" w:rsidRPr="009D2338" w14:paraId="1CB4697D"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32051"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Folder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Excel Data Audit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8D61C"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Passport Attached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YES</w:t>
            </w:r>
          </w:p>
        </w:tc>
      </w:tr>
      <w:tr w:rsidR="009D2338" w:rsidRPr="009D2338" w14:paraId="385BE307"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Revision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October 13, 2026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52AA"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Primary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Workbook structure, recorded counts, and five-bin sum reconciliation</w:t>
            </w:r>
          </w:p>
        </w:tc>
      </w:tr>
      <w:tr w:rsidR="009D2338" w:rsidRPr="009D2338" w14:paraId="3039FC87"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1507F"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Target Journal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Not specified in supplied project materials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8BBB6"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Statistical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Not applicable; no inferential test or model comparison was run</w:t>
            </w:r>
          </w:p>
        </w:tc>
      </w:tr>
      <w:tr w:rsidR="009D2338" w:rsidRPr="009D2338" w14:paraId="7DBE566E"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999CFC"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lastRenderedPageBreak/>
              <w:t>Runs × Folds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Not applicable; no model runs or validation folds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3A579" w14:textId="77777777" w:rsidR="009D2338" w:rsidRPr="009D2338" w:rsidRDefault="009D2338" w:rsidP="009D2338">
            <w:pPr>
              <w:spacing w:after="48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Random Seeds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Not applicable; no stochastic model runs</w:t>
            </w:r>
          </w:p>
        </w:tc>
      </w:tr>
    </w:tbl>
    <w:p w14:paraId="0A06BDB0"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RESEARCH METADATA</w:t>
      </w:r>
    </w:p>
    <w:p w14:paraId="3FA7C900"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Research Title:</w:t>
      </w:r>
    </w:p>
    <w:p w14:paraId="22D6EA74"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29ED3BBC" w14:textId="77777777" w:rsidR="009D2338" w:rsidRPr="009D2338" w:rsidRDefault="009D2338" w:rsidP="009D2338">
      <w:pPr>
        <w:spacing w:after="0" w:line="240" w:lineRule="auto"/>
        <w:rPr>
          <w:rFonts w:ascii="Times New Roman" w:eastAsia="Times New Roman" w:hAnsi="Times New Roman" w:cs="Times New Roman"/>
          <w:sz w:val="24"/>
          <w:szCs w:val="24"/>
        </w:rPr>
      </w:pPr>
      <w:r>
        <w:t>Cybersecurity Awareness and Behaviour Survey: An Audit of the Available Aggregate Excel Dataset</w:t>
      </w:r>
    </w:p>
    <w:p w14:paraId="0D195BBD"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20E11D3B"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772B236B"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Problem Statement:</w:t>
      </w:r>
    </w:p>
    <w:p w14:paraId="4CFAA88C"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4720D342" w14:textId="77777777" w:rsidR="009D2338" w:rsidRPr="009D2338" w:rsidRDefault="009D2338" w:rsidP="009D2338">
      <w:pPr>
        <w:spacing w:after="0" w:line="240" w:lineRule="auto"/>
        <w:rPr>
          <w:rFonts w:ascii="Times New Roman" w:eastAsia="Times New Roman" w:hAnsi="Times New Roman" w:cs="Times New Roman"/>
          <w:sz w:val="24"/>
          <w:szCs w:val="24"/>
        </w:rPr>
      </w:pPr>
      <w:r>
        <w:t>The available analysis file, DATASET/dataset.xlsx, contains category-frequency summaries rather than one row per student. The workbook does not preserve the joint responses needed to calculate respondent-level practice totals, fit the proposed regression models, or validate predictions. Its demographic totals also disagree across fields. Draft 0 sample and model claims therefore cannot be reproduced from this Excel file; no individual-level data or results are inferred from the tallies.</w:t>
      </w:r>
    </w:p>
    <w:p w14:paraId="515560FE"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5376DE31"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Aim and Objectives:</w:t>
      </w:r>
    </w:p>
    <w:p w14:paraId="1236E98D"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5FAA8157" w14:textId="77777777" w:rsidR="009D2338" w:rsidRPr="009D2338" w:rsidRDefault="009D2338" w:rsidP="009D2338">
      <w:pPr>
        <w:numPr>
          <w:ilvl w:val="0"/>
          <w:numId w:val="1"/>
        </w:numPr>
        <w:spacing w:before="100" w:beforeAutospacing="1" w:after="100" w:afterAutospacing="1" w:line="240" w:lineRule="auto"/>
        <w:rPr>
          <w:rFonts w:ascii="Times New Roman" w:eastAsia="Times New Roman" w:hAnsi="Times New Roman" w:cs="Times New Roman"/>
          <w:sz w:val="24"/>
          <w:szCs w:val="24"/>
        </w:rPr>
      </w:pPr>
      <w:r>
        <w:t>Aim: To audit the available Excel frequency summaries, establish what the supplied workbook supports, and identify whether it can support the proposed respondent-level predictive analysis.</w:t>
      </w:r>
    </w:p>
    <w:p w14:paraId="2B30CC82"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0A227245" w14:textId="77777777" w:rsidR="009D2338" w:rsidRPr="009D2338" w:rsidRDefault="009D2338" w:rsidP="009D2338">
      <w:pPr>
        <w:numPr>
          <w:ilvl w:val="0"/>
          <w:numId w:val="1"/>
        </w:numPr>
        <w:spacing w:before="100" w:beforeAutospacing="1" w:after="100" w:afterAutospacing="1" w:line="240" w:lineRule="auto"/>
        <w:rPr>
          <w:rFonts w:ascii="Times New Roman" w:eastAsia="Times New Roman" w:hAnsi="Times New Roman" w:cs="Times New Roman"/>
          <w:sz w:val="24"/>
          <w:szCs w:val="24"/>
        </w:rPr>
      </w:pPr>
      <w:r>
        <w:t>Objective 1: Inventory the selected Excel workbook, its fields, frequency counts, and internal count consistency.</w:t>
      </w:r>
    </w:p>
    <w:p w14:paraId="668668C7"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4D6E7E79" w14:textId="77777777" w:rsidR="009D2338" w:rsidRPr="009D2338" w:rsidRDefault="009D2338" w:rsidP="009D2338">
      <w:pPr>
        <w:numPr>
          <w:ilvl w:val="0"/>
          <w:numId w:val="1"/>
        </w:numPr>
        <w:spacing w:before="100" w:beforeAutospacing="1" w:after="100" w:afterAutospacing="1" w:line="240" w:lineRule="auto"/>
        <w:rPr>
          <w:rFonts w:ascii="Times New Roman" w:eastAsia="Times New Roman" w:hAnsi="Times New Roman" w:cs="Times New Roman"/>
          <w:sz w:val="24"/>
          <w:szCs w:val="24"/>
        </w:rPr>
      </w:pPr>
      <w:r>
        <w:t>Objective 2: Identify which analysis variables and respondent-level quantities are present or absent in the Excel workbook without supplementing it from another source.</w:t>
      </w:r>
    </w:p>
    <w:p w14:paraId="22F6BC2E"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6E9DEA7A" w14:textId="77777777" w:rsidR="009D2338" w:rsidRPr="009D2338" w:rsidRDefault="009D2338" w:rsidP="009D2338">
      <w:pPr>
        <w:numPr>
          <w:ilvl w:val="0"/>
          <w:numId w:val="1"/>
        </w:numPr>
        <w:spacing w:before="100" w:beforeAutospacing="1" w:after="100" w:afterAutospacing="1" w:line="240" w:lineRule="auto"/>
        <w:rPr>
          <w:rFonts w:ascii="Times New Roman" w:eastAsia="Times New Roman" w:hAnsi="Times New Roman" w:cs="Times New Roman"/>
          <w:sz w:val="24"/>
          <w:szCs w:val="24"/>
        </w:rPr>
      </w:pPr>
      <w:r>
        <w:t>Objective 3: Determine whether the workbook supports the requested OLS/LASSO comparison; report model metrics only if the Excel data contain the respondent-level rows required to fit and validate the models.</w:t>
      </w:r>
    </w:p>
    <w:p w14:paraId="3B394C3F"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202EE587"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b/>
          <w:bCs/>
          <w:sz w:val="24"/>
          <w:szCs w:val="24"/>
        </w:rPr>
        <w:t>Theoretical Framework:</w:t>
      </w:r>
    </w:p>
    <w:p w14:paraId="42284150"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1D5E68AA" w14:textId="77777777" w:rsidR="009D2338" w:rsidRPr="009D2338" w:rsidRDefault="009D2338" w:rsidP="009D2338">
      <w:pPr>
        <w:spacing w:after="0" w:line="240" w:lineRule="auto"/>
        <w:rPr>
          <w:rFonts w:ascii="Times New Roman" w:eastAsia="Times New Roman" w:hAnsi="Times New Roman" w:cs="Times New Roman"/>
          <w:sz w:val="24"/>
          <w:szCs w:val="24"/>
        </w:rPr>
      </w:pPr>
      <w:r>
        <w:t>Theoretical framework — Classical Test Theory (CTT): This study adopts CTT as its provisional measurement framework for the questionnaire’s recorded practice domains. CTT treats an observed score as comprising a true-score component and measurement error (Himelfarb, 2019). This measurement focus is more appropriate to the available item-frequency structure than Protection Motivation Theory, which would require measures of threat appraisal and coping appraisal that are not documented in the selected workbook. The seven practice-domain headings are retained as labels recorded in the Excel source; no item-to-domain mapping beyond those recorded labels is inferred. Because the workbook contains marginal frequencies rather than linked student responses, CTT is a conceptual framing only: score reliability, item covariance, dimensionality, and domain redundancy cannot be estimated here.</w:t>
      </w:r>
    </w:p>
    <w:p w14:paraId="49E209FD"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7FA60CA4" w14:textId="77777777" w:rsidR="009D2338" w:rsidRPr="009D2338" w:rsidRDefault="009D2338" w:rsidP="009D2338">
      <w:pPr>
        <w:spacing w:before="100" w:beforeAutospacing="1" w:after="100" w:afterAutospacing="1" w:line="240" w:lineRule="auto"/>
        <w:outlineLvl w:val="1"/>
        <w:rPr>
          <w:rFonts w:ascii="Times New Roman" w:eastAsia="Times New Roman" w:hAnsi="Times New Roman" w:cs="Times New Roman"/>
          <w:b/>
          <w:bCs/>
          <w:sz w:val="36"/>
          <w:szCs w:val="36"/>
        </w:rPr>
      </w:pPr>
      <w:r w:rsidRPr="009D2338">
        <w:rPr>
          <w:rFonts w:ascii="Times New Roman" w:eastAsia="Times New Roman" w:hAnsi="Times New Roman" w:cs="Times New Roman"/>
          <w:b/>
          <w:bCs/>
          <w:sz w:val="36"/>
          <w:szCs w:val="36"/>
        </w:rPr>
        <w:t>SECTION 3: METHODOLOGY</w:t>
      </w:r>
    </w:p>
    <w:p w14:paraId="203FF8B3"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 Research Design Overview and Methodological Roadmap</w:t>
      </w:r>
    </w:p>
    <w:p w14:paraId="5134AE16" w14:textId="77777777" w:rsidR="009D2338" w:rsidRPr="009D2338" w:rsidRDefault="009D2338" w:rsidP="009D2338">
      <w:pPr>
        <w:spacing w:after="0" w:line="240" w:lineRule="auto"/>
        <w:rPr>
          <w:rFonts w:ascii="Times New Roman" w:eastAsia="Times New Roman" w:hAnsi="Times New Roman" w:cs="Times New Roman"/>
          <w:sz w:val="24"/>
          <w:szCs w:val="24"/>
        </w:rPr>
      </w:pPr>
      <w:r>
        <w:t>This revision uses DATASET/dataset.xlsx as its sole analysis source. The workflow is: (1) inspect workbook structure and recorded fields; (2) reconcile the frequency totals shown in the workbook; (3) determine whether respondent-level outcomes and predictors can be formed; and (4) report only analyses supported by those data. The workbook contains aggregate tallies, so the regression and validation stages cannot currently be run.</w:t>
      </w:r>
    </w:p>
    <w:p w14:paraId="6D0771A2"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2739BC24" w14:textId="6CF384FF" w:rsidR="009D2338" w:rsidRDefault="009D2338" w:rsidP="009D2338">
      <w:pPr>
        <w:spacing w:after="0" w:line="240" w:lineRule="auto"/>
        <w:rPr>
          <w:rFonts w:ascii="Times New Roman" w:eastAsia="Times New Roman" w:hAnsi="Times New Roman" w:cs="Times New Roman"/>
          <w:sz w:val="24"/>
          <w:szCs w:val="24"/>
        </w:rPr>
      </w:pPr>
    </w:p>
    <w:p w14:paraId="55421542" w14:textId="63367119" w:rsidR="009D2338" w:rsidRDefault="009D2338" w:rsidP="009D2338">
      <w:pPr>
        <w:spacing w:after="0" w:line="240" w:lineRule="auto"/>
        <w:rPr>
          <w:rFonts w:ascii="Times New Roman" w:eastAsia="Times New Roman" w:hAnsi="Times New Roman" w:cs="Times New Roman"/>
          <w:sz w:val="24"/>
          <w:szCs w:val="24"/>
        </w:rPr>
      </w:pPr>
    </w:p>
    <w:p w14:paraId="3A9DAA0B" w14:textId="1960231D" w:rsidR="009D2338" w:rsidRDefault="009D2338" w:rsidP="009D2338">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allowOverlap="1" wp14:anchorId="182FDA8B" wp14:editId="7EDFB326">
            <wp:simplePos x="0" y="0"/>
            <wp:positionH relativeFrom="column">
              <wp:posOffset>0</wp:posOffset>
            </wp:positionH>
            <wp:positionV relativeFrom="paragraph">
              <wp:posOffset>174625</wp:posOffset>
            </wp:positionV>
            <wp:extent cx="6332402" cy="1726570"/>
            <wp:effectExtent l="0" t="0" r="0" b="698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6332402" cy="1726570"/>
                    </a:xfrm>
                    <a:prstGeom prst="rect">
                      <a:avLst/>
                    </a:prstGeom>
                  </pic:spPr>
                </pic:pic>
              </a:graphicData>
            </a:graphic>
          </wp:anchor>
        </w:drawing>
      </w:r>
    </w:p>
    <w:p w14:paraId="0C24A3B9" w14:textId="61E848B2" w:rsidR="009D2338" w:rsidRPr="009D2338" w:rsidRDefault="009D2338" w:rsidP="009D2338">
      <w:pPr>
        <w:spacing w:after="0" w:line="240" w:lineRule="auto"/>
        <w:rPr>
          <w:rFonts w:ascii="Times New Roman" w:eastAsia="Times New Roman" w:hAnsi="Times New Roman" w:cs="Times New Roman"/>
          <w:sz w:val="24"/>
          <w:szCs w:val="24"/>
        </w:rPr>
      </w:pPr>
      <w:r>
        <w:t>Figure 1. Excel-only audit workflow and the point at which aggregate tallies prevent respondent-level model evaluation.</w:t>
      </w:r>
    </w:p>
    <w:p w14:paraId="74A9A195"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2AA8C5DE"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M2. Problem </w:t>
      </w:r>
      <w:proofErr w:type="spellStart"/>
      <w:r w:rsidRPr="009D2338">
        <w:rPr>
          <w:rFonts w:ascii="Times New Roman" w:eastAsia="Times New Roman" w:hAnsi="Times New Roman" w:cs="Times New Roman"/>
          <w:b/>
          <w:bCs/>
          <w:sz w:val="27"/>
          <w:szCs w:val="27"/>
        </w:rPr>
        <w:t>Formalisation</w:t>
      </w:r>
      <w:proofErr w:type="spellEnd"/>
      <w:r w:rsidRPr="009D2338">
        <w:rPr>
          <w:rFonts w:ascii="Times New Roman" w:eastAsia="Times New Roman" w:hAnsi="Times New Roman" w:cs="Times New Roman"/>
          <w:b/>
          <w:bCs/>
          <w:sz w:val="27"/>
          <w:szCs w:val="27"/>
        </w:rPr>
        <w:t xml:space="preserve"> and Notation</w:t>
      </w:r>
    </w:p>
    <w:p w14:paraId="18107618" w14:textId="77777777" w:rsidR="00924F7E" w:rsidRPr="00924F7E" w:rsidRDefault="00924F7E" w:rsidP="00924F7E">
      <w:pPr>
        <w:spacing w:after="0" w:line="240" w:lineRule="auto"/>
        <w:rPr>
          <w:rFonts w:ascii="Times New Roman" w:eastAsia="Times New Roman" w:hAnsi="Times New Roman" w:cs="Times New Roman"/>
          <w:sz w:val="24"/>
          <w:szCs w:val="24"/>
        </w:rPr>
      </w:pPr>
      <w:r>
        <w:t>The planned predictive dataset would require one record per student, predictor values $x_i$, and an outcome $y_i$. DATASET/dataset.xlsx instead stores school totals, demographic frequency summaries, and 72 item-level frequency distributions. It does not store linked response vectors or student-level TOTAL scores. Consequently, the respondent-level matrix $D=\{(x_i,y_i)\}$, its sample size $n$, and held-out predictions cannot be constructed from this workbook.</w:t>
      </w:r>
    </w:p>
    <w:p w14:paraId="66482014"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78039F04"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M3. Data Sources and Provenance Declaration</w:t>
      </w:r>
    </w:p>
    <w:p w14:paraId="3DF8510B" w14:textId="77777777" w:rsidR="009D2338" w:rsidRPr="009D2338" w:rsidRDefault="009D2338" w:rsidP="009D2338">
      <w:pPr>
        <w:spacing w:after="0" w:line="240" w:lineRule="auto"/>
        <w:rPr>
          <w:rFonts w:ascii="Times New Roman" w:eastAsia="Times New Roman" w:hAnsi="Times New Roman" w:cs="Times New Roman"/>
          <w:sz w:val="24"/>
          <w:szCs w:val="24"/>
        </w:rPr>
      </w:pPr>
      <w:r>
        <w:t>The sole analysis source for this revision is DATASET/dataset.xlsx, one worksheet (Sheet1; 73 rows by 15 columns). The workbook contains aggregate frequency tables. The separate project-root dataset.xlsx differs and is excluded; experiment/dataset_2.xlsx is an identical copy of the selected workbook and is not pooled with it.</w:t>
      </w:r>
    </w:p>
    <w:p w14:paraId="7A49DEBF" w14:textId="77777777" w:rsidR="009D2338" w:rsidRPr="009D2338" w:rsidRDefault="009D2338" w:rsidP="009D2338">
      <w:pPr>
        <w:spacing w:after="0" w:line="240" w:lineRule="auto"/>
        <w:rPr>
          <w:rFonts w:ascii="Times New Roman" w:eastAsia="Times New Roman" w:hAnsi="Times New Roman" w:cs="Times New Roman"/>
          <w:sz w:val="24"/>
          <w:szCs w:val="24"/>
        </w:rPr>
      </w:pPr>
    </w:p>
    <w:p>
      <w:pPr>
        <w:jc w:val="center"/>
      </w:pPr>
      <w:r>
        <w:t>Table 1. Excel Workbook Provenance and Analysis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1227"/>
        <w:gridCol w:w="1152"/>
        <w:gridCol w:w="1771"/>
        <w:gridCol w:w="1908"/>
        <w:gridCol w:w="1866"/>
      </w:tblGrid>
      <w:tr w:rsidR="009D2338" w:rsidRPr="009D2338" w14:paraId="5B010499" w14:textId="77777777" w:rsidTr="009D233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Dataset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Source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Size /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Collection / Snapshot 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Licence /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Pipeline Role</w:t>
            </w:r>
          </w:p>
        </w:tc>
      </w:tr>
      <w:tr w:rsidR="009D2338" w:rsidRPr="009D2338" w14:paraId="17E34BE6" w14:textId="77777777" w:rsidTr="009D233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DATASET/dataset.xlsx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Selected analysis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One sheet; 73 × 15; aggregate frequencies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Workbook in project folder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No individual-level licence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
              <w:t>Selected; used alone for this draft</w:t>
            </w:r>
          </w:p>
        </w:tc>
      </w:tr>
      <w:tr>
        <w:tc>
          <w:tcPr>
            <w:tcW w:type="dxa" w:w="1420"/>
          </w:tcPr>
          <w:p>
            <w:r>
              <w:t>experiment/dataset_2.xlsx</w:t>
            </w:r>
          </w:p>
        </w:tc>
        <w:tc>
          <w:tcPr>
            <w:tcW w:type="dxa" w:w="1227"/>
          </w:tcPr>
          <w:p>
            <w:r>
              <w:t>Duplicate workbook</w:t>
            </w:r>
          </w:p>
        </w:tc>
        <w:tc>
          <w:tcPr>
            <w:tcW w:type="dxa" w:w="1152"/>
          </w:tcPr>
          <w:p>
            <w:r>
              <w:t>One sheet; 73 × 15; byte-identical copy of selected source</w:t>
            </w:r>
          </w:p>
        </w:tc>
        <w:tc>
          <w:tcPr>
            <w:tcW w:type="dxa" w:w="1771"/>
          </w:tcPr>
          <w:p>
            <w:r>
              <w:t>Working copy</w:t>
            </w:r>
          </w:p>
        </w:tc>
        <w:tc>
          <w:tcPr>
            <w:tcW w:type="dxa" w:w="1908"/>
          </w:tcPr>
          <w:p>
            <w:r>
              <w:t>No separate access field</w:t>
            </w:r>
          </w:p>
        </w:tc>
        <w:tc>
          <w:tcPr>
            <w:tcW w:type="dxa" w:w="1866"/>
          </w:tcPr>
          <w:p>
            <w:r>
              <w:t>Not pooled or counted as an independent source</w:t>
            </w:r>
          </w:p>
        </w:tc>
      </w:tr>
      <w:tr>
        <w:tc>
          <w:tcPr>
            <w:tcW w:type="dxa" w:w="1420"/>
          </w:tcPr>
          <w:p>
            <w:r>
              <w:t>Project-root dataset.xlsx</w:t>
            </w:r>
          </w:p>
        </w:tc>
        <w:tc>
          <w:tcPr>
            <w:tcW w:type="dxa" w:w="1227"/>
          </w:tcPr>
          <w:p>
            <w:r>
              <w:t>Different workbook version</w:t>
            </w:r>
          </w:p>
        </w:tc>
        <w:tc>
          <w:tcPr>
            <w:tcW w:type="dxa" w:w="1152"/>
          </w:tcPr>
          <w:p>
            <w:r>
              <w:t>One sheet; 69 × 15; contents differ</w:t>
            </w:r>
          </w:p>
        </w:tc>
        <w:tc>
          <w:tcPr>
            <w:tcW w:type="dxa" w:w="1771"/>
          </w:tcPr>
          <w:p>
            <w:r>
              <w:t>Separate project file</w:t>
            </w:r>
          </w:p>
        </w:tc>
        <w:tc>
          <w:tcPr>
            <w:tcW w:type="dxa" w:w="1908"/>
          </w:tcPr>
          <w:p>
            <w:r>
              <w:t>Not used as analysis input</w:t>
            </w:r>
          </w:p>
        </w:tc>
        <w:tc>
          <w:tcPr>
            <w:tcW w:type="dxa" w:w="1866"/>
          </w:tcPr>
          <w:p>
            <w:r>
              <w:t>Excluded; no values combined</w:t>
            </w:r>
          </w:p>
        </w:tc>
      </w:tr>
    </w:tbl>
    <w:p w14:paraId="05E36C0F"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M4. Data Collection or Acquisition Procedure</w:t>
      </w:r>
    </w:p>
    <w:p w14:paraId="38258A05" w14:textId="77777777" w:rsidR="00C417E7" w:rsidRDefault="00C417E7" w:rsidP="00C417E7">
      <w:pPr>
        <w:pStyle w:val="NormalWeb"/>
      </w:pPr>
      <w:r>
        <w:t>Numbered source and attrition ledger (Excel-only; these are source-record statuses, not reconstructed survey counts):</w:t>
      </w:r>
    </w:p>
    <w:p w14:paraId="132CC6D3" w14:textId="04BF88BD" w:rsidR="00C417E7" w:rsidRDefault="00C417E7" w:rsidP="00C417E7">
      <w:pPr>
        <w:pStyle w:val="NormalWeb"/>
        <w:numPr>
          <w:ilvl w:val="0"/>
          <w:numId w:val="4"/>
        </w:numPr>
      </w:pPr>
      <w:r>
        <w:t>1. Workbook audited: DATASET/dataset.xlsx, Sheet1, 73 rows × 15 columns; selected as the sole analysis source.</w:t>
      </w:r>
    </w:p>
    <w:p w14:paraId="42ED5EC7" w14:textId="77777777" w:rsidR="00FB2F87" w:rsidRDefault="00FB2F87" w:rsidP="00FB2F87">
      <w:pPr>
        <w:pStyle w:val="NormalWeb"/>
        <w:ind w:left="720"/>
      </w:pPr>
    </w:p>
    <w:p w14:paraId="394A11C5" w14:textId="353A69EF" w:rsidR="00FB2F87" w:rsidRDefault="00C417E7" w:rsidP="00FB2F87">
      <w:pPr>
        <w:pStyle w:val="NormalWeb"/>
        <w:numPr>
          <w:ilvl w:val="0"/>
          <w:numId w:val="4"/>
        </w:numPr>
      </w:pPr>
      <w:r>
        <w:t>2. Questionnaires distributed/collected and returned: these flow counts are not recorded in the selected workbook and cannot be established from it.</w:t>
      </w:r>
    </w:p>
    <w:p w14:paraId="1CFEC95F" w14:textId="77777777" w:rsidR="00FB2F87" w:rsidRDefault="00FB2F87" w:rsidP="00FB2F87">
      <w:pPr>
        <w:pStyle w:val="NormalWeb"/>
      </w:pPr>
    </w:p>
    <w:p w14:paraId="63D28D7D" w14:textId="5F65735C" w:rsidR="00C417E7" w:rsidRDefault="00C417E7" w:rsidP="00C417E7">
      <w:pPr>
        <w:pStyle w:val="NormalWeb"/>
        <w:numPr>
          <w:ilvl w:val="0"/>
          <w:numId w:val="4"/>
        </w:numPr>
      </w:pPr>
      <w:r>
        <w:t>3. Incomplete responses and exclusions: no respondent-level completeness or exclusion log is present; excluded counts and reasons are not recorded.</w:t>
      </w:r>
    </w:p>
    <w:p w14:paraId="52078323" w14:textId="77777777" w:rsidR="00FB2F87" w:rsidRDefault="00FB2F87" w:rsidP="00FB2F87">
      <w:pPr>
        <w:pStyle w:val="NormalWeb"/>
      </w:pPr>
    </w:p>
    <w:p w14:paraId="1F8AD419" w14:textId="5168C62E" w:rsidR="00C417E7" w:rsidRDefault="00C417E7" w:rsidP="00C417E7">
      <w:pPr>
        <w:pStyle w:val="NormalWeb"/>
        <w:numPr>
          <w:ilvl w:val="0"/>
          <w:numId w:val="4"/>
        </w:numPr>
      </w:pPr>
      <w:r>
        <w:t>4. Aggregation: the workbook contains 72 item-frequency rows with five response bins per row. The source does not document the aggregation, deduplication, or respondent-to-count rule.</w:t>
      </w:r>
    </w:p>
    <w:p w14:paraId="5E9A52E7" w14:textId="77777777" w:rsidR="00FB2F87" w:rsidRDefault="00FB2F87" w:rsidP="00FB2F87">
      <w:pPr>
        <w:pStyle w:val="ListParagraph"/>
      </w:pPr>
    </w:p>
    <w:p w14:paraId="3B87AA3A" w14:textId="77777777" w:rsidR="00FB2F87" w:rsidRDefault="00FB2F87" w:rsidP="00FB2F87">
      <w:pPr>
        <w:pStyle w:val="NormalWeb"/>
        <w:ind w:left="720"/>
      </w:pPr>
    </w:p>
    <w:p w14:paraId="6C9B0C11" w14:textId="77777777" w:rsidR="00FB2F87" w:rsidRDefault="00C417E7" w:rsidP="00C417E7">
      <w:pPr>
        <w:pStyle w:val="NormalWeb"/>
        <w:numPr>
          <w:ilvl w:val="0"/>
          <w:numId w:val="4"/>
        </w:numPr>
      </w:pPr>
      <w:r>
        <w:t>5. Cohort vectors: no one-row-per-student response vectors or linked identifiers are represented in this workbook. The number of row-level records present is zero; this describes the file structure and does not mean zero questionnaires were collected.</w:t>
      </w:r>
    </w:p>
    <w:p w14:paraId="2BF774D6" w14:textId="616B4DF8" w:rsidR="00C417E7" w:rsidRDefault="00C417E7" w:rsidP="00FB2F87">
      <w:pPr>
        <w:pStyle w:val="NormalWeb"/>
        <w:ind w:left="720"/>
      </w:pPr>
      <w:r>
        <w:t xml:space="preserve"> </w:t>
      </w:r>
    </w:p>
    <w:p w14:paraId="4F4A0098" w14:textId="77777777" w:rsidR="00C417E7" w:rsidRDefault="00C417E7" w:rsidP="00C417E7">
      <w:pPr>
        <w:pStyle w:val="NormalWeb"/>
        <w:numPr>
          <w:ilvl w:val="0"/>
          <w:numId w:val="4"/>
        </w:numPr>
      </w:pPr>
      <w:r>
        <w:t>6. Final valid respondent count: not determinable from this workbook. It has no common respondent denominator; site, demographic, and item totals are separate marginals and do not provide a reconciled final n.</w:t>
      </w:r>
    </w:p>
    <w:p w14:paraId="336BB3C5" w14:textId="77777777" w:rsidR="009D2338" w:rsidRDefault="009D2338" w:rsidP="009D2338">
      <w:pPr>
        <w:spacing w:after="0" w:line="240" w:lineRule="auto"/>
        <w:rPr>
          <w:rFonts w:ascii="Times New Roman" w:eastAsia="Times New Roman" w:hAnsi="Times New Roman" w:cs="Times New Roman"/>
          <w:sz w:val="24"/>
          <w:szCs w:val="24"/>
        </w:rPr>
      </w:pPr>
    </w:p>
    <w:p w14:paraId="2F4983E2" w14:textId="77777777" w:rsidR="009D2338" w:rsidRDefault="009D2338" w:rsidP="009D2338">
      <w:pPr>
        <w:spacing w:after="0" w:line="240" w:lineRule="auto"/>
        <w:rPr>
          <w:rFonts w:ascii="Times New Roman" w:eastAsia="Times New Roman" w:hAnsi="Times New Roman" w:cs="Times New Roman"/>
          <w:sz w:val="24"/>
          <w:szCs w:val="24"/>
        </w:rPr>
      </w:pPr>
    </w:p>
    <w:p w14:paraId="0B3002D7" w14:textId="4BE9BC22" w:rsidR="009D2338" w:rsidRDefault="009D2338" w:rsidP="009D2338">
      <w:pPr>
        <w:spacing w:after="0" w:line="240" w:lineRule="auto"/>
        <w:rPr>
          <w:rFonts w:ascii="Times New Roman" w:eastAsia="Times New Roman" w:hAnsi="Times New Roman" w:cs="Times New Roman"/>
          <w:sz w:val="24"/>
          <w:szCs w:val="24"/>
        </w:rPr>
      </w:pPr>
      <w:r>
        <w:rPr>
          <w:noProof/>
        </w:rPr>
        <w:drawing>
          <wp:anchor distT="0" distB="0" distL="114300" distR="114300" simplePos="0" relativeHeight="251661312" behindDoc="0" locked="0" layoutInCell="1" allowOverlap="1" wp14:anchorId="60E34FDF" wp14:editId="0B7C10F5">
            <wp:simplePos x="0" y="0"/>
            <wp:positionH relativeFrom="column">
              <wp:posOffset>0</wp:posOffset>
            </wp:positionH>
            <wp:positionV relativeFrom="paragraph">
              <wp:posOffset>175260</wp:posOffset>
            </wp:positionV>
            <wp:extent cx="6332402" cy="1534637"/>
            <wp:effectExtent l="0" t="0" r="0" b="8413"/>
            <wp:wrapSquare wrapText="bothSides"/>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6332402" cy="1534637"/>
                    </a:xfrm>
                    <a:prstGeom prst="rect">
                      <a:avLst/>
                    </a:prstGeom>
                  </pic:spPr>
                </pic:pic>
              </a:graphicData>
            </a:graphic>
          </wp:anchor>
        </w:drawing>
      </w:r>
    </w:p>
    <w:p w14:paraId="603C2774" w14:textId="32553DC8" w:rsidR="009D2338" w:rsidRPr="009D2338" w:rsidRDefault="009D2338" w:rsidP="009D2338">
      <w:pPr>
        <w:spacing w:after="0" w:line="240" w:lineRule="auto"/>
        <w:rPr>
          <w:rFonts w:ascii="Times New Roman" w:eastAsia="Times New Roman" w:hAnsi="Times New Roman" w:cs="Times New Roman"/>
          <w:sz w:val="24"/>
          <w:szCs w:val="24"/>
        </w:rPr>
      </w:pPr>
      <w:r>
        <w:t>Figure 2. Excel-derived inventory and denominator checks; frequency totals are shown as recorded and are not interpreted as a common sample size.</w:t>
      </w:r>
    </w:p>
    <w:p w14:paraId="7EC2681A"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03209AEB" w14:textId="10B8D048"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M5. Ethical Clearance, Consent and Data Governanc</w:t>
      </w:r>
      <w:r w:rsidR="00C565FB">
        <w:rPr>
          <w:rFonts w:ascii="Times New Roman" w:eastAsia="Times New Roman" w:hAnsi="Times New Roman" w:cs="Times New Roman"/>
          <w:b/>
          <w:bCs/>
          <w:sz w:val="27"/>
          <w:szCs w:val="27"/>
        </w:rPr>
        <w:t>e</w:t>
      </w:r>
    </w:p>
    <w:p w14:paraId="14E3EB63" w14:textId="77777777" w:rsidR="009D2338" w:rsidRPr="009D2338" w:rsidRDefault="009D2338" w:rsidP="009D2338">
      <w:pPr>
        <w:spacing w:after="0" w:line="240" w:lineRule="auto"/>
        <w:rPr>
          <w:rFonts w:ascii="Times New Roman" w:eastAsia="Times New Roman" w:hAnsi="Times New Roman" w:cs="Times New Roman"/>
          <w:sz w:val="24"/>
          <w:szCs w:val="24"/>
        </w:rPr>
      </w:pPr>
      <w:r>
        <w:t>The selected Excel workbook does not contain ethics approval, consent, or data-governance records. These items must be documented from the study records separately; they are not inferred from the workbook.</w:t>
      </w:r>
    </w:p>
    <w:p w14:paraId="06C9E96C"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0B0C7E0C"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M6. Data Preprocessing and Cleaning</w:t>
      </w:r>
    </w:p>
    <w:p w14:paraId="794C5378" w14:textId="35A29762" w:rsidR="009D2338" w:rsidRPr="009D2338" w:rsidRDefault="00025EEA" w:rsidP="009D2338">
      <w:pPr>
        <w:spacing w:after="0" w:line="240" w:lineRule="auto"/>
        <w:rPr>
          <w:rFonts w:ascii="Times New Roman" w:eastAsia="Times New Roman" w:hAnsi="Times New Roman" w:cs="Times New Roman"/>
          <w:sz w:val="24"/>
          <w:szCs w:val="24"/>
        </w:rPr>
      </w:pPr>
      <w:r>
        <w:t>The workbook records five response-frequency bins per item. All 72 item rows have bin sums equal to their displayed item totals. However, the totals vary across items (671–907) and across demographic summaries (398–950), while site totals sum to 266. The workbook contains no respondent-level missingness information or individual response key. No imputation, reverse scoring, standardization, or model preprocessing can be performed or verified from these marginals.</w:t>
      </w:r>
    </w:p>
    <w:p w14:paraId="002B1CE2"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10FFA800"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M7. Feature Engineering and Representation</w:t>
      </w:r>
    </w:p>
    <w:p w14:paraId="294D374A" w14:textId="6CD2ED31" w:rsidR="004574AD" w:rsidRDefault="004574AD" w:rsidP="004574AD">
      <w:pPr>
        <w:spacing w:after="0" w:line="240" w:lineRule="auto"/>
        <w:rPr>
          <w:rFonts w:ascii="Times New Roman" w:eastAsia="Times New Roman" w:hAnsi="Times New Roman" w:cs="Times New Roman"/>
          <w:sz w:val="24"/>
          <w:szCs w:val="24"/>
        </w:rPr>
      </w:pPr>
      <w:r>
        <w:t>The selected workbook includes four demographic frequency summaries—study level, age group, gender, and computer confidence—and nine CA item-frequency rows (CA1–CA9). These are 13 candidate source fields, but none is available as a respondent-linked predictor column. The workbook has no program-of-study field. Its three site totals are aggregate counts, not respondent-linked school identifiers. It also contains 63 practice-item frequency rows (PM1–PM9, EU1–EU9, IU1–IU9, SM1–SM9, MD1–MD9, IH1–IH9, and IR1–IR9). Because the marginal counts do not preserve which answers belong to each person, an individual TOTAL score cannot be calculated. The workbook supports descriptive count reporting only, subject to the denominator discrepancies noted above.</w:t>
      </w:r>
    </w:p>
    <w:p w14:paraId="72E260AA" w14:textId="77777777" w:rsidR="00DA4C64" w:rsidRPr="004574AD" w:rsidRDefault="00DA4C64" w:rsidP="004574AD">
      <w:pPr>
        <w:spacing w:after="0" w:line="240" w:lineRule="auto"/>
        <w:rPr>
          <w:rFonts w:ascii="Times New Roman" w:eastAsia="Times New Roman" w:hAnsi="Times New Roman" w:cs="Times New Roman"/>
          <w:sz w:val="24"/>
          <w:szCs w:val="24"/>
        </w:rPr>
      </w:pPr>
    </w:p>
    <w:p w14:paraId="58DE8F51" w14:textId="3C579630" w:rsidR="009D2338" w:rsidRDefault="009D2338" w:rsidP="009D2338">
      <w:pPr>
        <w:spacing w:after="0" w:line="240" w:lineRule="auto"/>
        <w:rPr>
          <w:rFonts w:ascii="Times New Roman" w:eastAsia="Times New Roman" w:hAnsi="Times New Roman" w:cs="Times New Roman"/>
          <w:sz w:val="24"/>
          <w:szCs w:val="24"/>
        </w:rPr>
      </w:pPr>
    </w:p>
    <w:p w14:paraId="1B4C74F9" w14:textId="77777777" w:rsidR="00E761ED" w:rsidRDefault="00E761ED" w:rsidP="00E761ED">
      <w:pPr>
        <w:jc w:val="center"/>
      </w:pPr>
      <w:r>
        <w:t>Table 2. Excel Field Inventory and Recorded Frequency Counts (selected workbook only)</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1591"/>
          </w:tcPr>
          <w:p>
            <w:pPr>
              <w:spacing w:after="20"/>
            </w:pPr>
            <w:r>
              <w:rPr>
                <w:sz w:val="16"/>
              </w:rPr>
              <w:t>Excel field / group</w:t>
            </w:r>
          </w:p>
        </w:tc>
        <w:tc>
          <w:tcPr>
            <w:tcW w:type="dxa" w:w="2902"/>
          </w:tcPr>
          <w:p>
            <w:pPr>
              <w:spacing w:after="20"/>
            </w:pPr>
            <w:r>
              <w:rPr>
                <w:sz w:val="16"/>
              </w:rPr>
              <w:t>Values or response bins</w:t>
            </w:r>
          </w:p>
        </w:tc>
        <w:tc>
          <w:tcPr>
            <w:tcW w:type="dxa" w:w="2153"/>
          </w:tcPr>
          <w:p>
            <w:pPr>
              <w:spacing w:after="20"/>
            </w:pPr>
            <w:r>
              <w:rPr>
                <w:sz w:val="16"/>
              </w:rPr>
              <w:t>Counts recorded in Excel</w:t>
            </w:r>
          </w:p>
        </w:tc>
        <w:tc>
          <w:tcPr>
            <w:tcW w:type="dxa" w:w="2714"/>
          </w:tcPr>
          <w:p>
            <w:pPr>
              <w:spacing w:after="20"/>
            </w:pPr>
            <w:r>
              <w:rPr>
                <w:sz w:val="16"/>
              </w:rPr>
              <w:t>What the workbook supports</w:t>
            </w:r>
          </w:p>
        </w:tc>
      </w:tr>
      <w:tr>
        <w:tc>
          <w:tcPr>
            <w:tcW w:type="dxa" w:w="1591"/>
          </w:tcPr>
          <w:p>
            <w:pPr>
              <w:spacing w:after="20"/>
            </w:pPr>
            <w:r>
              <w:rPr>
                <w:sz w:val="16"/>
              </w:rPr>
              <w:t>Site totals (group only)</w:t>
            </w:r>
          </w:p>
        </w:tc>
        <w:tc>
          <w:tcPr>
            <w:tcW w:type="dxa" w:w="2902"/>
          </w:tcPr>
          <w:p>
            <w:pPr>
              <w:spacing w:after="20"/>
            </w:pPr>
            <w:r>
              <w:rPr>
                <w:sz w:val="16"/>
              </w:rPr>
              <w:t>TESHI: 144; Presby: 50; seminary: 72</w:t>
            </w:r>
          </w:p>
        </w:tc>
        <w:tc>
          <w:tcPr>
            <w:tcW w:type="dxa" w:w="2153"/>
          </w:tcPr>
          <w:p>
            <w:pPr>
              <w:spacing w:after="20"/>
            </w:pPr>
            <w:r>
              <w:rPr>
                <w:sz w:val="16"/>
              </w:rPr>
              <w:t>266</w:t>
            </w:r>
          </w:p>
        </w:tc>
        <w:tc>
          <w:tcPr>
            <w:tcW w:type="dxa" w:w="2714"/>
          </w:tcPr>
          <w:p>
            <w:pPr>
              <w:spacing w:after="20"/>
            </w:pPr>
            <w:r>
              <w:rPr>
                <w:sz w:val="16"/>
              </w:rPr>
              <w:t>Aggregate site counts; no respondent-to-site linkage.</w:t>
            </w:r>
          </w:p>
        </w:tc>
      </w:tr>
      <w:tr>
        <w:tc>
          <w:tcPr>
            <w:tcW w:type="dxa" w:w="1591"/>
          </w:tcPr>
          <w:p>
            <w:pPr>
              <w:spacing w:after="20"/>
            </w:pPr>
            <w:r>
              <w:rPr>
                <w:sz w:val="16"/>
              </w:rPr>
              <w:t>study level</w:t>
            </w:r>
          </w:p>
        </w:tc>
        <w:tc>
          <w:tcPr>
            <w:tcW w:type="dxa" w:w="2902"/>
          </w:tcPr>
          <w:p>
            <w:pPr>
              <w:spacing w:after="20"/>
            </w:pPr>
            <w:r>
              <w:rPr>
                <w:sz w:val="16"/>
              </w:rPr>
              <w:t>FORM 1: 201; FORM 2: 189; FORM 3: 120</w:t>
            </w:r>
          </w:p>
        </w:tc>
        <w:tc>
          <w:tcPr>
            <w:tcW w:type="dxa" w:w="2153"/>
          </w:tcPr>
          <w:p>
            <w:pPr>
              <w:spacing w:after="20"/>
            </w:pPr>
            <w:r>
              <w:rPr>
                <w:sz w:val="16"/>
              </w:rPr>
              <w:t>510</w:t>
            </w:r>
          </w:p>
        </w:tc>
        <w:tc>
          <w:tcPr>
            <w:tcW w:type="dxa" w:w="2714"/>
          </w:tcPr>
          <w:p>
            <w:pPr>
              <w:spacing w:after="20"/>
            </w:pPr>
            <w:r>
              <w:rPr>
                <w:sz w:val="16"/>
              </w:rPr>
              <w:t>Frequency summary only; not linked to other fields.</w:t>
            </w:r>
          </w:p>
        </w:tc>
      </w:tr>
      <w:tr>
        <w:tc>
          <w:tcPr>
            <w:tcW w:type="dxa" w:w="1591"/>
          </w:tcPr>
          <w:p>
            <w:pPr>
              <w:spacing w:after="20"/>
            </w:pPr>
            <w:r>
              <w:rPr>
                <w:sz w:val="16"/>
              </w:rPr>
              <w:t>age group</w:t>
            </w:r>
          </w:p>
        </w:tc>
        <w:tc>
          <w:tcPr>
            <w:tcW w:type="dxa" w:w="2902"/>
          </w:tcPr>
          <w:p>
            <w:pPr>
              <w:spacing w:after="20"/>
            </w:pPr>
            <w:r>
              <w:rPr>
                <w:sz w:val="16"/>
              </w:rPr>
              <w:t>UNDER 15: 75; 15-18: 175; 18-21: 80; 21-24: 110; ABOVE 24: 50</w:t>
            </w:r>
          </w:p>
        </w:tc>
        <w:tc>
          <w:tcPr>
            <w:tcW w:type="dxa" w:w="2153"/>
          </w:tcPr>
          <w:p>
            <w:pPr>
              <w:spacing w:after="20"/>
            </w:pPr>
            <w:r>
              <w:rPr>
                <w:sz w:val="16"/>
              </w:rPr>
              <w:t>490</w:t>
            </w:r>
          </w:p>
        </w:tc>
        <w:tc>
          <w:tcPr>
            <w:tcW w:type="dxa" w:w="2714"/>
          </w:tcPr>
          <w:p>
            <w:pPr>
              <w:spacing w:after="20"/>
            </w:pPr>
            <w:r>
              <w:rPr>
                <w:sz w:val="16"/>
              </w:rPr>
              <w:t>Frequency summary only; not linked to other fields.</w:t>
            </w:r>
          </w:p>
        </w:tc>
      </w:tr>
      <w:tr>
        <w:tc>
          <w:tcPr>
            <w:tcW w:type="dxa" w:w="1591"/>
          </w:tcPr>
          <w:p>
            <w:pPr>
              <w:spacing w:after="20"/>
            </w:pPr>
            <w:r>
              <w:rPr>
                <w:sz w:val="16"/>
              </w:rPr>
              <w:t>gender</w:t>
            </w:r>
          </w:p>
        </w:tc>
        <w:tc>
          <w:tcPr>
            <w:tcW w:type="dxa" w:w="2902"/>
          </w:tcPr>
          <w:p>
            <w:pPr>
              <w:spacing w:after="20"/>
            </w:pPr>
            <w:r>
              <w:rPr>
                <w:sz w:val="16"/>
              </w:rPr>
              <w:t>MALE: 203; FEMALE: 193; Not to say: 2</w:t>
            </w:r>
          </w:p>
        </w:tc>
        <w:tc>
          <w:tcPr>
            <w:tcW w:type="dxa" w:w="2153"/>
          </w:tcPr>
          <w:p>
            <w:pPr>
              <w:spacing w:after="20"/>
            </w:pPr>
            <w:r>
              <w:rPr>
                <w:sz w:val="16"/>
              </w:rPr>
              <w:t>398</w:t>
            </w:r>
          </w:p>
        </w:tc>
        <w:tc>
          <w:tcPr>
            <w:tcW w:type="dxa" w:w="2714"/>
          </w:tcPr>
          <w:p>
            <w:pPr>
              <w:spacing w:after="20"/>
            </w:pPr>
            <w:r>
              <w:rPr>
                <w:sz w:val="16"/>
              </w:rPr>
              <w:t>Frequency summary only; not linked to other fields.</w:t>
            </w:r>
          </w:p>
        </w:tc>
      </w:tr>
      <w:tr>
        <w:tc>
          <w:tcPr>
            <w:tcW w:type="dxa" w:w="1591"/>
          </w:tcPr>
          <w:p>
            <w:pPr>
              <w:spacing w:after="20"/>
            </w:pPr>
            <w:r>
              <w:rPr>
                <w:sz w:val="16"/>
              </w:rPr>
              <w:t>computer confidence</w:t>
            </w:r>
          </w:p>
        </w:tc>
        <w:tc>
          <w:tcPr>
            <w:tcW w:type="dxa" w:w="2902"/>
          </w:tcPr>
          <w:p>
            <w:pPr>
              <w:spacing w:after="20"/>
            </w:pPr>
            <w:r>
              <w:rPr>
                <w:sz w:val="16"/>
              </w:rPr>
              <w:t>Not confident: 198; slightly confident: 200; moderately confident: 182; Very confident: 200; Extremely confident: 170</w:t>
            </w:r>
          </w:p>
        </w:tc>
        <w:tc>
          <w:tcPr>
            <w:tcW w:type="dxa" w:w="2153"/>
          </w:tcPr>
          <w:p>
            <w:pPr>
              <w:spacing w:after="20"/>
            </w:pPr>
            <w:r>
              <w:rPr>
                <w:sz w:val="16"/>
              </w:rPr>
              <w:t>950</w:t>
            </w:r>
          </w:p>
        </w:tc>
        <w:tc>
          <w:tcPr>
            <w:tcW w:type="dxa" w:w="2714"/>
          </w:tcPr>
          <w:p>
            <w:pPr>
              <w:spacing w:after="20"/>
            </w:pPr>
            <w:r>
              <w:rPr>
                <w:sz w:val="16"/>
              </w:rPr>
              <w:t>Frequency summary only; not linked to other fields.</w:t>
            </w:r>
          </w:p>
        </w:tc>
      </w:tr>
      <w:tr>
        <w:tc>
          <w:tcPr>
            <w:tcW w:type="dxa" w:w="1591"/>
          </w:tcPr>
          <w:p>
            <w:pPr>
              <w:spacing w:after="20"/>
            </w:pPr>
            <w:r>
              <w:rPr>
                <w:sz w:val="16"/>
              </w:rPr>
              <w:t>CA1</w:t>
            </w:r>
          </w:p>
        </w:tc>
        <w:tc>
          <w:tcPr>
            <w:tcW w:type="dxa" w:w="2902"/>
          </w:tcPr>
          <w:p>
            <w:pPr>
              <w:spacing w:after="20"/>
            </w:pPr>
            <w:r>
              <w:rPr>
                <w:sz w:val="16"/>
              </w:rPr>
              <w:t>Workbook bins 1, 2, 3, 4, 5</w:t>
            </w:r>
          </w:p>
        </w:tc>
        <w:tc>
          <w:tcPr>
            <w:tcW w:type="dxa" w:w="2153"/>
          </w:tcPr>
          <w:p>
            <w:pPr>
              <w:spacing w:after="20"/>
            </w:pPr>
            <w:r>
              <w:rPr>
                <w:sz w:val="16"/>
              </w:rPr>
              <w:t>195, 184, 120, 178, 153; total 830</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CA2</w:t>
            </w:r>
          </w:p>
        </w:tc>
        <w:tc>
          <w:tcPr>
            <w:tcW w:type="dxa" w:w="2902"/>
          </w:tcPr>
          <w:p>
            <w:pPr>
              <w:spacing w:after="20"/>
            </w:pPr>
            <w:r>
              <w:rPr>
                <w:sz w:val="16"/>
              </w:rPr>
              <w:t>Workbook bins 1, 2, 3, 4, 5</w:t>
            </w:r>
          </w:p>
        </w:tc>
        <w:tc>
          <w:tcPr>
            <w:tcW w:type="dxa" w:w="2153"/>
          </w:tcPr>
          <w:p>
            <w:pPr>
              <w:spacing w:after="20"/>
            </w:pPr>
            <w:r>
              <w:rPr>
                <w:sz w:val="16"/>
              </w:rPr>
              <w:t>162, 163, 167, 140, 147; total 779</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CA3</w:t>
            </w:r>
          </w:p>
        </w:tc>
        <w:tc>
          <w:tcPr>
            <w:tcW w:type="dxa" w:w="2902"/>
          </w:tcPr>
          <w:p>
            <w:pPr>
              <w:spacing w:after="20"/>
            </w:pPr>
            <w:r>
              <w:rPr>
                <w:sz w:val="16"/>
              </w:rPr>
              <w:t>Workbook bins 1, 2, 3, 4, 5</w:t>
            </w:r>
          </w:p>
        </w:tc>
        <w:tc>
          <w:tcPr>
            <w:tcW w:type="dxa" w:w="2153"/>
          </w:tcPr>
          <w:p>
            <w:pPr>
              <w:spacing w:after="20"/>
            </w:pPr>
            <w:r>
              <w:rPr>
                <w:sz w:val="16"/>
              </w:rPr>
              <w:t>138, 153, 190, 182, 172; total 835</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CA4</w:t>
            </w:r>
          </w:p>
        </w:tc>
        <w:tc>
          <w:tcPr>
            <w:tcW w:type="dxa" w:w="2902"/>
          </w:tcPr>
          <w:p>
            <w:pPr>
              <w:spacing w:after="20"/>
            </w:pPr>
            <w:r>
              <w:rPr>
                <w:sz w:val="16"/>
              </w:rPr>
              <w:t>Workbook bins 1, 2, 3, 4, 5</w:t>
            </w:r>
          </w:p>
        </w:tc>
        <w:tc>
          <w:tcPr>
            <w:tcW w:type="dxa" w:w="2153"/>
          </w:tcPr>
          <w:p>
            <w:pPr>
              <w:spacing w:after="20"/>
            </w:pPr>
            <w:r>
              <w:rPr>
                <w:sz w:val="16"/>
              </w:rPr>
              <w:t>144, 141, 159, 187, 146; total 777</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CA5</w:t>
            </w:r>
          </w:p>
        </w:tc>
        <w:tc>
          <w:tcPr>
            <w:tcW w:type="dxa" w:w="2902"/>
          </w:tcPr>
          <w:p>
            <w:pPr>
              <w:spacing w:after="20"/>
            </w:pPr>
            <w:r>
              <w:rPr>
                <w:sz w:val="16"/>
              </w:rPr>
              <w:t>Workbook bins 1, 2, 3, 4, 5</w:t>
            </w:r>
          </w:p>
        </w:tc>
        <w:tc>
          <w:tcPr>
            <w:tcW w:type="dxa" w:w="2153"/>
          </w:tcPr>
          <w:p>
            <w:pPr>
              <w:spacing w:after="20"/>
            </w:pPr>
            <w:r>
              <w:rPr>
                <w:sz w:val="16"/>
              </w:rPr>
              <w:t>167, 180, 129, 193, 181; total 850</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CA6</w:t>
            </w:r>
          </w:p>
        </w:tc>
        <w:tc>
          <w:tcPr>
            <w:tcW w:type="dxa" w:w="2902"/>
          </w:tcPr>
          <w:p>
            <w:pPr>
              <w:spacing w:after="20"/>
            </w:pPr>
            <w:r>
              <w:rPr>
                <w:sz w:val="16"/>
              </w:rPr>
              <w:t>Workbook bins 1, 2, 3, 4, 5</w:t>
            </w:r>
          </w:p>
        </w:tc>
        <w:tc>
          <w:tcPr>
            <w:tcW w:type="dxa" w:w="2153"/>
          </w:tcPr>
          <w:p>
            <w:pPr>
              <w:spacing w:after="20"/>
            </w:pPr>
            <w:r>
              <w:rPr>
                <w:sz w:val="16"/>
              </w:rPr>
              <w:t>142, 163, 152, 182, 179; total 818</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CA7</w:t>
            </w:r>
          </w:p>
        </w:tc>
        <w:tc>
          <w:tcPr>
            <w:tcW w:type="dxa" w:w="2902"/>
          </w:tcPr>
          <w:p>
            <w:pPr>
              <w:spacing w:after="20"/>
            </w:pPr>
            <w:r>
              <w:rPr>
                <w:sz w:val="16"/>
              </w:rPr>
              <w:t>Workbook bins 1, 2, 3, 4, 5</w:t>
            </w:r>
          </w:p>
        </w:tc>
        <w:tc>
          <w:tcPr>
            <w:tcW w:type="dxa" w:w="2153"/>
          </w:tcPr>
          <w:p>
            <w:pPr>
              <w:spacing w:after="20"/>
            </w:pPr>
            <w:r>
              <w:rPr>
                <w:sz w:val="16"/>
              </w:rPr>
              <w:t>178, 185, 140, 182, 182; total 867</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CA8</w:t>
            </w:r>
          </w:p>
        </w:tc>
        <w:tc>
          <w:tcPr>
            <w:tcW w:type="dxa" w:w="2902"/>
          </w:tcPr>
          <w:p>
            <w:pPr>
              <w:spacing w:after="20"/>
            </w:pPr>
            <w:r>
              <w:rPr>
                <w:sz w:val="16"/>
              </w:rPr>
              <w:t>Workbook bins 1, 2, 3, 4, 5</w:t>
            </w:r>
          </w:p>
        </w:tc>
        <w:tc>
          <w:tcPr>
            <w:tcW w:type="dxa" w:w="2153"/>
          </w:tcPr>
          <w:p>
            <w:pPr>
              <w:spacing w:after="20"/>
            </w:pPr>
            <w:r>
              <w:rPr>
                <w:sz w:val="16"/>
              </w:rPr>
              <w:t>162, 147, 123, 124, 170; total 726</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CA9</w:t>
            </w:r>
          </w:p>
        </w:tc>
        <w:tc>
          <w:tcPr>
            <w:tcW w:type="dxa" w:w="2902"/>
          </w:tcPr>
          <w:p>
            <w:pPr>
              <w:spacing w:after="20"/>
            </w:pPr>
            <w:r>
              <w:rPr>
                <w:sz w:val="16"/>
              </w:rPr>
              <w:t>Workbook bins 1, 2, 3, 4, 5</w:t>
            </w:r>
          </w:p>
        </w:tc>
        <w:tc>
          <w:tcPr>
            <w:tcW w:type="dxa" w:w="2153"/>
          </w:tcPr>
          <w:p>
            <w:pPr>
              <w:spacing w:after="20"/>
            </w:pPr>
            <w:r>
              <w:rPr>
                <w:sz w:val="16"/>
              </w:rPr>
              <w:t>152, 167, 156, 178, 160; total 813</w:t>
            </w:r>
          </w:p>
        </w:tc>
        <w:tc>
          <w:tcPr>
            <w:tcW w:type="dxa" w:w="2714"/>
          </w:tcPr>
          <w:p>
            <w:pPr>
              <w:spacing w:after="20"/>
            </w:pPr>
            <w:r>
              <w:rPr>
                <w:sz w:val="16"/>
              </w:rPr>
              <w:t>Aggregate item frequency only; cannot form a respondent-level predictor.</w:t>
            </w:r>
          </w:p>
        </w:tc>
      </w:tr>
      <w:tr>
        <w:tc>
          <w:tcPr>
            <w:tcW w:type="dxa" w:w="1591"/>
          </w:tcPr>
          <w:p>
            <w:pPr>
              <w:spacing w:after="20"/>
            </w:pPr>
            <w:r>
              <w:rPr>
                <w:sz w:val="16"/>
              </w:rPr>
              <w:t>TOTAL outcome</w:t>
            </w:r>
          </w:p>
        </w:tc>
        <w:tc>
          <w:tcPr>
            <w:tcW w:type="dxa" w:w="2902"/>
          </w:tcPr>
          <w:p>
            <w:pPr>
              <w:spacing w:after="20"/>
            </w:pPr>
            <w:r>
              <w:rPr>
                <w:sz w:val="16"/>
              </w:rPr>
              <w:t>No respondent-level TOTAL field. Workbook has marginal frequency rows for 63 practice items.</w:t>
            </w:r>
          </w:p>
        </w:tc>
        <w:tc>
          <w:tcPr>
            <w:tcW w:type="dxa" w:w="2153"/>
          </w:tcPr>
          <w:p>
            <w:pPr>
              <w:spacing w:after="20"/>
            </w:pPr>
            <w:r>
              <w:rPr>
                <w:sz w:val="16"/>
              </w:rPr>
              <w:t>Not stored</w:t>
            </w:r>
          </w:p>
        </w:tc>
        <w:tc>
          <w:tcPr>
            <w:tcW w:type="dxa" w:w="2714"/>
          </w:tcPr>
          <w:p>
            <w:pPr>
              <w:spacing w:after="20"/>
            </w:pPr>
            <w:r>
              <w:rPr>
                <w:sz w:val="16"/>
              </w:rPr>
              <w:t>Cannot calculate individual totals because item responses are not linked by respondent.</w:t>
            </w:r>
          </w:p>
        </w:tc>
      </w:tr>
    </w:tbl>
    <w:p w14:paraId="3A70302C" w14:textId="77777777" w:rsidR="00E761ED" w:rsidRDefault="00E761ED" w:rsidP="00E761ED"/>
    <w:p w14:paraId="7A5224B8" w14:textId="77777777" w:rsidR="00E761ED" w:rsidRPr="009D2338" w:rsidRDefault="00E761ED" w:rsidP="009D2338">
      <w:pPr>
        <w:spacing w:after="0" w:line="240" w:lineRule="auto"/>
        <w:rPr>
          <w:rFonts w:ascii="Times New Roman" w:eastAsia="Times New Roman" w:hAnsi="Times New Roman" w:cs="Times New Roman"/>
          <w:sz w:val="24"/>
          <w:szCs w:val="24"/>
        </w:rPr>
      </w:pPr>
    </w:p>
    <w:p w14:paraId="4078581F" w14:textId="77777777" w:rsidR="009D2338" w:rsidRPr="009D2338" w:rsidRDefault="009D2338" w:rsidP="009D2338">
      <w:pPr>
        <w:spacing w:after="0" w:line="240" w:lineRule="auto"/>
        <w:rPr>
          <w:rFonts w:ascii="Times New Roman" w:eastAsia="Times New Roman" w:hAnsi="Times New Roman" w:cs="Times New Roman"/>
          <w:sz w:val="24"/>
          <w:szCs w:val="24"/>
        </w:rPr>
      </w:pPr>
      <w:r>
        <w:t>Note. Counts are copied from or summed within DATASET/dataset.xlsx. Item totals are the sum of the five recorded response bins. The totals are not a verified common participant count.</w:t>
      </w:r>
    </w:p>
    <w:p w14:paraId="63D96B2F"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r>
        <w:t>Table 3. Workbook Audit Status and Respondent Data Availability</w:t>
      </w:r>
    </w:p>
    <w:tbl>
      <w:tblPr>
        <w:tblStyle w:val="TableGrid"/>
        <w:tblW w:type="auto" w:w="0"/>
        <w:tblLook w:firstColumn="1" w:firstRow="1" w:lastColumn="0" w:lastRow="0" w:noHBand="0" w:noVBand="1" w:val="04A0"/>
      </w:tblPr>
      <w:tblGrid>
        <w:gridCol w:w="3120"/>
        <w:gridCol w:w="3120"/>
        <w:gridCol w:w="3120"/>
      </w:tblGrid>
      <w:tr>
        <w:tc>
          <w:tcPr>
            <w:tcW w:type="dxa" w:w="3120"/>
          </w:tcPr>
          <w:p>
            <w:r>
              <w:t>Stage</w:t>
            </w:r>
          </w:p>
        </w:tc>
        <w:tc>
          <w:tcPr>
            <w:tcW w:type="dxa" w:w="3120"/>
          </w:tcPr>
          <w:p>
            <w:r>
              <w:t>Verified count / status</w:t>
            </w:r>
          </w:p>
        </w:tc>
        <w:tc>
          <w:tcPr>
            <w:tcW w:type="dxa" w:w="3120"/>
          </w:tcPr>
          <w:p>
            <w:r>
              <w:t>Meaning</w:t>
            </w:r>
          </w:p>
        </w:tc>
      </w:tr>
      <w:tr>
        <w:tc>
          <w:tcPr>
            <w:tcW w:type="dxa" w:w="3120"/>
          </w:tcPr>
          <w:p>
            <w:r>
              <w:t>Selected workbook</w:t>
            </w:r>
          </w:p>
        </w:tc>
        <w:tc>
          <w:tcPr>
            <w:tcW w:type="dxa" w:w="3120"/>
          </w:tcPr>
          <w:p>
            <w:r>
              <w:t>DATASET/dataset.xlsx; one worksheet; 73 rows × 15 columns</w:t>
            </w:r>
          </w:p>
        </w:tc>
        <w:tc>
          <w:tcPr>
            <w:tcW w:type="dxa" w:w="3120"/>
          </w:tcPr>
          <w:p>
            <w:r>
              <w:t>Aggregate frequency tables only; selected as the sole analysis source.</w:t>
            </w:r>
          </w:p>
        </w:tc>
      </w:tr>
      <w:tr>
        <w:tc>
          <w:tcPr>
            <w:tcW w:type="dxa" w:w="3120"/>
          </w:tcPr>
          <w:p>
            <w:r>
              <w:t>Site totals</w:t>
            </w:r>
          </w:p>
        </w:tc>
        <w:tc>
          <w:tcPr>
            <w:tcW w:type="dxa" w:w="3120"/>
          </w:tcPr>
          <w:p>
            <w:r>
              <w:t>TESHI 144; Presby 50; seminary 72; sum = 266</w:t>
            </w:r>
          </w:p>
        </w:tc>
        <w:tc>
          <w:tcPr>
            <w:tcW w:type="dxa" w:w="3120"/>
          </w:tcPr>
          <w:p>
            <w:r>
              <w:t>Site-level aggregate counts; no respondent linkage.</w:t>
            </w:r>
          </w:p>
        </w:tc>
      </w:tr>
      <w:tr>
        <w:tc>
          <w:tcPr>
            <w:tcW w:type="dxa" w:w="3120"/>
          </w:tcPr>
          <w:p>
            <w:r>
              <w:t>Demographic summaries</w:t>
            </w:r>
          </w:p>
        </w:tc>
        <w:tc>
          <w:tcPr>
            <w:tcW w:type="dxa" w:w="3120"/>
          </w:tcPr>
          <w:p>
            <w:r>
              <w:t>Study level 510; age group 490; gender 398; computer confidence 950</w:t>
            </w:r>
          </w:p>
        </w:tc>
        <w:tc>
          <w:tcPr>
            <w:tcW w:type="dxa" w:w="3120"/>
          </w:tcPr>
          <w:p>
            <w:r>
              <w:t>Four totals do not reconcile to a common participant denominator.</w:t>
            </w:r>
          </w:p>
        </w:tc>
      </w:tr>
      <w:tr>
        <w:tc>
          <w:tcPr>
            <w:tcW w:type="dxa" w:w="3120"/>
          </w:tcPr>
          <w:p>
            <w:r>
              <w:t>Practice item rows</w:t>
            </w:r>
          </w:p>
        </w:tc>
        <w:tc>
          <w:tcPr>
            <w:tcW w:type="dxa" w:w="3120"/>
          </w:tcPr>
          <w:p>
            <w:r>
              <w:t>63 labelled items; response bins 1–5; displayed totals range 671–907</w:t>
            </w:r>
          </w:p>
        </w:tc>
        <w:tc>
          <w:tcPr>
            <w:tcW w:type="dxa" w:w="3120"/>
          </w:tcPr>
          <w:p>
            <w:r>
              <w:t>Marginal frequencies only; respondent item combinations unavailable.</w:t>
            </w:r>
          </w:p>
        </w:tc>
      </w:tr>
      <w:tr>
        <w:tc>
          <w:tcPr>
            <w:tcW w:type="dxa" w:w="3120"/>
          </w:tcPr>
          <w:p>
            <w:r>
              <w:t>CA item rows</w:t>
            </w:r>
          </w:p>
        </w:tc>
        <w:tc>
          <w:tcPr>
            <w:tcW w:type="dxa" w:w="3120"/>
          </w:tcPr>
          <w:p>
            <w:r>
              <w:t>9 labelled items; response bins 1–5; displayed totals range 726–867</w:t>
            </w:r>
          </w:p>
        </w:tc>
        <w:tc>
          <w:tcPr>
            <w:tcW w:type="dxa" w:w="3120"/>
          </w:tcPr>
          <w:p>
            <w:r>
              <w:t>Marginal frequencies only; respondent item combinations unavailable.</w:t>
            </w:r>
          </w:p>
        </w:tc>
      </w:tr>
      <w:tr>
        <w:tc>
          <w:tcPr>
            <w:tcW w:type="dxa" w:w="3120"/>
          </w:tcPr>
          <w:p>
            <w:r>
              <w:t>Bin arithmetic</w:t>
            </w:r>
          </w:p>
        </w:tc>
        <w:tc>
          <w:tcPr>
            <w:tcW w:type="dxa" w:w="3120"/>
          </w:tcPr>
          <w:p>
            <w:r>
              <w:t>Five response bins summed for each of 72 item rows; 72 of 72 sums match displayed totals</w:t>
            </w:r>
          </w:p>
        </w:tc>
        <w:tc>
          <w:tcPr>
            <w:tcW w:type="dxa" w:w="3120"/>
          </w:tcPr>
          <w:p>
            <w:r>
              <w:t>Arithmetic check only; does not validate respondent counts.</w:t>
            </w:r>
          </w:p>
        </w:tc>
      </w:tr>
      <w:tr>
        <w:tc>
          <w:tcPr>
            <w:tcW w:type="dxa" w:w="3120"/>
          </w:tcPr>
          <w:p>
            <w:r>
              <w:t>Respondent records</w:t>
            </w:r>
          </w:p>
        </w:tc>
        <w:tc>
          <w:tcPr>
            <w:tcW w:type="dxa" w:w="3120"/>
          </w:tcPr>
          <w:p>
            <w:r>
              <w:t>No one-row-per-student records in the selected workbook</w:t>
            </w:r>
          </w:p>
        </w:tc>
        <w:tc>
          <w:tcPr>
            <w:tcW w:type="dxa" w:w="3120"/>
          </w:tcPr>
          <w:p>
            <w:r>
              <w:t>Cannot construct individual predictors, outcomes, school groups, or folds.</w:t>
            </w:r>
          </w:p>
        </w:tc>
      </w:tr>
      <w:tr>
        <w:tc>
          <w:tcPr>
            <w:tcW w:type="dxa" w:w="3120"/>
          </w:tcPr>
          <w:p>
            <w:r>
              <w:t>TOTAL outcome</w:t>
            </w:r>
          </w:p>
        </w:tc>
        <w:tc>
          <w:tcPr>
            <w:tcW w:type="dxa" w:w="3120"/>
          </w:tcPr>
          <w:p>
            <w:r>
              <w:t>No respondent-level TOTAL variable; 63 practice-item marginals only</w:t>
            </w:r>
          </w:p>
        </w:tc>
        <w:tc>
          <w:tcPr>
            <w:tcW w:type="dxa" w:w="3120"/>
          </w:tcPr>
          <w:p>
            <w:r>
              <w:t>Cannot calculate each person’s TOTAL without the linked item responses.</w:t>
            </w:r>
          </w:p>
        </w:tc>
      </w:tr>
    </w:tbl>
    <w:p w14:paraId="26F1E6AF"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M8. Class Imbalance Handling</w:t>
      </w:r>
    </w:p>
    <w:p w14:paraId="292B7DAD" w14:textId="77777777" w:rsidR="009D2338" w:rsidRPr="009D2338" w:rsidRDefault="009D2338" w:rsidP="009D2338">
      <w:pPr>
        <w:spacing w:after="0" w:line="240" w:lineRule="auto"/>
        <w:rPr>
          <w:rFonts w:ascii="Times New Roman" w:eastAsia="Times New Roman" w:hAnsi="Times New Roman" w:cs="Times New Roman"/>
          <w:sz w:val="24"/>
          <w:szCs w:val="24"/>
        </w:rPr>
      </w:pPr>
      <w:r>
        <w:t>The workbook contains ordinal response-frequency counts, not a row-level outcome variable. Class imbalance, missing-value imputation, and resampling cannot be assessed at respondent level.</w:t>
      </w:r>
    </w:p>
    <w:p w14:paraId="04810EDF"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6243D41"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M9. Data Partitioning Protocol</w:t>
      </w:r>
    </w:p>
    <w:p w14:paraId="6EA69B23" w14:textId="77777777" w:rsidR="00586155" w:rsidRPr="00586155" w:rsidRDefault="00586155" w:rsidP="00586155">
      <w:pPr>
        <w:spacing w:after="0" w:line="240" w:lineRule="auto"/>
        <w:rPr>
          <w:rFonts w:ascii="Times New Roman" w:eastAsia="Times New Roman" w:hAnsi="Times New Roman" w:cs="Times New Roman"/>
          <w:sz w:val="24"/>
          <w:szCs w:val="24"/>
        </w:rPr>
      </w:pPr>
      <w:r>
        <w:t>School-grouped validation cannot be constructed from site totals alone because the workbook does not link each response record to a school. The number and size of eligible respondent-level school groups are not available.</w:t>
      </w:r>
    </w:p>
    <w:p w14:paraId="6FB7C413" w14:textId="77E9FF04" w:rsidR="00586155" w:rsidRDefault="00586155" w:rsidP="009D2338">
      <w:pPr>
        <w:spacing w:after="0" w:line="240" w:lineRule="auto"/>
        <w:rPr>
          <w:rFonts w:ascii="Times New Roman" w:eastAsia="Times New Roman" w:hAnsi="Times New Roman" w:cs="Times New Roman"/>
          <w:sz w:val="24"/>
          <w:szCs w:val="24"/>
        </w:rPr>
      </w:pPr>
    </w:p>
    <w:p w14:paraId="66E92EDE" w14:textId="77777777" w:rsidR="00586155" w:rsidRPr="009D2338" w:rsidRDefault="00586155" w:rsidP="009D2338">
      <w:pPr>
        <w:spacing w:after="0" w:line="240" w:lineRule="auto"/>
        <w:rPr>
          <w:rFonts w:ascii="Times New Roman" w:eastAsia="Times New Roman" w:hAnsi="Times New Roman" w:cs="Times New Roman"/>
          <w:sz w:val="24"/>
          <w:szCs w:val="24"/>
        </w:rPr>
      </w:pPr>
    </w:p>
    <w:p w14:paraId="3ECB91C4"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M10. Dataset Combining Strategy Declaration</w:t>
      </w:r>
    </w:p>
    <w:p w14:paraId="22A3E1EC" w14:textId="77777777" w:rsidR="009D2338" w:rsidRPr="009D2338" w:rsidRDefault="009D2338" w:rsidP="009D2338">
      <w:pPr>
        <w:spacing w:after="0" w:line="240" w:lineRule="auto"/>
        <w:rPr>
          <w:rFonts w:ascii="Times New Roman" w:eastAsia="Times New Roman" w:hAnsi="Times New Roman" w:cs="Times New Roman"/>
          <w:sz w:val="24"/>
          <w:szCs w:val="24"/>
        </w:rPr>
      </w:pPr>
      <w:r>
        <w:t>This study explicitly adopted a SINGLE-SOURCE dataset strategy. No external or secondary datasets were pooled or concatenated. DATASET/dataset.xlsx is the selected workbook for this audit; the identical experiment copy is not pooled, and the separate project-root workbook is excluded because its contents differ.</w:t>
      </w:r>
    </w:p>
    <w:p w14:paraId="041EECC9"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r>
        <w:t>Scope boundary: This manuscript reports an Excel frequency audit only. The conditional design in M11–M19 is retained as future-work documentation; it is not a method executed or a result of the present study.</w:t>
      </w:r>
    </w:p>
    <w:p w14:paraId="316E8A86"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M11. Baseline Selection for a Conditional Future Respondent-Level Study</w:t>
      </w:r>
    </w:p>
    <w:p w14:paraId="78C516A9" w14:textId="77777777" w:rsidR="009D2338" w:rsidRPr="009D2338" w:rsidRDefault="009D2338" w:rsidP="009D2338">
      <w:pPr>
        <w:spacing w:after="0" w:line="240" w:lineRule="auto"/>
        <w:rPr>
          <w:rFonts w:ascii="Times New Roman" w:eastAsia="Times New Roman" w:hAnsi="Times New Roman" w:cs="Times New Roman"/>
          <w:sz w:val="24"/>
          <w:szCs w:val="24"/>
        </w:rPr>
      </w:pPr>
      <w:r>
        <w:t>No baseline is fitted in the present Excel audit. If valid respondent-level records are later available, OLS will serve as the unpenalized baseline for the pre-specified four-arm comparison; no baseline result is claimed here.</w:t>
      </w:r>
    </w:p>
    <w:p w14:paraId="3DA180E7" w14:textId="77777777" w:rsidR="00586155" w:rsidRDefault="00586155" w:rsidP="009D2338">
      <w:pPr>
        <w:spacing w:after="0" w:line="240" w:lineRule="auto"/>
        <w:rPr>
          <w:rFonts w:ascii="Times New Roman" w:eastAsia="Times New Roman" w:hAnsi="Times New Roman" w:cs="Times New Roman"/>
          <w:sz w:val="24"/>
          <w:szCs w:val="24"/>
        </w:rPr>
      </w:pPr>
    </w:p>
    <w:p w14:paraId="22F5C677" w14:textId="77777777" w:rsidR="00586155" w:rsidRDefault="00586155" w:rsidP="009D2338">
      <w:pPr>
        <w:spacing w:after="0" w:line="240" w:lineRule="auto"/>
        <w:rPr>
          <w:rFonts w:ascii="Times New Roman" w:eastAsia="Times New Roman" w:hAnsi="Times New Roman" w:cs="Times New Roman"/>
          <w:sz w:val="24"/>
          <w:szCs w:val="24"/>
        </w:rPr>
      </w:pPr>
    </w:p>
    <w:p w14:paraId="3C034562" w14:textId="3816E35A" w:rsidR="009D2338" w:rsidRPr="009D2338" w:rsidRDefault="00586155" w:rsidP="009D2338">
      <w:pPr>
        <w:spacing w:after="0" w:line="240" w:lineRule="auto"/>
        <w:rPr>
          <w:rFonts w:ascii="Times New Roman" w:eastAsia="Times New Roman" w:hAnsi="Times New Roman" w:cs="Times New Roman"/>
          <w:sz w:val="24"/>
          <w:szCs w:val="24"/>
        </w:rPr>
      </w:pPr>
      <w:r>
        <w:t>The workbook identifies 13 candidate source fields: study_level, age_group, gender, computer_confidence, and CA1–CA9. It does not provide these as linked respondent-level columns and it has no program_of_study field. Site counts are not respondent-linked validation groups, so an exact model matrix and school-grouped partitions cannot be constructed from this file.</w:t>
      </w:r>
    </w:p>
    <w:p w14:paraId="6489A155"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M12. Conditional Future Model Specification (Not Executed in This Audit)</w:t>
      </w:r>
    </w:p>
    <w:p w14:paraId="0EFF26D4" w14:textId="77777777" w:rsidR="009D2338" w:rsidRPr="009D2338" w:rsidRDefault="009D2338" w:rsidP="009D2338">
      <w:pPr>
        <w:spacing w:after="0" w:line="240" w:lineRule="auto"/>
        <w:rPr>
          <w:rFonts w:ascii="Times New Roman" w:eastAsia="Times New Roman" w:hAnsi="Times New Roman" w:cs="Times New Roman"/>
          <w:sz w:val="24"/>
          <w:szCs w:val="24"/>
        </w:rPr>
      </w:pPr>
      <w:r>
        <w:t>This section records a future design only. It is not part of the analyses performed for this Excel audit; all four arms require linked respondent-level predictors, outcome values, and school identifiers.</w:t>
      </w:r>
    </w:p>
    <w:p w14:paraId="6D814A89"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14155A77" w14:textId="77777777" w:rsidR="009D2338" w:rsidRPr="009D2338" w:rsidRDefault="009D2338" w:rsidP="009D2338">
      <w:pPr>
        <w:spacing w:after="0" w:line="240" w:lineRule="auto"/>
        <w:rPr>
          <w:rFonts w:ascii="Times New Roman" w:eastAsia="Times New Roman" w:hAnsi="Times New Roman" w:cs="Times New Roman"/>
          <w:sz w:val="24"/>
          <w:szCs w:val="24"/>
        </w:rPr>
      </w:pPr>
      <w:r>
        <w:t>The future comparison is limited to four matched arms: (1) OLS on raw features; (2) OLS with out-of-fold target encoding; (3) LASSO on raw features; and (4) LASSO with out-of-fold target encoding. Each arm must use identical outer folds and comparable tuning budgets. Standardization must be fitted within each training fold before LASSO. Any feature that mathematically composes TOTAL must be excluded from X. No arm has been fitted because the selected workbook contains marginal counts only.</w:t>
      </w:r>
    </w:p>
    <w:p w14:paraId="123C41E7"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4EE8FB7D"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7C9A5196"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2E3A74B8"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5A7BED3A" w14:textId="5F48A9AD" w:rsidR="004D0A61" w:rsidRDefault="004D0A61" w:rsidP="009D2338">
      <w:pPr>
        <w:spacing w:after="0" w:line="240" w:lineRule="auto"/>
        <w:rPr>
          <w:rFonts w:ascii="Courier New" w:eastAsia="Times New Roman" w:hAnsi="Courier New" w:cs="Courier New"/>
          <w:sz w:val="20"/>
          <w:szCs w:val="20"/>
        </w:rPr>
      </w:pPr>
    </w:p>
    <w:p w14:paraId="4230457E"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M13. Hyperparameter </w:t>
      </w:r>
      <w:proofErr w:type="spellStart"/>
      <w:r w:rsidRPr="009D2338">
        <w:rPr>
          <w:rFonts w:ascii="Times New Roman" w:eastAsia="Times New Roman" w:hAnsi="Times New Roman" w:cs="Times New Roman"/>
          <w:b/>
          <w:bCs/>
          <w:sz w:val="27"/>
          <w:szCs w:val="27"/>
        </w:rPr>
        <w:t>Optimisation</w:t>
      </w:r>
      <w:proofErr w:type="spellEnd"/>
      <w:r w:rsidRPr="009D2338">
        <w:rPr>
          <w:rFonts w:ascii="Times New Roman" w:eastAsia="Times New Roman" w:hAnsi="Times New Roman" w:cs="Times New Roman"/>
          <w:b/>
          <w:bCs/>
          <w:sz w:val="27"/>
          <w:szCs w:val="27"/>
        </w:rPr>
        <w:t xml:space="preserve"> and Tuning Budget Parity</w:t>
      </w:r>
    </w:p>
    <w:p w14:paraId="50E6C75E" w14:textId="77777777" w:rsidR="009D2338" w:rsidRPr="009D2338" w:rsidRDefault="009D2338" w:rsidP="009D2338">
      <w:pPr>
        <w:spacing w:after="0" w:line="240" w:lineRule="auto"/>
        <w:rPr>
          <w:rFonts w:ascii="Times New Roman" w:eastAsia="Times New Roman" w:hAnsi="Times New Roman" w:cs="Times New Roman"/>
          <w:sz w:val="24"/>
          <w:szCs w:val="24"/>
        </w:rPr>
      </w:pPr>
      <w:r>
        <w:t>If valid respondent-level records become available, LASSO penalties may be tuned within training folds using the same pre-specified grid and criterion across the two LASSO arms. The selected workbook cannot support this tuning, so no penalty value or fold-wise penalty distribution is reported.</w:t>
      </w:r>
    </w:p>
    <w:p w14:paraId="407B3DC3"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52FD28CC"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M14. Training Protocol, Seeds and Reproducibility</w:t>
      </w:r>
    </w:p>
    <w:p w14:paraId="5512F479" w14:textId="77777777" w:rsidR="009D2338" w:rsidRPr="009D2338" w:rsidRDefault="009D2338" w:rsidP="009D2338">
      <w:pPr>
        <w:spacing w:after="0" w:line="240" w:lineRule="auto"/>
        <w:rPr>
          <w:rFonts w:ascii="Times New Roman" w:eastAsia="Times New Roman" w:hAnsi="Times New Roman" w:cs="Times New Roman"/>
          <w:sz w:val="24"/>
          <w:szCs w:val="24"/>
        </w:rPr>
      </w:pPr>
      <w:r>
        <w:t>No training seeds or folds have been run on the selected workbook. School membership is not linked to individual responses, and a five-seed grouped validation protocol cannot be executed from site totals.</w:t>
      </w:r>
    </w:p>
    <w:p w14:paraId="5339A20B"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50A62E6"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M15. Evaluation Metrics and Metric-to-Stakeholder Alignment</w:t>
      </w:r>
    </w:p>
    <w:p w14:paraId="5A8108C4" w14:textId="77777777" w:rsidR="009D2338" w:rsidRPr="009D2338" w:rsidRDefault="009D2338" w:rsidP="009D2338">
      <w:pPr>
        <w:spacing w:after="0" w:line="240" w:lineRule="auto"/>
        <w:rPr>
          <w:rFonts w:ascii="Times New Roman" w:eastAsia="Times New Roman" w:hAnsi="Times New Roman" w:cs="Times New Roman"/>
          <w:sz w:val="24"/>
          <w:szCs w:val="24"/>
        </w:rPr>
      </w:pPr>
      <w:r>
        <w:t>Held-out $R^2$, RMSE, and MAE are not calculable because the workbook contains neither individual outcomes nor predictions. No metric is inferred from marginal frequencies.</w:t>
      </w:r>
    </w:p>
    <w:p w14:paraId="233A20AB"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08041551"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M16. Ablation and Statistical Comparison Protocol</w:t>
      </w:r>
    </w:p>
    <w:p w14:paraId="1FB28C0F" w14:textId="77777777" w:rsidR="009D2338" w:rsidRPr="009D2338" w:rsidRDefault="009D2338" w:rsidP="009D2338">
      <w:pPr>
        <w:spacing w:after="0" w:line="240" w:lineRule="auto"/>
        <w:rPr>
          <w:rFonts w:ascii="Times New Roman" w:eastAsia="Times New Roman" w:hAnsi="Times New Roman" w:cs="Times New Roman"/>
          <w:sz w:val="24"/>
          <w:szCs w:val="24"/>
        </w:rPr>
      </w:pPr>
      <w:r>
        <w:t>No paired model comparison or significance test has been run. A comparison requires matched respondent-level held-out predictions; aggregate category counts do not provide paired observations.</w:t>
      </w:r>
    </w:p>
    <w:p w14:paraId="1FB3E7CE"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53D080D5"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M17. Interpretability and </w:t>
      </w:r>
      <w:proofErr w:type="spellStart"/>
      <w:r w:rsidRPr="009D2338">
        <w:rPr>
          <w:rFonts w:ascii="Times New Roman" w:eastAsia="Times New Roman" w:hAnsi="Times New Roman" w:cs="Times New Roman"/>
          <w:b/>
          <w:bCs/>
          <w:sz w:val="27"/>
          <w:szCs w:val="27"/>
        </w:rPr>
        <w:t>Explainability</w:t>
      </w:r>
      <w:proofErr w:type="spellEnd"/>
      <w:r w:rsidRPr="009D2338">
        <w:rPr>
          <w:rFonts w:ascii="Times New Roman" w:eastAsia="Times New Roman" w:hAnsi="Times New Roman" w:cs="Times New Roman"/>
          <w:b/>
          <w:bCs/>
          <w:sz w:val="27"/>
          <w:szCs w:val="27"/>
        </w:rPr>
        <w:t xml:space="preserve"> Protocol</w:t>
      </w:r>
    </w:p>
    <w:p w14:paraId="00EB51A9" w14:textId="77777777" w:rsidR="009D2338" w:rsidRPr="009D2338" w:rsidRDefault="009D2338" w:rsidP="009D2338">
      <w:pPr>
        <w:spacing w:after="0" w:line="240" w:lineRule="auto"/>
        <w:rPr>
          <w:rFonts w:ascii="Times New Roman" w:eastAsia="Times New Roman" w:hAnsi="Times New Roman" w:cs="Times New Roman"/>
          <w:sz w:val="24"/>
          <w:szCs w:val="24"/>
        </w:rPr>
      </w:pPr>
      <w:r>
        <w:t>Coefficients, exact-zero counts, condition numbers, predictor-specific VIFs, residuals, and predicted-value deciles cannot be calculated without a respondent-level design matrix and predictions. No such diagnostic result is claimed.</w:t>
      </w:r>
    </w:p>
    <w:p w14:paraId="5EA8718C"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lastRenderedPageBreak/>
        <w:br/>
      </w:r>
    </w:p>
    <w:p w14:paraId="7F18E7B1"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M18. </w:t>
      </w:r>
      <w:proofErr w:type="spellStart"/>
      <w:r w:rsidRPr="009D2338">
        <w:rPr>
          <w:rFonts w:ascii="Times New Roman" w:eastAsia="Times New Roman" w:hAnsi="Times New Roman" w:cs="Times New Roman"/>
          <w:b/>
          <w:bCs/>
          <w:sz w:val="27"/>
          <w:szCs w:val="27"/>
        </w:rPr>
        <w:t>Generalisation</w:t>
      </w:r>
      <w:proofErr w:type="spellEnd"/>
      <w:r w:rsidRPr="009D2338">
        <w:rPr>
          <w:rFonts w:ascii="Times New Roman" w:eastAsia="Times New Roman" w:hAnsi="Times New Roman" w:cs="Times New Roman"/>
          <w:b/>
          <w:bCs/>
          <w:sz w:val="27"/>
          <w:szCs w:val="27"/>
        </w:rPr>
        <w:t xml:space="preserve"> and Transfer Protocol</w:t>
      </w:r>
    </w:p>
    <w:p w14:paraId="797D62D0" w14:textId="77777777" w:rsidR="009D2338" w:rsidRPr="009D2338" w:rsidRDefault="009D2338" w:rsidP="009D2338">
      <w:pPr>
        <w:spacing w:after="0" w:line="240" w:lineRule="auto"/>
        <w:rPr>
          <w:rFonts w:ascii="Times New Roman" w:eastAsia="Times New Roman" w:hAnsi="Times New Roman" w:cs="Times New Roman"/>
          <w:sz w:val="24"/>
          <w:szCs w:val="24"/>
        </w:rPr>
      </w:pPr>
      <w:r>
        <w:t>Target Claim Tier: No empirical predictive claim is made from the selected workbook. Generalisation cannot be assessed without respondent-level records and valid held-out groups.</w:t>
      </w:r>
    </w:p>
    <w:p w14:paraId="5A44CCF5"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1C77B589"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M19. Computational Environment and Software Stack</w:t>
      </w:r>
    </w:p>
    <w:p w14:paraId="377C1D24" w14:textId="77777777" w:rsidR="009D2338" w:rsidRPr="009D2338" w:rsidRDefault="009D2338" w:rsidP="009D2338">
      <w:pPr>
        <w:numPr>
          <w:ilvl w:val="0"/>
          <w:numId w:val="2"/>
        </w:numPr>
        <w:spacing w:before="100" w:beforeAutospacing="1" w:after="100" w:afterAutospacing="1" w:line="240" w:lineRule="auto"/>
        <w:rPr>
          <w:rFonts w:ascii="Times New Roman" w:eastAsia="Times New Roman" w:hAnsi="Times New Roman" w:cs="Times New Roman"/>
          <w:sz w:val="24"/>
          <w:szCs w:val="24"/>
        </w:rPr>
      </w:pPr>
      <w:r>
        <w:t>Hardware and software details will be recorded from the machine that completes the final verified run. Draft 0 environment and package versions are not treated as evidence that the reported model results were reproduced.</w:t>
      </w:r>
    </w:p>
    <w:p w14:paraId="2F76B5C9"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7828B356" w14:textId="77777777" w:rsidR="009D2338" w:rsidRPr="009D2338" w:rsidRDefault="009D2338" w:rsidP="009D2338">
      <w:pPr>
        <w:numPr>
          <w:ilvl w:val="0"/>
          <w:numId w:val="2"/>
        </w:numPr>
        <w:spacing w:before="100" w:beforeAutospacing="1" w:after="100" w:afterAutospacing="1" w:line="240" w:lineRule="auto"/>
        <w:rPr>
          <w:rFonts w:ascii="Times New Roman" w:eastAsia="Times New Roman" w:hAnsi="Times New Roman" w:cs="Times New Roman"/>
          <w:sz w:val="24"/>
          <w:szCs w:val="24"/>
        </w:rPr>
      </w:pPr>
      <w:r>
        <w:t>No respondent-level empirical run has been completed; the selected workbook supports only a frequency-table audit.</w:t>
      </w:r>
    </w:p>
    <w:p w14:paraId="4C74E9D8"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3C3BEA32" w14:textId="77777777" w:rsidR="009D2338" w:rsidRPr="009D2338" w:rsidRDefault="009D2338" w:rsidP="009D2338">
      <w:pPr>
        <w:numPr>
          <w:ilvl w:val="0"/>
          <w:numId w:val="2"/>
        </w:numPr>
        <w:spacing w:before="100" w:beforeAutospacing="1" w:after="100" w:afterAutospacing="1" w:line="240" w:lineRule="auto"/>
        <w:rPr>
          <w:rFonts w:ascii="Times New Roman" w:eastAsia="Times New Roman" w:hAnsi="Times New Roman" w:cs="Times New Roman"/>
          <w:sz w:val="24"/>
          <w:szCs w:val="24"/>
        </w:rPr>
      </w:pPr>
      <w:r>
        <w:t>The analysis scripts use pandas, NumPy, scikit-learn, and SciPy; the workbook audit uses pandas Excel support. Exact software versions for the final analysis will come from the completed run manifest.</w:t>
      </w:r>
    </w:p>
    <w:p w14:paraId="61945B20"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1378C819"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M20. Methodological </w:t>
      </w:r>
      <w:proofErr w:type="spellStart"/>
      <w:r w:rsidRPr="009D2338">
        <w:rPr>
          <w:rFonts w:ascii="Times New Roman" w:eastAsia="Times New Roman" w:hAnsi="Times New Roman" w:cs="Times New Roman"/>
          <w:b/>
          <w:bCs/>
          <w:sz w:val="27"/>
          <w:szCs w:val="27"/>
        </w:rPr>
        <w:t>Defence</w:t>
      </w:r>
      <w:proofErr w:type="spellEnd"/>
      <w:r w:rsidRPr="009D2338">
        <w:rPr>
          <w:rFonts w:ascii="Times New Roman" w:eastAsia="Times New Roman" w:hAnsi="Times New Roman" w:cs="Times New Roman"/>
          <w:b/>
          <w:bCs/>
          <w:sz w:val="27"/>
          <w:szCs w:val="27"/>
        </w:rPr>
        <w:t xml:space="preserve"> Paragraphs</w:t>
      </w:r>
    </w:p>
    <w:p w14:paraId="1BA12905" w14:textId="77777777" w:rsidR="009D2338" w:rsidRPr="009D2338" w:rsidRDefault="009D2338" w:rsidP="009D2338">
      <w:pPr>
        <w:numPr>
          <w:ilvl w:val="0"/>
          <w:numId w:val="3"/>
        </w:numPr>
        <w:spacing w:before="100" w:beforeAutospacing="1" w:after="100" w:afterAutospacing="1" w:line="240" w:lineRule="auto"/>
        <w:rPr>
          <w:rFonts w:ascii="Times New Roman" w:eastAsia="Times New Roman" w:hAnsi="Times New Roman" w:cs="Times New Roman"/>
          <w:sz w:val="24"/>
          <w:szCs w:val="24"/>
        </w:rPr>
      </w:pPr>
      <w:r>
        <w:t>The selected workbook does not establish the observation-to-parameter ratio or predictor collinearity. A claim that shrinkage helps or does not help is therefore unsupported by this file.</w:t>
      </w:r>
    </w:p>
    <w:p w14:paraId="10AF78AA"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36B4CF0D" w14:textId="77777777" w:rsidR="009D2338" w:rsidRPr="009D2338" w:rsidRDefault="009D2338" w:rsidP="009D2338">
      <w:pPr>
        <w:numPr>
          <w:ilvl w:val="0"/>
          <w:numId w:val="3"/>
        </w:numPr>
        <w:spacing w:before="100" w:beforeAutospacing="1" w:after="100" w:afterAutospacing="1" w:line="240" w:lineRule="auto"/>
        <w:rPr>
          <w:rFonts w:ascii="Times New Roman" w:eastAsia="Times New Roman" w:hAnsi="Times New Roman" w:cs="Times New Roman"/>
          <w:sz w:val="24"/>
          <w:szCs w:val="24"/>
        </w:rPr>
      </w:pPr>
      <w:r>
        <w:t>No prediction metric is available. Aggregate frequencies do not establish student-level prediction, classification, intervention benefit, or causal impact.</w:t>
      </w:r>
    </w:p>
    <w:p w14:paraId="5177EF87"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012CE4AA" w14:textId="77777777" w:rsidR="009D2338" w:rsidRPr="009D2338" w:rsidRDefault="009D2338" w:rsidP="009D2338">
      <w:pPr>
        <w:numPr>
          <w:ilvl w:val="0"/>
          <w:numId w:val="3"/>
        </w:numPr>
        <w:spacing w:before="100" w:beforeAutospacing="1" w:after="100" w:afterAutospacing="1" w:line="240" w:lineRule="auto"/>
        <w:rPr>
          <w:rFonts w:ascii="Times New Roman" w:eastAsia="Times New Roman" w:hAnsi="Times New Roman" w:cs="Times New Roman"/>
          <w:sz w:val="24"/>
          <w:szCs w:val="24"/>
        </w:rPr>
      </w:pPr>
      <w:r>
        <w:t>Baseline and representation rationale for future work: OLS provides the unpenalized comparator, while LASSO tests the effect of an L1 penalty. Comparing raw and out-of-fold target-encoded versions separates representation effects from penalty effects. This four-arm rationale is prospective only; no arm has been fitted.</w:t>
      </w:r>
    </w:p>
    <w:p w14:paraId="324D0056" w14:textId="77777777" w:rsidR="009D2338" w:rsidRPr="009D2338" w:rsidRDefault="009D2338" w:rsidP="009D2338">
      <w:pPr>
        <w:spacing w:before="100" w:beforeAutospacing="1" w:after="100" w:afterAutospacing="1" w:line="240" w:lineRule="auto"/>
        <w:ind w:left="720"/>
        <w:rPr>
          <w:rFonts w:ascii="Times New Roman" w:eastAsia="Times New Roman" w:hAnsi="Times New Roman" w:cs="Times New Roman"/>
          <w:sz w:val="24"/>
          <w:szCs w:val="24"/>
        </w:rPr>
      </w:pPr>
    </w:p>
    <w:p w14:paraId="4F12AE05"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M21. Data and Code Availability</w:t>
      </w:r>
    </w:p>
    <w:p w14:paraId="1AAAE5CD" w14:textId="77777777" w:rsidR="009D2338" w:rsidRPr="009D2338" w:rsidRDefault="009D2338" w:rsidP="009D2338">
      <w:pPr>
        <w:spacing w:after="0" w:line="240" w:lineRule="auto"/>
        <w:rPr>
          <w:rFonts w:ascii="Times New Roman" w:eastAsia="Times New Roman" w:hAnsi="Times New Roman" w:cs="Times New Roman"/>
          <w:sz w:val="24"/>
          <w:szCs w:val="24"/>
        </w:rPr>
      </w:pPr>
      <w:r>
        <w:t>The selected analysis file is the Excel workbook DATASET/dataset.xlsx. It contains aggregate counts and no respondent-level records. No scan-derived or questionnaire-transcribed data are used in this analysis.</w:t>
      </w:r>
    </w:p>
    <w:p w14:paraId="293E9B87"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1E14A68" w14:textId="77777777" w:rsidR="009D2338" w:rsidRPr="009D2338" w:rsidRDefault="009D2338" w:rsidP="009D2338">
      <w:pPr>
        <w:spacing w:before="100" w:beforeAutospacing="1" w:after="100" w:afterAutospacing="1" w:line="240" w:lineRule="auto"/>
        <w:outlineLvl w:val="1"/>
        <w:rPr>
          <w:rFonts w:ascii="Times New Roman" w:eastAsia="Times New Roman" w:hAnsi="Times New Roman" w:cs="Times New Roman"/>
          <w:b/>
          <w:bCs/>
          <w:sz w:val="36"/>
          <w:szCs w:val="36"/>
        </w:rPr>
      </w:pPr>
      <w:r>
        <w:t>SECTION 4: EXCEL AUDIT RESULTS AND MODEL READINESS</w:t>
      </w:r>
    </w:p>
    <w:p w14:paraId="1AF052BF"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R1. Evaluation Corpus and Partition Summary</w:t>
      </w:r>
    </w:p>
    <w:p w14:paraId="10A3307F" w14:textId="77777777" w:rsidR="009D2338" w:rsidRPr="009D2338" w:rsidRDefault="009D2338" w:rsidP="009D2338">
      <w:pPr>
        <w:spacing w:after="0" w:line="240" w:lineRule="auto"/>
        <w:rPr>
          <w:rFonts w:ascii="Times New Roman" w:eastAsia="Times New Roman" w:hAnsi="Times New Roman" w:cs="Times New Roman"/>
          <w:sz w:val="24"/>
          <w:szCs w:val="24"/>
        </w:rPr>
      </w:pPr>
      <w:r>
        <w:t>The selected Excel workbook contains one worksheet, 72 item-frequency rows, three site totals, and four demographic frequency summaries. Item-row bin sums agree with their displayed totals, but item totals range from 671 to 907. Demographic totals differ (510, 490, 398, and 950), and site totals sum to 266. These disagreements prevent a verified common $n$; the workbook contains no row-level records, fitted models, or validation partitions.</w:t>
      </w:r>
    </w:p>
    <w:p w14:paraId="5F883A12"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0828BEC0" w14:textId="77777777" w:rsidR="009D2338" w:rsidRPr="009D2338" w:rsidRDefault="009D2338" w:rsidP="009D2338">
      <w:pPr>
        <w:spacing w:after="0" w:line="240" w:lineRule="auto"/>
        <w:rPr>
          <w:rFonts w:ascii="Times New Roman" w:eastAsia="Times New Roman" w:hAnsi="Times New Roman" w:cs="Times New Roman"/>
          <w:sz w:val="24"/>
          <w:szCs w:val="24"/>
        </w:rPr>
      </w:pPr>
      <w:r>
        <w:t>This is an Excel-only frequency audit. The selected workbook does not support respondent-level performance or external generalisation claims.</w:t>
      </w:r>
    </w:p>
    <w:p w14:paraId="1E2A890B"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60D834CC"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16E7317"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R2. Predictive Results: Not Produced in This Audit</w:t>
      </w:r>
    </w:p>
    <w:p w14:paraId="6542124B" w14:textId="77777777" w:rsidR="009D2338" w:rsidRPr="009D2338" w:rsidRDefault="009D2338" w:rsidP="009D2338">
      <w:pPr>
        <w:spacing w:after="0" w:line="240" w:lineRule="auto"/>
        <w:rPr>
          <w:rFonts w:ascii="Times New Roman" w:eastAsia="Times New Roman" w:hAnsi="Times New Roman" w:cs="Times New Roman"/>
          <w:sz w:val="24"/>
          <w:szCs w:val="24"/>
        </w:rPr>
      </w:pPr>
      <w:r>
        <w:t>No predictive model was fitted, so this audit reports no R², MAE, RMSE, confidence interval, or model difference. Draft 0 performance values remain withdrawn.</w:t>
      </w:r>
    </w:p>
    <w:p w14:paraId="32C4B864"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462E131F"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70A078FB"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R3. Model Stability: Not Assessed</w:t>
      </w:r>
    </w:p>
    <w:p w14:paraId="574E2487" w14:textId="77777777" w:rsidR="009D2338" w:rsidRPr="009D2338" w:rsidRDefault="009D2338" w:rsidP="009D2338">
      <w:pPr>
        <w:spacing w:after="0" w:line="240" w:lineRule="auto"/>
        <w:rPr>
          <w:rFonts w:ascii="Times New Roman" w:eastAsia="Times New Roman" w:hAnsi="Times New Roman" w:cs="Times New Roman"/>
          <w:sz w:val="24"/>
          <w:szCs w:val="24"/>
        </w:rPr>
      </w:pPr>
      <w:r>
        <w:t>Fold-to-fold and seed-to-seed model variability cannot be assessed because no model folds or predictions exist for the selected workbook.</w:t>
      </w:r>
    </w:p>
    <w:p w14:paraId="6BDC25E2" w14:textId="77777777" w:rsidR="009D2338" w:rsidRPr="009D2338" w:rsidRDefault="009D2338" w:rsidP="009D2338">
      <w:pPr>
        <w:spacing w:after="0" w:line="240" w:lineRule="auto"/>
        <w:rPr>
          <w:rFonts w:ascii="Times New Roman" w:eastAsia="Times New Roman" w:hAnsi="Times New Roman" w:cs="Times New Roman"/>
          <w:sz w:val="24"/>
          <w:szCs w:val="24"/>
        </w:rPr>
      </w:pPr>
    </w:p>
    <w:p w14:paraId="4C91FC69" w14:textId="77777777" w:rsidR="004D0A61" w:rsidRDefault="004D0A61" w:rsidP="009D2338">
      <w:pPr>
        <w:spacing w:after="0" w:line="240" w:lineRule="auto"/>
        <w:rPr>
          <w:rFonts w:ascii="Courier New" w:eastAsia="Times New Roman" w:hAnsi="Courier New" w:cs="Courier New"/>
          <w:sz w:val="20"/>
          <w:szCs w:val="20"/>
        </w:rPr>
      </w:pPr>
    </w:p>
    <w:p w14:paraId="1F20B268" w14:textId="77777777" w:rsidR="004D0A61" w:rsidRDefault="004D0A61" w:rsidP="009D2338">
      <w:pPr>
        <w:spacing w:after="0" w:line="240" w:lineRule="auto"/>
        <w:rPr>
          <w:rFonts w:ascii="Times New Roman" w:eastAsia="Times New Roman" w:hAnsi="Times New Roman" w:cs="Times New Roman"/>
          <w:sz w:val="24"/>
          <w:szCs w:val="24"/>
        </w:rPr>
      </w:pPr>
    </w:p>
    <w:p w14:paraId="0C84D768" w14:textId="77777777" w:rsidR="004D0A61" w:rsidRDefault="004D0A61" w:rsidP="009D2338">
      <w:pPr>
        <w:spacing w:after="0" w:line="240" w:lineRule="auto"/>
        <w:rPr>
          <w:rFonts w:ascii="Times New Roman" w:eastAsia="Times New Roman" w:hAnsi="Times New Roman" w:cs="Times New Roman"/>
          <w:sz w:val="24"/>
          <w:szCs w:val="24"/>
        </w:rPr>
      </w:pPr>
    </w:p>
    <w:p w14:paraId="7785C648" w14:textId="77777777" w:rsidR="004D0A61" w:rsidRDefault="004D0A61" w:rsidP="009D2338">
      <w:pPr>
        <w:spacing w:after="0" w:line="240" w:lineRule="auto"/>
        <w:rPr>
          <w:rFonts w:ascii="Times New Roman" w:eastAsia="Times New Roman" w:hAnsi="Times New Roman" w:cs="Times New Roman"/>
          <w:sz w:val="24"/>
          <w:szCs w:val="24"/>
        </w:rPr>
      </w:pPr>
    </w:p>
    <w:p w14:paraId="24C345F9" w14:textId="77777777" w:rsidR="009D2338" w:rsidRPr="009D2338" w:rsidRDefault="009D2338" w:rsidP="009D2338">
      <w:pPr>
        <w:spacing w:after="0" w:line="240" w:lineRule="auto"/>
        <w:rPr>
          <w:rFonts w:ascii="Times New Roman" w:eastAsia="Times New Roman" w:hAnsi="Times New Roman" w:cs="Times New Roman"/>
          <w:sz w:val="24"/>
          <w:szCs w:val="24"/>
        </w:rPr>
      </w:pPr>
      <w:r>
        <w:t>No model range or standard deviation is reported. These summaries require saved held-out predictions, which are not available from the workbook.</w:t>
      </w:r>
    </w:p>
    <w:p w14:paraId="726017DA"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B800173"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R4. Statistical Comparison</w:t>
      </w:r>
    </w:p>
    <w:p w14:paraId="28C49157" w14:textId="77777777" w:rsidR="009D2338" w:rsidRPr="009D2338" w:rsidRDefault="009D2338" w:rsidP="009D2338">
      <w:pPr>
        <w:spacing w:after="0" w:line="240" w:lineRule="auto"/>
        <w:rPr>
          <w:rFonts w:ascii="Times New Roman" w:eastAsia="Times New Roman" w:hAnsi="Times New Roman" w:cs="Times New Roman"/>
          <w:sz w:val="24"/>
          <w:szCs w:val="24"/>
        </w:rPr>
      </w:pPr>
      <w:r>
        <w:t>No statistical comparison has been run. Aggregate frequency tables do not contain paired model observations; no equivalence or non-inferiority claim is made.</w:t>
      </w:r>
    </w:p>
    <w:p w14:paraId="18087420"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175BA7F9"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R5. Ablation: Not Conducted</w:t>
      </w:r>
    </w:p>
    <w:p w14:paraId="3247C5B6" w14:textId="77777777" w:rsidR="009D2338" w:rsidRPr="009D2338" w:rsidRDefault="009D2338" w:rsidP="009D2338">
      <w:pPr>
        <w:spacing w:after="0" w:line="240" w:lineRule="auto"/>
        <w:rPr>
          <w:rFonts w:ascii="Times New Roman" w:eastAsia="Times New Roman" w:hAnsi="Times New Roman" w:cs="Times New Roman"/>
          <w:sz w:val="24"/>
          <w:szCs w:val="24"/>
        </w:rPr>
      </w:pPr>
      <w:r>
        <w:t>No ablation was conducted. The proposed four-arm comparison remains conditional future work and requires respondent-level inputs.</w:t>
      </w:r>
    </w:p>
    <w:p w14:paraId="67E674F6"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t>R6. Feature Importance and Sparsity: Not Estimated</w:t>
      </w:r>
    </w:p>
    <w:p w14:paraId="0F21F1D6" w14:textId="77777777" w:rsidR="009D2338" w:rsidRPr="009D2338" w:rsidRDefault="009D2338" w:rsidP="009D2338">
      <w:pPr>
        <w:spacing w:after="0" w:line="240" w:lineRule="auto"/>
        <w:rPr>
          <w:rFonts w:ascii="Times New Roman" w:eastAsia="Times New Roman" w:hAnsi="Times New Roman" w:cs="Times New Roman"/>
          <w:sz w:val="24"/>
          <w:szCs w:val="24"/>
        </w:rPr>
      </w:pPr>
      <w:r>
        <w:t>No coefficient or sparsity result is available. The selected workbook contains no fitted coefficients, and its marginal counts cannot establish an exact-zero coefficient count.</w:t>
      </w:r>
    </w:p>
    <w:p w14:paraId="258FC117"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R7. Error Analysis and Residual Profile</w:t>
      </w:r>
    </w:p>
    <w:p w14:paraId="16EF612E" w14:textId="77777777" w:rsidR="009D2338" w:rsidRPr="009D2338" w:rsidRDefault="009D2338" w:rsidP="009D2338">
      <w:pPr>
        <w:spacing w:after="0" w:line="240" w:lineRule="auto"/>
        <w:rPr>
          <w:rFonts w:ascii="Times New Roman" w:eastAsia="Times New Roman" w:hAnsi="Times New Roman" w:cs="Times New Roman"/>
          <w:sz w:val="24"/>
          <w:szCs w:val="24"/>
        </w:rPr>
      </w:pPr>
      <w:r>
        <w:t>No out-of-fold predictions or residuals are available. Individual residual summaries, deciles, and school-level errors cannot be recovered from marginal frequencies.</w:t>
      </w:r>
    </w:p>
    <w:p w14:paraId="786FE2AC"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7757CCD4"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 xml:space="preserve">R8. Transfer or </w:t>
      </w:r>
      <w:proofErr w:type="spellStart"/>
      <w:r w:rsidRPr="009D2338">
        <w:rPr>
          <w:rFonts w:ascii="Times New Roman" w:eastAsia="Times New Roman" w:hAnsi="Times New Roman" w:cs="Times New Roman"/>
          <w:b/>
          <w:bCs/>
          <w:sz w:val="27"/>
          <w:szCs w:val="27"/>
        </w:rPr>
        <w:t>Generalisation</w:t>
      </w:r>
      <w:proofErr w:type="spellEnd"/>
      <w:r w:rsidRPr="009D2338">
        <w:rPr>
          <w:rFonts w:ascii="Times New Roman" w:eastAsia="Times New Roman" w:hAnsi="Times New Roman" w:cs="Times New Roman"/>
          <w:b/>
          <w:bCs/>
          <w:sz w:val="27"/>
          <w:szCs w:val="27"/>
        </w:rPr>
        <w:t xml:space="preserve"> Results</w:t>
      </w:r>
    </w:p>
    <w:p w14:paraId="7E59D407" w14:textId="77777777" w:rsidR="009D2338" w:rsidRPr="009D2338" w:rsidRDefault="009D2338" w:rsidP="009D2338">
      <w:pPr>
        <w:spacing w:after="0" w:line="240" w:lineRule="auto"/>
        <w:rPr>
          <w:rFonts w:ascii="Times New Roman" w:eastAsia="Times New Roman" w:hAnsi="Times New Roman" w:cs="Times New Roman"/>
          <w:sz w:val="24"/>
          <w:szCs w:val="24"/>
        </w:rPr>
      </w:pPr>
      <w:r>
        <w:t>Transfer beyond the participating sites was not assessed. Site totals alone do not provide respondent-linked groups or external validation.</w:t>
      </w:r>
    </w:p>
    <w:p w14:paraId="572809DA"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360ECD08"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R9. Computational Cost</w:t>
      </w:r>
    </w:p>
    <w:p w14:paraId="70DC87C4" w14:textId="77777777" w:rsidR="009D2338" w:rsidRPr="009D2338" w:rsidRDefault="009D2338" w:rsidP="009D2338">
      <w:pPr>
        <w:spacing w:after="0" w:line="240" w:lineRule="auto"/>
        <w:rPr>
          <w:rFonts w:ascii="Times New Roman" w:eastAsia="Times New Roman" w:hAnsi="Times New Roman" w:cs="Times New Roman"/>
          <w:sz w:val="24"/>
          <w:szCs w:val="24"/>
        </w:rPr>
      </w:pPr>
      <w:r>
        <w:t>Training time and inference latency are not reported because no corrected model was fitted.</w:t>
      </w:r>
    </w:p>
    <w:p w14:paraId="57515E91" w14:textId="77777777" w:rsidR="009D2338" w:rsidRPr="009D2338" w:rsidRDefault="009D2338" w:rsidP="009D2338">
      <w:pPr>
        <w:spacing w:after="0" w:line="240" w:lineRule="auto"/>
        <w:rPr>
          <w:rFonts w:ascii="Times New Roman" w:eastAsia="Times New Roman" w:hAnsi="Times New Roman" w:cs="Times New Roman"/>
          <w:sz w:val="24"/>
          <w:szCs w:val="24"/>
        </w:rPr>
      </w:pPr>
      <w:r w:rsidRPr="009D2338">
        <w:rPr>
          <w:rFonts w:ascii="Times New Roman" w:eastAsia="Times New Roman" w:hAnsi="Times New Roman" w:cs="Times New Roman"/>
          <w:sz w:val="24"/>
          <w:szCs w:val="24"/>
        </w:rPr>
        <w:br/>
      </w:r>
    </w:p>
    <w:p w14:paraId="67A5BDF6" w14:textId="77777777" w:rsidR="009D2338" w:rsidRPr="009D2338" w:rsidRDefault="009D2338" w:rsidP="009D2338">
      <w:pPr>
        <w:spacing w:before="100" w:beforeAutospacing="1" w:after="100" w:afterAutospacing="1" w:line="240" w:lineRule="auto"/>
        <w:outlineLvl w:val="2"/>
        <w:rPr>
          <w:rFonts w:ascii="Times New Roman" w:eastAsia="Times New Roman" w:hAnsi="Times New Roman" w:cs="Times New Roman"/>
          <w:b/>
          <w:bCs/>
          <w:sz w:val="27"/>
          <w:szCs w:val="27"/>
        </w:rPr>
      </w:pPr>
      <w:r w:rsidRPr="009D2338">
        <w:rPr>
          <w:rFonts w:ascii="Times New Roman" w:eastAsia="Times New Roman" w:hAnsi="Times New Roman" w:cs="Times New Roman"/>
          <w:b/>
          <w:bCs/>
          <w:sz w:val="27"/>
          <w:szCs w:val="27"/>
        </w:rPr>
        <w:t>R10. Non-Confirmatory and Negative Results</w:t>
      </w:r>
    </w:p>
    <w:p w14:paraId="5C7565AD" w14:textId="77777777" w:rsidR="009D2338" w:rsidRPr="009D2338" w:rsidRDefault="009D2338" w:rsidP="009D2338">
      <w:pPr>
        <w:spacing w:after="0" w:line="240" w:lineRule="auto"/>
        <w:rPr>
          <w:rFonts w:ascii="Times New Roman" w:eastAsia="Times New Roman" w:hAnsi="Times New Roman" w:cs="Times New Roman"/>
          <w:sz w:val="24"/>
          <w:szCs w:val="24"/>
        </w:rPr>
      </w:pPr>
      <w:r>
        <w:t>The selected workbook supports an audit of aggregate frequency counts, but it does not support the requested regression, ablation, or respondent-level diagnostics. Draft 0 performance, sparsity, and equivalence claims are withdrawn. No explanation for those prior results is asserted from this workbook. The feedback’s four-step remediation remains blocked because its required respondent-level predictions cannot be generated: (1) establish a leakage-free OLS baseline; (2) use held-out residuals to locate any specific error pattern; (3) make a targeted change only if the errors support it; and (4) validate that the change does not reduce overall held-out performance. None of these steps is claimed as completed. The current frequency tables cannot be rearranged into respondent rows without inventing information.</w:t>
      </w:r>
    </w:p>
    <w:p w14:paraId="1D7BF85D" w14:textId="77777777" w:rsidR="00F31E9F" w:rsidRDefault="00F31E9F"/>
    <w:p>
      <w:r>
        <w:t>Table 4. Objective-to-Method-to-Evidence Traceability</w:t>
      </w:r>
    </w:p>
    <w:tbl>
      <w:tblPr>
        <w:tblStyle w:val="TableGrid"/>
        <w:tblW w:type="auto" w:w="0"/>
        <w:tblLook w:firstColumn="1" w:firstRow="1" w:lastColumn="0" w:lastRow="0" w:noHBand="0" w:noVBand="1" w:val="04A0"/>
      </w:tblPr>
      <w:tblGrid>
        <w:gridCol w:w="3120"/>
        <w:gridCol w:w="3120"/>
        <w:gridCol w:w="3120"/>
      </w:tblGrid>
      <w:tr>
        <w:tc>
          <w:tcPr>
            <w:tcW w:type="dxa" w:w="3120"/>
          </w:tcPr>
          <w:p>
            <w:r>
              <w:t>Objective</w:t>
            </w:r>
          </w:p>
        </w:tc>
        <w:tc>
          <w:tcPr>
            <w:tcW w:type="dxa" w:w="3120"/>
          </w:tcPr>
          <w:p>
            <w:r>
              <w:t>Method / Evidence Required</w:t>
            </w:r>
          </w:p>
        </w:tc>
        <w:tc>
          <w:tcPr>
            <w:tcW w:type="dxa" w:w="3120"/>
          </w:tcPr>
          <w:p>
            <w:r>
              <w:t>Status in This Draft</w:t>
            </w:r>
          </w:p>
        </w:tc>
      </w:tr>
      <w:tr>
        <w:tc>
          <w:tcPr>
            <w:tcW w:type="dxa" w:w="3120"/>
          </w:tcPr>
          <w:p>
            <w:r>
              <w:t>Objective 1: audit the selected workbook and its tallies</w:t>
            </w:r>
          </w:p>
        </w:tc>
        <w:tc>
          <w:tcPr>
            <w:tcW w:type="dxa" w:w="3120"/>
          </w:tcPr>
          <w:p>
            <w:r>
              <w:t>Workbook structure, field inventory, item count reconciliation, demographic denominator check</w:t>
            </w:r>
          </w:p>
        </w:tc>
        <w:tc>
          <w:tcPr>
            <w:tcW w:type="dxa" w:w="3120"/>
          </w:tcPr>
          <w:p>
            <w:r>
              <w:t>Completed for selected workbook; discrepancies documented.</w:t>
            </w:r>
          </w:p>
        </w:tc>
      </w:tr>
      <w:tr>
        <w:tc>
          <w:tcPr>
            <w:tcW w:type="dxa" w:w="3120"/>
          </w:tcPr>
          <w:p>
            <w:r>
              <w:t>Objective 2: establish whether individual predictors and outcome are present</w:t>
            </w:r>
          </w:p>
        </w:tc>
        <w:tc>
          <w:tcPr>
            <w:tcW w:type="dxa" w:w="3120"/>
          </w:tcPr>
          <w:p>
            <w:r>
              <w:t>Check for respondent-level records, linked fields, and a computable outcome</w:t>
            </w:r>
          </w:p>
        </w:tc>
        <w:tc>
          <w:tcPr>
            <w:tcW w:type="dxa" w:w="3120"/>
          </w:tcPr>
          <w:p>
            <w:r>
              <w:t>Not met: workbook contains marginal counts only; TOTAL and linked predictor rows unavailable.</w:t>
            </w:r>
          </w:p>
        </w:tc>
      </w:tr>
      <w:tr>
        <w:tc>
          <w:tcPr>
            <w:tcW w:type="dxa" w:w="3120"/>
          </w:tcPr>
          <w:p>
            <w:r>
              <w:t>Objective 3: evaluate model comparison readiness</w:t>
            </w:r>
          </w:p>
        </w:tc>
        <w:tc>
          <w:tcPr>
            <w:tcW w:type="dxa" w:w="3120"/>
          </w:tcPr>
          <w:p>
            <w:r>
              <w:t>Fit matched OLS/LASSO/ridge arms only from a valid respondent-level matrix</w:t>
            </w:r>
          </w:p>
        </w:tc>
        <w:tc>
          <w:tcPr>
            <w:tcW w:type="dxa" w:w="3120"/>
          </w:tcPr>
          <w:p>
            <w:r>
              <w:t>Not run: model metrics, coefficients, residuals, and validation cannot be computed from this workbook.</w:t>
            </w:r>
          </w:p>
        </w:tc>
      </w:tr>
    </w:tbl>
    <w:p>
      <w:pPr>
        <w:pStyle w:val="Heading1"/>
      </w:pPr>
      <w:r>
        <w:t>APPENDIX A. THEORY REDIRECTION REPORT</w:t>
      </w:r>
    </w:p>
    <w:p>
      <w:r>
        <w:t>Theory redirection: Classical Test Theory (CTT) is adopted as the provisional measurement framework, not as an empirically tested model. The selected Excel workbook contains item labels and marginal frequencies but no respondent-level scores or documented construct definitions. It therefore cannot support a theory-to-item validation, reliability estimate, dimensionality analysis, or causal explanation.</w:t>
      </w:r>
    </w:p>
    <w:p>
      <w:r>
        <w:t>The seven practice-domain headings are retained as recorded in the workbook. Item-to-domain equivalence and instrument equivalence are not independently assessed; no external validation claim is made.</w:t>
      </w:r>
    </w:p>
    <w:p>
      <w:r>
        <w:t>CTT reliability and measurement analyses require linked item responses and respondent-level score variation. They cannot be calculated from the workbook’s marginal frequencies.</w:t>
      </w:r>
    </w:p>
    <w:p>
      <w:r>
        <w:t>Status: CTT is the selected conceptual measurement framework; its measurement properties remain untested under the Excel-only source restriction. No coefficient sparsity or domain redundancy interpretation is made.</w:t>
      </w:r>
    </w:p>
    <w:p>
      <w:pPr>
        <w:ind w:left="360" w:hanging="360"/>
      </w:pPr>
      <w:r>
        <w:t>Reference: Himelfarb, I. (2019). A primer on standardized testing: History, measurement, classical test theory, item response theory, and equating. Journal of Chiropractic Education, 33(2), 151–163. https://doi.org/10.7899/JCE-18-22</w:t>
      </w:r>
    </w:p>
    <w:p>
      <w:pPr>
        <w:ind w:left="360" w:hanging="360"/>
      </w:pPr>
      <w:r/>
    </w:p>
    <w:p>
      <w:pPr>
        <w:ind w:left="360" w:hanging="360"/>
      </w:pPr>
      <w:r/>
    </w:p>
    <w:sectPr w:rsidR="00F3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456B30"/>
    <w:multiLevelType w:val="multilevel"/>
    <w:tmpl w:val="9D6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3B682D"/>
    <w:multiLevelType w:val="multilevel"/>
    <w:tmpl w:val="9AF6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40B25"/>
    <w:multiLevelType w:val="multilevel"/>
    <w:tmpl w:val="5E12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D443D5"/>
    <w:multiLevelType w:val="multilevel"/>
    <w:tmpl w:val="E854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E9F"/>
    <w:rsid w:val="00025EEA"/>
    <w:rsid w:val="003E4DAA"/>
    <w:rsid w:val="004574AD"/>
    <w:rsid w:val="004D0A61"/>
    <w:rsid w:val="00586155"/>
    <w:rsid w:val="00924F7E"/>
    <w:rsid w:val="009D2338"/>
    <w:rsid w:val="00C417E7"/>
    <w:rsid w:val="00C565FB"/>
    <w:rsid w:val="00D55000"/>
    <w:rsid w:val="00DA4C64"/>
    <w:rsid w:val="00E761ED"/>
    <w:rsid w:val="00F31E9F"/>
    <w:rsid w:val="00FB2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063E"/>
  <w15:chartTrackingRefBased/>
  <w15:docId w15:val="{AAE397B6-3408-4313-BC60-361BA9C8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D23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23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D23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233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D2338"/>
    <w:rPr>
      <w:rFonts w:ascii="Times New Roman" w:eastAsia="Times New Roman" w:hAnsi="Times New Roman" w:cs="Times New Roman"/>
      <w:b/>
      <w:bCs/>
      <w:sz w:val="27"/>
      <w:szCs w:val="27"/>
    </w:rPr>
  </w:style>
  <w:style w:type="character" w:styleId="Strong">
    <w:name w:val="Strong"/>
    <w:basedOn w:val="DefaultParagraphFont"/>
    <w:uiPriority w:val="22"/>
    <w:qFormat/>
    <w:rsid w:val="009D2338"/>
    <w:rPr>
      <w:b/>
      <w:bCs/>
    </w:rPr>
  </w:style>
  <w:style w:type="character" w:customStyle="1" w:styleId="math-inline">
    <w:name w:val="math-inline"/>
    <w:basedOn w:val="DefaultParagraphFont"/>
    <w:rsid w:val="009D2338"/>
  </w:style>
  <w:style w:type="paragraph" w:styleId="HTMLPreformatted">
    <w:name w:val="HTML Preformatted"/>
    <w:basedOn w:val="Normal"/>
    <w:link w:val="HTMLPreformattedChar"/>
    <w:uiPriority w:val="99"/>
    <w:semiHidden/>
    <w:unhideWhenUsed/>
    <w:rsid w:val="009D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2338"/>
    <w:rPr>
      <w:rFonts w:ascii="Courier New" w:eastAsia="Times New Roman" w:hAnsi="Courier New" w:cs="Courier New"/>
      <w:sz w:val="20"/>
      <w:szCs w:val="20"/>
    </w:rPr>
  </w:style>
  <w:style w:type="character" w:styleId="HTMLCode">
    <w:name w:val="HTML Code"/>
    <w:basedOn w:val="DefaultParagraphFont"/>
    <w:uiPriority w:val="99"/>
    <w:semiHidden/>
    <w:unhideWhenUsed/>
    <w:rsid w:val="009D2338"/>
    <w:rPr>
      <w:rFonts w:ascii="Courier New" w:eastAsia="Times New Roman" w:hAnsi="Courier New" w:cs="Courier New"/>
      <w:sz w:val="20"/>
      <w:szCs w:val="20"/>
    </w:rPr>
  </w:style>
  <w:style w:type="paragraph" w:styleId="NormalWeb">
    <w:name w:val="Normal (Web)"/>
    <w:basedOn w:val="Normal"/>
    <w:uiPriority w:val="99"/>
    <w:semiHidden/>
    <w:unhideWhenUsed/>
    <w:rsid w:val="00C417E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B2F87"/>
    <w:pPr>
      <w:ind w:left="720"/>
      <w:contextualSpacing/>
    </w:pPr>
  </w:style>
  <w:style w:type="table" w:styleId="TableGrid">
    <w:name w:val="Table Grid"/>
    <w:basedOn w:val="TableNormal"/>
    <w:uiPriority w:val="59"/>
    <w:rsid w:val="00E761ED"/>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944875">
      <w:bodyDiv w:val="1"/>
      <w:marLeft w:val="0"/>
      <w:marRight w:val="0"/>
      <w:marTop w:val="0"/>
      <w:marBottom w:val="0"/>
      <w:divBdr>
        <w:top w:val="none" w:sz="0" w:space="0" w:color="auto"/>
        <w:left w:val="none" w:sz="0" w:space="0" w:color="auto"/>
        <w:bottom w:val="none" w:sz="0" w:space="0" w:color="auto"/>
        <w:right w:val="none" w:sz="0" w:space="0" w:color="auto"/>
      </w:divBdr>
      <w:divsChild>
        <w:div w:id="257905543">
          <w:marLeft w:val="0"/>
          <w:marRight w:val="0"/>
          <w:marTop w:val="0"/>
          <w:marBottom w:val="0"/>
          <w:divBdr>
            <w:top w:val="none" w:sz="0" w:space="0" w:color="auto"/>
            <w:left w:val="none" w:sz="0" w:space="0" w:color="auto"/>
            <w:bottom w:val="none" w:sz="0" w:space="0" w:color="auto"/>
            <w:right w:val="none" w:sz="0" w:space="0" w:color="auto"/>
          </w:divBdr>
          <w:divsChild>
            <w:div w:id="2069180704">
              <w:marLeft w:val="0"/>
              <w:marRight w:val="0"/>
              <w:marTop w:val="0"/>
              <w:marBottom w:val="0"/>
              <w:divBdr>
                <w:top w:val="none" w:sz="0" w:space="0" w:color="auto"/>
                <w:left w:val="none" w:sz="0" w:space="0" w:color="auto"/>
                <w:bottom w:val="none" w:sz="0" w:space="0" w:color="auto"/>
                <w:right w:val="none" w:sz="0" w:space="0" w:color="auto"/>
              </w:divBdr>
              <w:divsChild>
                <w:div w:id="2095204482">
                  <w:marLeft w:val="0"/>
                  <w:marRight w:val="0"/>
                  <w:marTop w:val="0"/>
                  <w:marBottom w:val="0"/>
                  <w:divBdr>
                    <w:top w:val="none" w:sz="0" w:space="0" w:color="auto"/>
                    <w:left w:val="none" w:sz="0" w:space="0" w:color="auto"/>
                    <w:bottom w:val="none" w:sz="0" w:space="0" w:color="auto"/>
                    <w:right w:val="none" w:sz="0" w:space="0" w:color="auto"/>
                  </w:divBdr>
                </w:div>
                <w:div w:id="785387189">
                  <w:marLeft w:val="0"/>
                  <w:marRight w:val="0"/>
                  <w:marTop w:val="0"/>
                  <w:marBottom w:val="0"/>
                  <w:divBdr>
                    <w:top w:val="none" w:sz="0" w:space="0" w:color="auto"/>
                    <w:left w:val="none" w:sz="0" w:space="0" w:color="auto"/>
                    <w:bottom w:val="none" w:sz="0" w:space="0" w:color="auto"/>
                    <w:right w:val="none" w:sz="0" w:space="0" w:color="auto"/>
                  </w:divBdr>
                </w:div>
                <w:div w:id="1364792372">
                  <w:marLeft w:val="0"/>
                  <w:marRight w:val="0"/>
                  <w:marTop w:val="0"/>
                  <w:marBottom w:val="0"/>
                  <w:divBdr>
                    <w:top w:val="none" w:sz="0" w:space="0" w:color="auto"/>
                    <w:left w:val="none" w:sz="0" w:space="0" w:color="auto"/>
                    <w:bottom w:val="none" w:sz="0" w:space="0" w:color="auto"/>
                    <w:right w:val="none" w:sz="0" w:space="0" w:color="auto"/>
                  </w:divBdr>
                </w:div>
                <w:div w:id="721682590">
                  <w:marLeft w:val="0"/>
                  <w:marRight w:val="0"/>
                  <w:marTop w:val="0"/>
                  <w:marBottom w:val="0"/>
                  <w:divBdr>
                    <w:top w:val="none" w:sz="0" w:space="0" w:color="auto"/>
                    <w:left w:val="none" w:sz="0" w:space="0" w:color="auto"/>
                    <w:bottom w:val="none" w:sz="0" w:space="0" w:color="auto"/>
                    <w:right w:val="none" w:sz="0" w:space="0" w:color="auto"/>
                  </w:divBdr>
                </w:div>
                <w:div w:id="851533559">
                  <w:marLeft w:val="0"/>
                  <w:marRight w:val="0"/>
                  <w:marTop w:val="0"/>
                  <w:marBottom w:val="0"/>
                  <w:divBdr>
                    <w:top w:val="none" w:sz="0" w:space="0" w:color="auto"/>
                    <w:left w:val="none" w:sz="0" w:space="0" w:color="auto"/>
                    <w:bottom w:val="none" w:sz="0" w:space="0" w:color="auto"/>
                    <w:right w:val="none" w:sz="0" w:space="0" w:color="auto"/>
                  </w:divBdr>
                </w:div>
                <w:div w:id="1141194664">
                  <w:marLeft w:val="0"/>
                  <w:marRight w:val="0"/>
                  <w:marTop w:val="0"/>
                  <w:marBottom w:val="0"/>
                  <w:divBdr>
                    <w:top w:val="none" w:sz="0" w:space="0" w:color="auto"/>
                    <w:left w:val="none" w:sz="0" w:space="0" w:color="auto"/>
                    <w:bottom w:val="none" w:sz="0" w:space="0" w:color="auto"/>
                    <w:right w:val="none" w:sz="0" w:space="0" w:color="auto"/>
                  </w:divBdr>
                </w:div>
                <w:div w:id="915549897">
                  <w:marLeft w:val="0"/>
                  <w:marRight w:val="0"/>
                  <w:marTop w:val="0"/>
                  <w:marBottom w:val="0"/>
                  <w:divBdr>
                    <w:top w:val="none" w:sz="0" w:space="0" w:color="auto"/>
                    <w:left w:val="none" w:sz="0" w:space="0" w:color="auto"/>
                    <w:bottom w:val="none" w:sz="0" w:space="0" w:color="auto"/>
                    <w:right w:val="none" w:sz="0" w:space="0" w:color="auto"/>
                  </w:divBdr>
                </w:div>
                <w:div w:id="1738285568">
                  <w:marLeft w:val="0"/>
                  <w:marRight w:val="0"/>
                  <w:marTop w:val="0"/>
                  <w:marBottom w:val="0"/>
                  <w:divBdr>
                    <w:top w:val="none" w:sz="0" w:space="0" w:color="auto"/>
                    <w:left w:val="none" w:sz="0" w:space="0" w:color="auto"/>
                    <w:bottom w:val="none" w:sz="0" w:space="0" w:color="auto"/>
                    <w:right w:val="none" w:sz="0" w:space="0" w:color="auto"/>
                  </w:divBdr>
                </w:div>
                <w:div w:id="1610967320">
                  <w:marLeft w:val="0"/>
                  <w:marRight w:val="0"/>
                  <w:marTop w:val="0"/>
                  <w:marBottom w:val="0"/>
                  <w:divBdr>
                    <w:top w:val="none" w:sz="0" w:space="0" w:color="auto"/>
                    <w:left w:val="none" w:sz="0" w:space="0" w:color="auto"/>
                    <w:bottom w:val="none" w:sz="0" w:space="0" w:color="auto"/>
                    <w:right w:val="none" w:sz="0" w:space="0" w:color="auto"/>
                  </w:divBdr>
                </w:div>
                <w:div w:id="1516192412">
                  <w:marLeft w:val="0"/>
                  <w:marRight w:val="0"/>
                  <w:marTop w:val="0"/>
                  <w:marBottom w:val="0"/>
                  <w:divBdr>
                    <w:top w:val="none" w:sz="0" w:space="0" w:color="auto"/>
                    <w:left w:val="none" w:sz="0" w:space="0" w:color="auto"/>
                    <w:bottom w:val="none" w:sz="0" w:space="0" w:color="auto"/>
                    <w:right w:val="none" w:sz="0" w:space="0" w:color="auto"/>
                  </w:divBdr>
                </w:div>
                <w:div w:id="1903058271">
                  <w:marLeft w:val="0"/>
                  <w:marRight w:val="0"/>
                  <w:marTop w:val="0"/>
                  <w:marBottom w:val="0"/>
                  <w:divBdr>
                    <w:top w:val="none" w:sz="0" w:space="0" w:color="auto"/>
                    <w:left w:val="none" w:sz="0" w:space="0" w:color="auto"/>
                    <w:bottom w:val="none" w:sz="0" w:space="0" w:color="auto"/>
                    <w:right w:val="none" w:sz="0" w:space="0" w:color="auto"/>
                  </w:divBdr>
                </w:div>
                <w:div w:id="643508076">
                  <w:marLeft w:val="0"/>
                  <w:marRight w:val="0"/>
                  <w:marTop w:val="0"/>
                  <w:marBottom w:val="0"/>
                  <w:divBdr>
                    <w:top w:val="none" w:sz="0" w:space="0" w:color="auto"/>
                    <w:left w:val="none" w:sz="0" w:space="0" w:color="auto"/>
                    <w:bottom w:val="none" w:sz="0" w:space="0" w:color="auto"/>
                    <w:right w:val="none" w:sz="0" w:space="0" w:color="auto"/>
                  </w:divBdr>
                </w:div>
                <w:div w:id="1795830973">
                  <w:marLeft w:val="0"/>
                  <w:marRight w:val="0"/>
                  <w:marTop w:val="0"/>
                  <w:marBottom w:val="0"/>
                  <w:divBdr>
                    <w:top w:val="none" w:sz="0" w:space="0" w:color="auto"/>
                    <w:left w:val="none" w:sz="0" w:space="0" w:color="auto"/>
                    <w:bottom w:val="none" w:sz="0" w:space="0" w:color="auto"/>
                    <w:right w:val="none" w:sz="0" w:space="0" w:color="auto"/>
                  </w:divBdr>
                </w:div>
                <w:div w:id="1365447659">
                  <w:marLeft w:val="0"/>
                  <w:marRight w:val="0"/>
                  <w:marTop w:val="0"/>
                  <w:marBottom w:val="0"/>
                  <w:divBdr>
                    <w:top w:val="none" w:sz="0" w:space="0" w:color="auto"/>
                    <w:left w:val="none" w:sz="0" w:space="0" w:color="auto"/>
                    <w:bottom w:val="none" w:sz="0" w:space="0" w:color="auto"/>
                    <w:right w:val="none" w:sz="0" w:space="0" w:color="auto"/>
                  </w:divBdr>
                </w:div>
                <w:div w:id="928196037">
                  <w:marLeft w:val="0"/>
                  <w:marRight w:val="0"/>
                  <w:marTop w:val="0"/>
                  <w:marBottom w:val="0"/>
                  <w:divBdr>
                    <w:top w:val="none" w:sz="0" w:space="0" w:color="auto"/>
                    <w:left w:val="none" w:sz="0" w:space="0" w:color="auto"/>
                    <w:bottom w:val="none" w:sz="0" w:space="0" w:color="auto"/>
                    <w:right w:val="none" w:sz="0" w:space="0" w:color="auto"/>
                  </w:divBdr>
                </w:div>
                <w:div w:id="1993875797">
                  <w:marLeft w:val="0"/>
                  <w:marRight w:val="0"/>
                  <w:marTop w:val="0"/>
                  <w:marBottom w:val="0"/>
                  <w:divBdr>
                    <w:top w:val="none" w:sz="0" w:space="0" w:color="auto"/>
                    <w:left w:val="none" w:sz="0" w:space="0" w:color="auto"/>
                    <w:bottom w:val="none" w:sz="0" w:space="0" w:color="auto"/>
                    <w:right w:val="none" w:sz="0" w:space="0" w:color="auto"/>
                  </w:divBdr>
                </w:div>
              </w:divsChild>
            </w:div>
            <w:div w:id="540821668">
              <w:marLeft w:val="0"/>
              <w:marRight w:val="0"/>
              <w:marTop w:val="0"/>
              <w:marBottom w:val="0"/>
              <w:divBdr>
                <w:top w:val="none" w:sz="0" w:space="0" w:color="auto"/>
                <w:left w:val="none" w:sz="0" w:space="0" w:color="auto"/>
                <w:bottom w:val="none" w:sz="0" w:space="0" w:color="auto"/>
                <w:right w:val="none" w:sz="0" w:space="0" w:color="auto"/>
              </w:divBdr>
            </w:div>
            <w:div w:id="1569808629">
              <w:marLeft w:val="0"/>
              <w:marRight w:val="0"/>
              <w:marTop w:val="0"/>
              <w:marBottom w:val="0"/>
              <w:divBdr>
                <w:top w:val="none" w:sz="0" w:space="0" w:color="auto"/>
                <w:left w:val="none" w:sz="0" w:space="0" w:color="auto"/>
                <w:bottom w:val="none" w:sz="0" w:space="0" w:color="auto"/>
                <w:right w:val="none" w:sz="0" w:space="0" w:color="auto"/>
              </w:divBdr>
            </w:div>
            <w:div w:id="849680962">
              <w:marLeft w:val="0"/>
              <w:marRight w:val="0"/>
              <w:marTop w:val="0"/>
              <w:marBottom w:val="0"/>
              <w:divBdr>
                <w:top w:val="none" w:sz="0" w:space="0" w:color="auto"/>
                <w:left w:val="none" w:sz="0" w:space="0" w:color="auto"/>
                <w:bottom w:val="none" w:sz="0" w:space="0" w:color="auto"/>
                <w:right w:val="none" w:sz="0" w:space="0" w:color="auto"/>
              </w:divBdr>
            </w:div>
            <w:div w:id="1420566941">
              <w:marLeft w:val="0"/>
              <w:marRight w:val="0"/>
              <w:marTop w:val="0"/>
              <w:marBottom w:val="0"/>
              <w:divBdr>
                <w:top w:val="none" w:sz="0" w:space="0" w:color="auto"/>
                <w:left w:val="none" w:sz="0" w:space="0" w:color="auto"/>
                <w:bottom w:val="none" w:sz="0" w:space="0" w:color="auto"/>
                <w:right w:val="none" w:sz="0" w:space="0" w:color="auto"/>
              </w:divBdr>
            </w:div>
            <w:div w:id="624459748">
              <w:marLeft w:val="0"/>
              <w:marRight w:val="0"/>
              <w:marTop w:val="0"/>
              <w:marBottom w:val="0"/>
              <w:divBdr>
                <w:top w:val="none" w:sz="0" w:space="0" w:color="auto"/>
                <w:left w:val="none" w:sz="0" w:space="0" w:color="auto"/>
                <w:bottom w:val="none" w:sz="0" w:space="0" w:color="auto"/>
                <w:right w:val="none" w:sz="0" w:space="0" w:color="auto"/>
              </w:divBdr>
            </w:div>
            <w:div w:id="745423671">
              <w:marLeft w:val="0"/>
              <w:marRight w:val="0"/>
              <w:marTop w:val="0"/>
              <w:marBottom w:val="0"/>
              <w:divBdr>
                <w:top w:val="none" w:sz="0" w:space="0" w:color="auto"/>
                <w:left w:val="none" w:sz="0" w:space="0" w:color="auto"/>
                <w:bottom w:val="none" w:sz="0" w:space="0" w:color="auto"/>
                <w:right w:val="none" w:sz="0" w:space="0" w:color="auto"/>
              </w:divBdr>
            </w:div>
            <w:div w:id="1119493984">
              <w:marLeft w:val="0"/>
              <w:marRight w:val="0"/>
              <w:marTop w:val="0"/>
              <w:marBottom w:val="0"/>
              <w:divBdr>
                <w:top w:val="none" w:sz="0" w:space="0" w:color="auto"/>
                <w:left w:val="none" w:sz="0" w:space="0" w:color="auto"/>
                <w:bottom w:val="none" w:sz="0" w:space="0" w:color="auto"/>
                <w:right w:val="none" w:sz="0" w:space="0" w:color="auto"/>
              </w:divBdr>
            </w:div>
            <w:div w:id="655377442">
              <w:marLeft w:val="0"/>
              <w:marRight w:val="0"/>
              <w:marTop w:val="0"/>
              <w:marBottom w:val="0"/>
              <w:divBdr>
                <w:top w:val="none" w:sz="0" w:space="0" w:color="auto"/>
                <w:left w:val="none" w:sz="0" w:space="0" w:color="auto"/>
                <w:bottom w:val="none" w:sz="0" w:space="0" w:color="auto"/>
                <w:right w:val="none" w:sz="0" w:space="0" w:color="auto"/>
              </w:divBdr>
            </w:div>
            <w:div w:id="1950963666">
              <w:marLeft w:val="0"/>
              <w:marRight w:val="0"/>
              <w:marTop w:val="0"/>
              <w:marBottom w:val="0"/>
              <w:divBdr>
                <w:top w:val="none" w:sz="0" w:space="0" w:color="auto"/>
                <w:left w:val="none" w:sz="0" w:space="0" w:color="auto"/>
                <w:bottom w:val="none" w:sz="0" w:space="0" w:color="auto"/>
                <w:right w:val="none" w:sz="0" w:space="0" w:color="auto"/>
              </w:divBdr>
            </w:div>
            <w:div w:id="918636990">
              <w:marLeft w:val="0"/>
              <w:marRight w:val="0"/>
              <w:marTop w:val="0"/>
              <w:marBottom w:val="0"/>
              <w:divBdr>
                <w:top w:val="none" w:sz="0" w:space="0" w:color="auto"/>
                <w:left w:val="none" w:sz="0" w:space="0" w:color="auto"/>
                <w:bottom w:val="none" w:sz="0" w:space="0" w:color="auto"/>
                <w:right w:val="none" w:sz="0" w:space="0" w:color="auto"/>
              </w:divBdr>
            </w:div>
            <w:div w:id="210390701">
              <w:marLeft w:val="0"/>
              <w:marRight w:val="0"/>
              <w:marTop w:val="0"/>
              <w:marBottom w:val="0"/>
              <w:divBdr>
                <w:top w:val="none" w:sz="0" w:space="0" w:color="auto"/>
                <w:left w:val="none" w:sz="0" w:space="0" w:color="auto"/>
                <w:bottom w:val="none" w:sz="0" w:space="0" w:color="auto"/>
                <w:right w:val="none" w:sz="0" w:space="0" w:color="auto"/>
              </w:divBdr>
            </w:div>
            <w:div w:id="1391927472">
              <w:marLeft w:val="0"/>
              <w:marRight w:val="0"/>
              <w:marTop w:val="0"/>
              <w:marBottom w:val="0"/>
              <w:divBdr>
                <w:top w:val="none" w:sz="0" w:space="0" w:color="auto"/>
                <w:left w:val="none" w:sz="0" w:space="0" w:color="auto"/>
                <w:bottom w:val="none" w:sz="0" w:space="0" w:color="auto"/>
                <w:right w:val="none" w:sz="0" w:space="0" w:color="auto"/>
              </w:divBdr>
            </w:div>
            <w:div w:id="1276718517">
              <w:marLeft w:val="0"/>
              <w:marRight w:val="0"/>
              <w:marTop w:val="0"/>
              <w:marBottom w:val="0"/>
              <w:divBdr>
                <w:top w:val="none" w:sz="0" w:space="0" w:color="auto"/>
                <w:left w:val="none" w:sz="0" w:space="0" w:color="auto"/>
                <w:bottom w:val="none" w:sz="0" w:space="0" w:color="auto"/>
                <w:right w:val="none" w:sz="0" w:space="0" w:color="auto"/>
              </w:divBdr>
              <w:divsChild>
                <w:div w:id="1144586275">
                  <w:marLeft w:val="0"/>
                  <w:marRight w:val="0"/>
                  <w:marTop w:val="0"/>
                  <w:marBottom w:val="0"/>
                  <w:divBdr>
                    <w:top w:val="none" w:sz="0" w:space="0" w:color="auto"/>
                    <w:left w:val="none" w:sz="0" w:space="0" w:color="auto"/>
                    <w:bottom w:val="none" w:sz="0" w:space="0" w:color="auto"/>
                    <w:right w:val="none" w:sz="0" w:space="0" w:color="auto"/>
                  </w:divBdr>
                  <w:divsChild>
                    <w:div w:id="55477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9895">
              <w:marLeft w:val="0"/>
              <w:marRight w:val="0"/>
              <w:marTop w:val="0"/>
              <w:marBottom w:val="0"/>
              <w:divBdr>
                <w:top w:val="none" w:sz="0" w:space="0" w:color="auto"/>
                <w:left w:val="none" w:sz="0" w:space="0" w:color="auto"/>
                <w:bottom w:val="none" w:sz="0" w:space="0" w:color="auto"/>
                <w:right w:val="none" w:sz="0" w:space="0" w:color="auto"/>
              </w:divBdr>
            </w:div>
            <w:div w:id="1852455215">
              <w:marLeft w:val="0"/>
              <w:marRight w:val="0"/>
              <w:marTop w:val="0"/>
              <w:marBottom w:val="0"/>
              <w:divBdr>
                <w:top w:val="none" w:sz="0" w:space="0" w:color="auto"/>
                <w:left w:val="none" w:sz="0" w:space="0" w:color="auto"/>
                <w:bottom w:val="none" w:sz="0" w:space="0" w:color="auto"/>
                <w:right w:val="none" w:sz="0" w:space="0" w:color="auto"/>
              </w:divBdr>
            </w:div>
            <w:div w:id="1666666382">
              <w:marLeft w:val="0"/>
              <w:marRight w:val="0"/>
              <w:marTop w:val="0"/>
              <w:marBottom w:val="0"/>
              <w:divBdr>
                <w:top w:val="none" w:sz="0" w:space="0" w:color="auto"/>
                <w:left w:val="none" w:sz="0" w:space="0" w:color="auto"/>
                <w:bottom w:val="none" w:sz="0" w:space="0" w:color="auto"/>
                <w:right w:val="none" w:sz="0" w:space="0" w:color="auto"/>
              </w:divBdr>
            </w:div>
            <w:div w:id="169881452">
              <w:marLeft w:val="0"/>
              <w:marRight w:val="0"/>
              <w:marTop w:val="0"/>
              <w:marBottom w:val="0"/>
              <w:divBdr>
                <w:top w:val="none" w:sz="0" w:space="0" w:color="auto"/>
                <w:left w:val="none" w:sz="0" w:space="0" w:color="auto"/>
                <w:bottom w:val="none" w:sz="0" w:space="0" w:color="auto"/>
                <w:right w:val="none" w:sz="0" w:space="0" w:color="auto"/>
              </w:divBdr>
              <w:divsChild>
                <w:div w:id="530149551">
                  <w:marLeft w:val="0"/>
                  <w:marRight w:val="0"/>
                  <w:marTop w:val="0"/>
                  <w:marBottom w:val="0"/>
                  <w:divBdr>
                    <w:top w:val="none" w:sz="0" w:space="0" w:color="auto"/>
                    <w:left w:val="none" w:sz="0" w:space="0" w:color="auto"/>
                    <w:bottom w:val="none" w:sz="0" w:space="0" w:color="auto"/>
                    <w:right w:val="none" w:sz="0" w:space="0" w:color="auto"/>
                  </w:divBdr>
                </w:div>
                <w:div w:id="179199898">
                  <w:marLeft w:val="0"/>
                  <w:marRight w:val="0"/>
                  <w:marTop w:val="0"/>
                  <w:marBottom w:val="0"/>
                  <w:divBdr>
                    <w:top w:val="none" w:sz="0" w:space="0" w:color="auto"/>
                    <w:left w:val="none" w:sz="0" w:space="0" w:color="auto"/>
                    <w:bottom w:val="none" w:sz="0" w:space="0" w:color="auto"/>
                    <w:right w:val="none" w:sz="0" w:space="0" w:color="auto"/>
                  </w:divBdr>
                </w:div>
                <w:div w:id="761756145">
                  <w:marLeft w:val="0"/>
                  <w:marRight w:val="0"/>
                  <w:marTop w:val="0"/>
                  <w:marBottom w:val="0"/>
                  <w:divBdr>
                    <w:top w:val="none" w:sz="0" w:space="0" w:color="auto"/>
                    <w:left w:val="none" w:sz="0" w:space="0" w:color="auto"/>
                    <w:bottom w:val="none" w:sz="0" w:space="0" w:color="auto"/>
                    <w:right w:val="none" w:sz="0" w:space="0" w:color="auto"/>
                  </w:divBdr>
                </w:div>
                <w:div w:id="1245918300">
                  <w:marLeft w:val="0"/>
                  <w:marRight w:val="0"/>
                  <w:marTop w:val="0"/>
                  <w:marBottom w:val="0"/>
                  <w:divBdr>
                    <w:top w:val="none" w:sz="0" w:space="0" w:color="auto"/>
                    <w:left w:val="none" w:sz="0" w:space="0" w:color="auto"/>
                    <w:bottom w:val="none" w:sz="0" w:space="0" w:color="auto"/>
                    <w:right w:val="none" w:sz="0" w:space="0" w:color="auto"/>
                  </w:divBdr>
                </w:div>
                <w:div w:id="1272276033">
                  <w:marLeft w:val="0"/>
                  <w:marRight w:val="0"/>
                  <w:marTop w:val="0"/>
                  <w:marBottom w:val="0"/>
                  <w:divBdr>
                    <w:top w:val="none" w:sz="0" w:space="0" w:color="auto"/>
                    <w:left w:val="none" w:sz="0" w:space="0" w:color="auto"/>
                    <w:bottom w:val="none" w:sz="0" w:space="0" w:color="auto"/>
                    <w:right w:val="none" w:sz="0" w:space="0" w:color="auto"/>
                  </w:divBdr>
                </w:div>
                <w:div w:id="1067917001">
                  <w:marLeft w:val="0"/>
                  <w:marRight w:val="0"/>
                  <w:marTop w:val="0"/>
                  <w:marBottom w:val="0"/>
                  <w:divBdr>
                    <w:top w:val="none" w:sz="0" w:space="0" w:color="auto"/>
                    <w:left w:val="none" w:sz="0" w:space="0" w:color="auto"/>
                    <w:bottom w:val="none" w:sz="0" w:space="0" w:color="auto"/>
                    <w:right w:val="none" w:sz="0" w:space="0" w:color="auto"/>
                  </w:divBdr>
                </w:div>
              </w:divsChild>
            </w:div>
            <w:div w:id="1771462021">
              <w:marLeft w:val="0"/>
              <w:marRight w:val="0"/>
              <w:marTop w:val="0"/>
              <w:marBottom w:val="0"/>
              <w:divBdr>
                <w:top w:val="none" w:sz="0" w:space="0" w:color="auto"/>
                <w:left w:val="none" w:sz="0" w:space="0" w:color="auto"/>
                <w:bottom w:val="none" w:sz="0" w:space="0" w:color="auto"/>
                <w:right w:val="none" w:sz="0" w:space="0" w:color="auto"/>
              </w:divBdr>
            </w:div>
            <w:div w:id="587037878">
              <w:marLeft w:val="0"/>
              <w:marRight w:val="0"/>
              <w:marTop w:val="0"/>
              <w:marBottom w:val="0"/>
              <w:divBdr>
                <w:top w:val="none" w:sz="0" w:space="0" w:color="auto"/>
                <w:left w:val="none" w:sz="0" w:space="0" w:color="auto"/>
                <w:bottom w:val="none" w:sz="0" w:space="0" w:color="auto"/>
                <w:right w:val="none" w:sz="0" w:space="0" w:color="auto"/>
              </w:divBdr>
              <w:divsChild>
                <w:div w:id="1127046058">
                  <w:marLeft w:val="0"/>
                  <w:marRight w:val="0"/>
                  <w:marTop w:val="0"/>
                  <w:marBottom w:val="0"/>
                  <w:divBdr>
                    <w:top w:val="none" w:sz="0" w:space="0" w:color="auto"/>
                    <w:left w:val="none" w:sz="0" w:space="0" w:color="auto"/>
                    <w:bottom w:val="none" w:sz="0" w:space="0" w:color="auto"/>
                    <w:right w:val="none" w:sz="0" w:space="0" w:color="auto"/>
                  </w:divBdr>
                  <w:divsChild>
                    <w:div w:id="170682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2343">
              <w:marLeft w:val="0"/>
              <w:marRight w:val="0"/>
              <w:marTop w:val="0"/>
              <w:marBottom w:val="0"/>
              <w:divBdr>
                <w:top w:val="none" w:sz="0" w:space="0" w:color="auto"/>
                <w:left w:val="none" w:sz="0" w:space="0" w:color="auto"/>
                <w:bottom w:val="none" w:sz="0" w:space="0" w:color="auto"/>
                <w:right w:val="none" w:sz="0" w:space="0" w:color="auto"/>
              </w:divBdr>
            </w:div>
            <w:div w:id="946231190">
              <w:marLeft w:val="0"/>
              <w:marRight w:val="0"/>
              <w:marTop w:val="0"/>
              <w:marBottom w:val="0"/>
              <w:divBdr>
                <w:top w:val="none" w:sz="0" w:space="0" w:color="auto"/>
                <w:left w:val="none" w:sz="0" w:space="0" w:color="auto"/>
                <w:bottom w:val="none" w:sz="0" w:space="0" w:color="auto"/>
                <w:right w:val="none" w:sz="0" w:space="0" w:color="auto"/>
              </w:divBdr>
            </w:div>
            <w:div w:id="1226377861">
              <w:marLeft w:val="0"/>
              <w:marRight w:val="0"/>
              <w:marTop w:val="0"/>
              <w:marBottom w:val="0"/>
              <w:divBdr>
                <w:top w:val="none" w:sz="0" w:space="0" w:color="auto"/>
                <w:left w:val="none" w:sz="0" w:space="0" w:color="auto"/>
                <w:bottom w:val="none" w:sz="0" w:space="0" w:color="auto"/>
                <w:right w:val="none" w:sz="0" w:space="0" w:color="auto"/>
              </w:divBdr>
            </w:div>
            <w:div w:id="521237813">
              <w:marLeft w:val="0"/>
              <w:marRight w:val="0"/>
              <w:marTop w:val="0"/>
              <w:marBottom w:val="0"/>
              <w:divBdr>
                <w:top w:val="none" w:sz="0" w:space="0" w:color="auto"/>
                <w:left w:val="none" w:sz="0" w:space="0" w:color="auto"/>
                <w:bottom w:val="none" w:sz="0" w:space="0" w:color="auto"/>
                <w:right w:val="none" w:sz="0" w:space="0" w:color="auto"/>
              </w:divBdr>
            </w:div>
            <w:div w:id="410006063">
              <w:marLeft w:val="0"/>
              <w:marRight w:val="0"/>
              <w:marTop w:val="0"/>
              <w:marBottom w:val="0"/>
              <w:divBdr>
                <w:top w:val="none" w:sz="0" w:space="0" w:color="auto"/>
                <w:left w:val="none" w:sz="0" w:space="0" w:color="auto"/>
                <w:bottom w:val="none" w:sz="0" w:space="0" w:color="auto"/>
                <w:right w:val="none" w:sz="0" w:space="0" w:color="auto"/>
              </w:divBdr>
              <w:divsChild>
                <w:div w:id="643437640">
                  <w:marLeft w:val="0"/>
                  <w:marRight w:val="0"/>
                  <w:marTop w:val="0"/>
                  <w:marBottom w:val="0"/>
                  <w:divBdr>
                    <w:top w:val="none" w:sz="0" w:space="0" w:color="auto"/>
                    <w:left w:val="none" w:sz="0" w:space="0" w:color="auto"/>
                    <w:bottom w:val="none" w:sz="0" w:space="0" w:color="auto"/>
                    <w:right w:val="none" w:sz="0" w:space="0" w:color="auto"/>
                  </w:divBdr>
                </w:div>
              </w:divsChild>
            </w:div>
            <w:div w:id="1296564624">
              <w:marLeft w:val="0"/>
              <w:marRight w:val="0"/>
              <w:marTop w:val="0"/>
              <w:marBottom w:val="0"/>
              <w:divBdr>
                <w:top w:val="none" w:sz="0" w:space="0" w:color="auto"/>
                <w:left w:val="none" w:sz="0" w:space="0" w:color="auto"/>
                <w:bottom w:val="none" w:sz="0" w:space="0" w:color="auto"/>
                <w:right w:val="none" w:sz="0" w:space="0" w:color="auto"/>
              </w:divBdr>
            </w:div>
            <w:div w:id="1729718763">
              <w:marLeft w:val="0"/>
              <w:marRight w:val="0"/>
              <w:marTop w:val="0"/>
              <w:marBottom w:val="0"/>
              <w:divBdr>
                <w:top w:val="none" w:sz="0" w:space="0" w:color="auto"/>
                <w:left w:val="none" w:sz="0" w:space="0" w:color="auto"/>
                <w:bottom w:val="none" w:sz="0" w:space="0" w:color="auto"/>
                <w:right w:val="none" w:sz="0" w:space="0" w:color="auto"/>
              </w:divBdr>
              <w:divsChild>
                <w:div w:id="157112825">
                  <w:marLeft w:val="0"/>
                  <w:marRight w:val="0"/>
                  <w:marTop w:val="0"/>
                  <w:marBottom w:val="0"/>
                  <w:divBdr>
                    <w:top w:val="none" w:sz="0" w:space="0" w:color="auto"/>
                    <w:left w:val="none" w:sz="0" w:space="0" w:color="auto"/>
                    <w:bottom w:val="none" w:sz="0" w:space="0" w:color="auto"/>
                    <w:right w:val="none" w:sz="0" w:space="0" w:color="auto"/>
                  </w:divBdr>
                </w:div>
                <w:div w:id="983242236">
                  <w:marLeft w:val="0"/>
                  <w:marRight w:val="0"/>
                  <w:marTop w:val="0"/>
                  <w:marBottom w:val="0"/>
                  <w:divBdr>
                    <w:top w:val="none" w:sz="0" w:space="0" w:color="auto"/>
                    <w:left w:val="none" w:sz="0" w:space="0" w:color="auto"/>
                    <w:bottom w:val="none" w:sz="0" w:space="0" w:color="auto"/>
                    <w:right w:val="none" w:sz="0" w:space="0" w:color="auto"/>
                  </w:divBdr>
                </w:div>
                <w:div w:id="1935701781">
                  <w:marLeft w:val="0"/>
                  <w:marRight w:val="0"/>
                  <w:marTop w:val="0"/>
                  <w:marBottom w:val="0"/>
                  <w:divBdr>
                    <w:top w:val="none" w:sz="0" w:space="0" w:color="auto"/>
                    <w:left w:val="none" w:sz="0" w:space="0" w:color="auto"/>
                    <w:bottom w:val="none" w:sz="0" w:space="0" w:color="auto"/>
                    <w:right w:val="none" w:sz="0" w:space="0" w:color="auto"/>
                  </w:divBdr>
                </w:div>
                <w:div w:id="407312944">
                  <w:marLeft w:val="0"/>
                  <w:marRight w:val="0"/>
                  <w:marTop w:val="0"/>
                  <w:marBottom w:val="0"/>
                  <w:divBdr>
                    <w:top w:val="none" w:sz="0" w:space="0" w:color="auto"/>
                    <w:left w:val="none" w:sz="0" w:space="0" w:color="auto"/>
                    <w:bottom w:val="none" w:sz="0" w:space="0" w:color="auto"/>
                    <w:right w:val="none" w:sz="0" w:space="0" w:color="auto"/>
                  </w:divBdr>
                </w:div>
                <w:div w:id="733891592">
                  <w:marLeft w:val="0"/>
                  <w:marRight w:val="0"/>
                  <w:marTop w:val="0"/>
                  <w:marBottom w:val="0"/>
                  <w:divBdr>
                    <w:top w:val="none" w:sz="0" w:space="0" w:color="auto"/>
                    <w:left w:val="none" w:sz="0" w:space="0" w:color="auto"/>
                    <w:bottom w:val="none" w:sz="0" w:space="0" w:color="auto"/>
                    <w:right w:val="none" w:sz="0" w:space="0" w:color="auto"/>
                  </w:divBdr>
                </w:div>
                <w:div w:id="1884755339">
                  <w:marLeft w:val="0"/>
                  <w:marRight w:val="0"/>
                  <w:marTop w:val="0"/>
                  <w:marBottom w:val="0"/>
                  <w:divBdr>
                    <w:top w:val="none" w:sz="0" w:space="0" w:color="auto"/>
                    <w:left w:val="none" w:sz="0" w:space="0" w:color="auto"/>
                    <w:bottom w:val="none" w:sz="0" w:space="0" w:color="auto"/>
                    <w:right w:val="none" w:sz="0" w:space="0" w:color="auto"/>
                  </w:divBdr>
                </w:div>
                <w:div w:id="143863659">
                  <w:marLeft w:val="0"/>
                  <w:marRight w:val="0"/>
                  <w:marTop w:val="0"/>
                  <w:marBottom w:val="0"/>
                  <w:divBdr>
                    <w:top w:val="none" w:sz="0" w:space="0" w:color="auto"/>
                    <w:left w:val="none" w:sz="0" w:space="0" w:color="auto"/>
                    <w:bottom w:val="none" w:sz="0" w:space="0" w:color="auto"/>
                    <w:right w:val="none" w:sz="0" w:space="0" w:color="auto"/>
                  </w:divBdr>
                </w:div>
                <w:div w:id="732387763">
                  <w:marLeft w:val="0"/>
                  <w:marRight w:val="0"/>
                  <w:marTop w:val="0"/>
                  <w:marBottom w:val="0"/>
                  <w:divBdr>
                    <w:top w:val="none" w:sz="0" w:space="0" w:color="auto"/>
                    <w:left w:val="none" w:sz="0" w:space="0" w:color="auto"/>
                    <w:bottom w:val="none" w:sz="0" w:space="0" w:color="auto"/>
                    <w:right w:val="none" w:sz="0" w:space="0" w:color="auto"/>
                  </w:divBdr>
                </w:div>
                <w:div w:id="955136136">
                  <w:marLeft w:val="0"/>
                  <w:marRight w:val="0"/>
                  <w:marTop w:val="0"/>
                  <w:marBottom w:val="0"/>
                  <w:divBdr>
                    <w:top w:val="none" w:sz="0" w:space="0" w:color="auto"/>
                    <w:left w:val="none" w:sz="0" w:space="0" w:color="auto"/>
                    <w:bottom w:val="none" w:sz="0" w:space="0" w:color="auto"/>
                    <w:right w:val="none" w:sz="0" w:space="0" w:color="auto"/>
                  </w:divBdr>
                </w:div>
                <w:div w:id="1438210692">
                  <w:marLeft w:val="0"/>
                  <w:marRight w:val="0"/>
                  <w:marTop w:val="0"/>
                  <w:marBottom w:val="0"/>
                  <w:divBdr>
                    <w:top w:val="none" w:sz="0" w:space="0" w:color="auto"/>
                    <w:left w:val="none" w:sz="0" w:space="0" w:color="auto"/>
                    <w:bottom w:val="none" w:sz="0" w:space="0" w:color="auto"/>
                    <w:right w:val="none" w:sz="0" w:space="0" w:color="auto"/>
                  </w:divBdr>
                </w:div>
                <w:div w:id="329261769">
                  <w:marLeft w:val="0"/>
                  <w:marRight w:val="0"/>
                  <w:marTop w:val="0"/>
                  <w:marBottom w:val="0"/>
                  <w:divBdr>
                    <w:top w:val="none" w:sz="0" w:space="0" w:color="auto"/>
                    <w:left w:val="none" w:sz="0" w:space="0" w:color="auto"/>
                    <w:bottom w:val="none" w:sz="0" w:space="0" w:color="auto"/>
                    <w:right w:val="none" w:sz="0" w:space="0" w:color="auto"/>
                  </w:divBdr>
                </w:div>
                <w:div w:id="434666866">
                  <w:marLeft w:val="0"/>
                  <w:marRight w:val="0"/>
                  <w:marTop w:val="0"/>
                  <w:marBottom w:val="0"/>
                  <w:divBdr>
                    <w:top w:val="none" w:sz="0" w:space="0" w:color="auto"/>
                    <w:left w:val="none" w:sz="0" w:space="0" w:color="auto"/>
                    <w:bottom w:val="none" w:sz="0" w:space="0" w:color="auto"/>
                    <w:right w:val="none" w:sz="0" w:space="0" w:color="auto"/>
                  </w:divBdr>
                </w:div>
                <w:div w:id="630477953">
                  <w:marLeft w:val="0"/>
                  <w:marRight w:val="0"/>
                  <w:marTop w:val="0"/>
                  <w:marBottom w:val="0"/>
                  <w:divBdr>
                    <w:top w:val="none" w:sz="0" w:space="0" w:color="auto"/>
                    <w:left w:val="none" w:sz="0" w:space="0" w:color="auto"/>
                    <w:bottom w:val="none" w:sz="0" w:space="0" w:color="auto"/>
                    <w:right w:val="none" w:sz="0" w:space="0" w:color="auto"/>
                  </w:divBdr>
                </w:div>
                <w:div w:id="183981790">
                  <w:marLeft w:val="0"/>
                  <w:marRight w:val="0"/>
                  <w:marTop w:val="0"/>
                  <w:marBottom w:val="0"/>
                  <w:divBdr>
                    <w:top w:val="none" w:sz="0" w:space="0" w:color="auto"/>
                    <w:left w:val="none" w:sz="0" w:space="0" w:color="auto"/>
                    <w:bottom w:val="none" w:sz="0" w:space="0" w:color="auto"/>
                    <w:right w:val="none" w:sz="0" w:space="0" w:color="auto"/>
                  </w:divBdr>
                </w:div>
                <w:div w:id="592124953">
                  <w:marLeft w:val="0"/>
                  <w:marRight w:val="0"/>
                  <w:marTop w:val="0"/>
                  <w:marBottom w:val="0"/>
                  <w:divBdr>
                    <w:top w:val="none" w:sz="0" w:space="0" w:color="auto"/>
                    <w:left w:val="none" w:sz="0" w:space="0" w:color="auto"/>
                    <w:bottom w:val="none" w:sz="0" w:space="0" w:color="auto"/>
                    <w:right w:val="none" w:sz="0" w:space="0" w:color="auto"/>
                  </w:divBdr>
                </w:div>
                <w:div w:id="2113043829">
                  <w:marLeft w:val="0"/>
                  <w:marRight w:val="0"/>
                  <w:marTop w:val="0"/>
                  <w:marBottom w:val="0"/>
                  <w:divBdr>
                    <w:top w:val="none" w:sz="0" w:space="0" w:color="auto"/>
                    <w:left w:val="none" w:sz="0" w:space="0" w:color="auto"/>
                    <w:bottom w:val="none" w:sz="0" w:space="0" w:color="auto"/>
                    <w:right w:val="none" w:sz="0" w:space="0" w:color="auto"/>
                  </w:divBdr>
                </w:div>
                <w:div w:id="221798605">
                  <w:marLeft w:val="0"/>
                  <w:marRight w:val="0"/>
                  <w:marTop w:val="0"/>
                  <w:marBottom w:val="0"/>
                  <w:divBdr>
                    <w:top w:val="none" w:sz="0" w:space="0" w:color="auto"/>
                    <w:left w:val="none" w:sz="0" w:space="0" w:color="auto"/>
                    <w:bottom w:val="none" w:sz="0" w:space="0" w:color="auto"/>
                    <w:right w:val="none" w:sz="0" w:space="0" w:color="auto"/>
                  </w:divBdr>
                </w:div>
                <w:div w:id="945502860">
                  <w:marLeft w:val="0"/>
                  <w:marRight w:val="0"/>
                  <w:marTop w:val="0"/>
                  <w:marBottom w:val="0"/>
                  <w:divBdr>
                    <w:top w:val="none" w:sz="0" w:space="0" w:color="auto"/>
                    <w:left w:val="none" w:sz="0" w:space="0" w:color="auto"/>
                    <w:bottom w:val="none" w:sz="0" w:space="0" w:color="auto"/>
                    <w:right w:val="none" w:sz="0" w:space="0" w:color="auto"/>
                  </w:divBdr>
                </w:div>
              </w:divsChild>
            </w:div>
            <w:div w:id="243993174">
              <w:marLeft w:val="0"/>
              <w:marRight w:val="0"/>
              <w:marTop w:val="0"/>
              <w:marBottom w:val="0"/>
              <w:divBdr>
                <w:top w:val="none" w:sz="0" w:space="0" w:color="auto"/>
                <w:left w:val="none" w:sz="0" w:space="0" w:color="auto"/>
                <w:bottom w:val="none" w:sz="0" w:space="0" w:color="auto"/>
                <w:right w:val="none" w:sz="0" w:space="0" w:color="auto"/>
              </w:divBdr>
            </w:div>
            <w:div w:id="2114007307">
              <w:marLeft w:val="0"/>
              <w:marRight w:val="0"/>
              <w:marTop w:val="0"/>
              <w:marBottom w:val="0"/>
              <w:divBdr>
                <w:top w:val="none" w:sz="0" w:space="0" w:color="auto"/>
                <w:left w:val="none" w:sz="0" w:space="0" w:color="auto"/>
                <w:bottom w:val="none" w:sz="0" w:space="0" w:color="auto"/>
                <w:right w:val="none" w:sz="0" w:space="0" w:color="auto"/>
              </w:divBdr>
            </w:div>
            <w:div w:id="333411212">
              <w:marLeft w:val="0"/>
              <w:marRight w:val="0"/>
              <w:marTop w:val="0"/>
              <w:marBottom w:val="0"/>
              <w:divBdr>
                <w:top w:val="none" w:sz="0" w:space="0" w:color="auto"/>
                <w:left w:val="none" w:sz="0" w:space="0" w:color="auto"/>
                <w:bottom w:val="none" w:sz="0" w:space="0" w:color="auto"/>
                <w:right w:val="none" w:sz="0" w:space="0" w:color="auto"/>
              </w:divBdr>
            </w:div>
            <w:div w:id="1630893343">
              <w:marLeft w:val="0"/>
              <w:marRight w:val="0"/>
              <w:marTop w:val="0"/>
              <w:marBottom w:val="0"/>
              <w:divBdr>
                <w:top w:val="none" w:sz="0" w:space="0" w:color="auto"/>
                <w:left w:val="none" w:sz="0" w:space="0" w:color="auto"/>
                <w:bottom w:val="none" w:sz="0" w:space="0" w:color="auto"/>
                <w:right w:val="none" w:sz="0" w:space="0" w:color="auto"/>
              </w:divBdr>
            </w:div>
            <w:div w:id="1125998436">
              <w:marLeft w:val="0"/>
              <w:marRight w:val="0"/>
              <w:marTop w:val="0"/>
              <w:marBottom w:val="0"/>
              <w:divBdr>
                <w:top w:val="none" w:sz="0" w:space="0" w:color="auto"/>
                <w:left w:val="none" w:sz="0" w:space="0" w:color="auto"/>
                <w:bottom w:val="none" w:sz="0" w:space="0" w:color="auto"/>
                <w:right w:val="none" w:sz="0" w:space="0" w:color="auto"/>
              </w:divBdr>
            </w:div>
            <w:div w:id="518857266">
              <w:marLeft w:val="0"/>
              <w:marRight w:val="0"/>
              <w:marTop w:val="0"/>
              <w:marBottom w:val="0"/>
              <w:divBdr>
                <w:top w:val="none" w:sz="0" w:space="0" w:color="auto"/>
                <w:left w:val="none" w:sz="0" w:space="0" w:color="auto"/>
                <w:bottom w:val="none" w:sz="0" w:space="0" w:color="auto"/>
                <w:right w:val="none" w:sz="0" w:space="0" w:color="auto"/>
              </w:divBdr>
            </w:div>
            <w:div w:id="1850868823">
              <w:marLeft w:val="0"/>
              <w:marRight w:val="0"/>
              <w:marTop w:val="0"/>
              <w:marBottom w:val="0"/>
              <w:divBdr>
                <w:top w:val="none" w:sz="0" w:space="0" w:color="auto"/>
                <w:left w:val="none" w:sz="0" w:space="0" w:color="auto"/>
                <w:bottom w:val="none" w:sz="0" w:space="0" w:color="auto"/>
                <w:right w:val="none" w:sz="0" w:space="0" w:color="auto"/>
              </w:divBdr>
            </w:div>
            <w:div w:id="280380469">
              <w:marLeft w:val="0"/>
              <w:marRight w:val="0"/>
              <w:marTop w:val="0"/>
              <w:marBottom w:val="0"/>
              <w:divBdr>
                <w:top w:val="none" w:sz="0" w:space="0" w:color="auto"/>
                <w:left w:val="none" w:sz="0" w:space="0" w:color="auto"/>
                <w:bottom w:val="none" w:sz="0" w:space="0" w:color="auto"/>
                <w:right w:val="none" w:sz="0" w:space="0" w:color="auto"/>
              </w:divBdr>
            </w:div>
            <w:div w:id="52698718">
              <w:marLeft w:val="0"/>
              <w:marRight w:val="0"/>
              <w:marTop w:val="0"/>
              <w:marBottom w:val="0"/>
              <w:divBdr>
                <w:top w:val="none" w:sz="0" w:space="0" w:color="auto"/>
                <w:left w:val="none" w:sz="0" w:space="0" w:color="auto"/>
                <w:bottom w:val="none" w:sz="0" w:space="0" w:color="auto"/>
                <w:right w:val="none" w:sz="0" w:space="0" w:color="auto"/>
              </w:divBdr>
              <w:divsChild>
                <w:div w:id="1356033999">
                  <w:marLeft w:val="0"/>
                  <w:marRight w:val="0"/>
                  <w:marTop w:val="0"/>
                  <w:marBottom w:val="0"/>
                  <w:divBdr>
                    <w:top w:val="none" w:sz="0" w:space="0" w:color="auto"/>
                    <w:left w:val="none" w:sz="0" w:space="0" w:color="auto"/>
                    <w:bottom w:val="none" w:sz="0" w:space="0" w:color="auto"/>
                    <w:right w:val="none" w:sz="0" w:space="0" w:color="auto"/>
                  </w:divBdr>
                </w:div>
              </w:divsChild>
            </w:div>
            <w:div w:id="27950539">
              <w:marLeft w:val="0"/>
              <w:marRight w:val="0"/>
              <w:marTop w:val="0"/>
              <w:marBottom w:val="0"/>
              <w:divBdr>
                <w:top w:val="none" w:sz="0" w:space="0" w:color="auto"/>
                <w:left w:val="none" w:sz="0" w:space="0" w:color="auto"/>
                <w:bottom w:val="none" w:sz="0" w:space="0" w:color="auto"/>
                <w:right w:val="none" w:sz="0" w:space="0" w:color="auto"/>
              </w:divBdr>
            </w:div>
            <w:div w:id="216819208">
              <w:marLeft w:val="0"/>
              <w:marRight w:val="0"/>
              <w:marTop w:val="0"/>
              <w:marBottom w:val="0"/>
              <w:divBdr>
                <w:top w:val="none" w:sz="0" w:space="0" w:color="auto"/>
                <w:left w:val="none" w:sz="0" w:space="0" w:color="auto"/>
                <w:bottom w:val="none" w:sz="0" w:space="0" w:color="auto"/>
                <w:right w:val="none" w:sz="0" w:space="0" w:color="auto"/>
              </w:divBdr>
              <w:divsChild>
                <w:div w:id="2004773178">
                  <w:marLeft w:val="0"/>
                  <w:marRight w:val="0"/>
                  <w:marTop w:val="0"/>
                  <w:marBottom w:val="0"/>
                  <w:divBdr>
                    <w:top w:val="none" w:sz="0" w:space="0" w:color="auto"/>
                    <w:left w:val="none" w:sz="0" w:space="0" w:color="auto"/>
                    <w:bottom w:val="none" w:sz="0" w:space="0" w:color="auto"/>
                    <w:right w:val="none" w:sz="0" w:space="0" w:color="auto"/>
                  </w:divBdr>
                </w:div>
              </w:divsChild>
            </w:div>
            <w:div w:id="1657488318">
              <w:marLeft w:val="0"/>
              <w:marRight w:val="0"/>
              <w:marTop w:val="0"/>
              <w:marBottom w:val="0"/>
              <w:divBdr>
                <w:top w:val="none" w:sz="0" w:space="0" w:color="auto"/>
                <w:left w:val="none" w:sz="0" w:space="0" w:color="auto"/>
                <w:bottom w:val="none" w:sz="0" w:space="0" w:color="auto"/>
                <w:right w:val="none" w:sz="0" w:space="0" w:color="auto"/>
              </w:divBdr>
            </w:div>
            <w:div w:id="1378167314">
              <w:marLeft w:val="0"/>
              <w:marRight w:val="0"/>
              <w:marTop w:val="0"/>
              <w:marBottom w:val="0"/>
              <w:divBdr>
                <w:top w:val="none" w:sz="0" w:space="0" w:color="auto"/>
                <w:left w:val="none" w:sz="0" w:space="0" w:color="auto"/>
                <w:bottom w:val="none" w:sz="0" w:space="0" w:color="auto"/>
                <w:right w:val="none" w:sz="0" w:space="0" w:color="auto"/>
              </w:divBdr>
              <w:divsChild>
                <w:div w:id="1407990477">
                  <w:marLeft w:val="0"/>
                  <w:marRight w:val="0"/>
                  <w:marTop w:val="0"/>
                  <w:marBottom w:val="0"/>
                  <w:divBdr>
                    <w:top w:val="none" w:sz="0" w:space="0" w:color="auto"/>
                    <w:left w:val="none" w:sz="0" w:space="0" w:color="auto"/>
                    <w:bottom w:val="none" w:sz="0" w:space="0" w:color="auto"/>
                    <w:right w:val="none" w:sz="0" w:space="0" w:color="auto"/>
                  </w:divBdr>
                  <w:divsChild>
                    <w:div w:id="150604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7515">
              <w:marLeft w:val="0"/>
              <w:marRight w:val="0"/>
              <w:marTop w:val="0"/>
              <w:marBottom w:val="0"/>
              <w:divBdr>
                <w:top w:val="none" w:sz="0" w:space="0" w:color="auto"/>
                <w:left w:val="none" w:sz="0" w:space="0" w:color="auto"/>
                <w:bottom w:val="none" w:sz="0" w:space="0" w:color="auto"/>
                <w:right w:val="none" w:sz="0" w:space="0" w:color="auto"/>
              </w:divBdr>
            </w:div>
            <w:div w:id="277224850">
              <w:marLeft w:val="0"/>
              <w:marRight w:val="0"/>
              <w:marTop w:val="0"/>
              <w:marBottom w:val="0"/>
              <w:divBdr>
                <w:top w:val="none" w:sz="0" w:space="0" w:color="auto"/>
                <w:left w:val="none" w:sz="0" w:space="0" w:color="auto"/>
                <w:bottom w:val="none" w:sz="0" w:space="0" w:color="auto"/>
                <w:right w:val="none" w:sz="0" w:space="0" w:color="auto"/>
              </w:divBdr>
              <w:divsChild>
                <w:div w:id="545994649">
                  <w:marLeft w:val="0"/>
                  <w:marRight w:val="0"/>
                  <w:marTop w:val="0"/>
                  <w:marBottom w:val="0"/>
                  <w:divBdr>
                    <w:top w:val="none" w:sz="0" w:space="0" w:color="auto"/>
                    <w:left w:val="none" w:sz="0" w:space="0" w:color="auto"/>
                    <w:bottom w:val="none" w:sz="0" w:space="0" w:color="auto"/>
                    <w:right w:val="none" w:sz="0" w:space="0" w:color="auto"/>
                  </w:divBdr>
                  <w:divsChild>
                    <w:div w:id="190506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9767">
              <w:marLeft w:val="0"/>
              <w:marRight w:val="0"/>
              <w:marTop w:val="0"/>
              <w:marBottom w:val="0"/>
              <w:divBdr>
                <w:top w:val="none" w:sz="0" w:space="0" w:color="auto"/>
                <w:left w:val="none" w:sz="0" w:space="0" w:color="auto"/>
                <w:bottom w:val="none" w:sz="0" w:space="0" w:color="auto"/>
                <w:right w:val="none" w:sz="0" w:space="0" w:color="auto"/>
              </w:divBdr>
            </w:div>
            <w:div w:id="1079905408">
              <w:marLeft w:val="0"/>
              <w:marRight w:val="0"/>
              <w:marTop w:val="0"/>
              <w:marBottom w:val="0"/>
              <w:divBdr>
                <w:top w:val="none" w:sz="0" w:space="0" w:color="auto"/>
                <w:left w:val="none" w:sz="0" w:space="0" w:color="auto"/>
                <w:bottom w:val="none" w:sz="0" w:space="0" w:color="auto"/>
                <w:right w:val="none" w:sz="0" w:space="0" w:color="auto"/>
              </w:divBdr>
            </w:div>
            <w:div w:id="158619178">
              <w:marLeft w:val="0"/>
              <w:marRight w:val="0"/>
              <w:marTop w:val="0"/>
              <w:marBottom w:val="0"/>
              <w:divBdr>
                <w:top w:val="none" w:sz="0" w:space="0" w:color="auto"/>
                <w:left w:val="none" w:sz="0" w:space="0" w:color="auto"/>
                <w:bottom w:val="none" w:sz="0" w:space="0" w:color="auto"/>
                <w:right w:val="none" w:sz="0" w:space="0" w:color="auto"/>
              </w:divBdr>
            </w:div>
            <w:div w:id="962153929">
              <w:marLeft w:val="0"/>
              <w:marRight w:val="0"/>
              <w:marTop w:val="0"/>
              <w:marBottom w:val="0"/>
              <w:divBdr>
                <w:top w:val="none" w:sz="0" w:space="0" w:color="auto"/>
                <w:left w:val="none" w:sz="0" w:space="0" w:color="auto"/>
                <w:bottom w:val="none" w:sz="0" w:space="0" w:color="auto"/>
                <w:right w:val="none" w:sz="0" w:space="0" w:color="auto"/>
              </w:divBdr>
            </w:div>
            <w:div w:id="939996492">
              <w:marLeft w:val="0"/>
              <w:marRight w:val="0"/>
              <w:marTop w:val="0"/>
              <w:marBottom w:val="0"/>
              <w:divBdr>
                <w:top w:val="none" w:sz="0" w:space="0" w:color="auto"/>
                <w:left w:val="none" w:sz="0" w:space="0" w:color="auto"/>
                <w:bottom w:val="none" w:sz="0" w:space="0" w:color="auto"/>
                <w:right w:val="none" w:sz="0" w:space="0" w:color="auto"/>
              </w:divBdr>
            </w:div>
            <w:div w:id="1170101319">
              <w:marLeft w:val="0"/>
              <w:marRight w:val="0"/>
              <w:marTop w:val="0"/>
              <w:marBottom w:val="0"/>
              <w:divBdr>
                <w:top w:val="none" w:sz="0" w:space="0" w:color="auto"/>
                <w:left w:val="none" w:sz="0" w:space="0" w:color="auto"/>
                <w:bottom w:val="none" w:sz="0" w:space="0" w:color="auto"/>
                <w:right w:val="none" w:sz="0" w:space="0" w:color="auto"/>
              </w:divBdr>
            </w:div>
            <w:div w:id="98838419">
              <w:marLeft w:val="0"/>
              <w:marRight w:val="0"/>
              <w:marTop w:val="0"/>
              <w:marBottom w:val="0"/>
              <w:divBdr>
                <w:top w:val="none" w:sz="0" w:space="0" w:color="auto"/>
                <w:left w:val="none" w:sz="0" w:space="0" w:color="auto"/>
                <w:bottom w:val="none" w:sz="0" w:space="0" w:color="auto"/>
                <w:right w:val="none" w:sz="0" w:space="0" w:color="auto"/>
              </w:divBdr>
            </w:div>
            <w:div w:id="1127163199">
              <w:marLeft w:val="0"/>
              <w:marRight w:val="0"/>
              <w:marTop w:val="0"/>
              <w:marBottom w:val="0"/>
              <w:divBdr>
                <w:top w:val="none" w:sz="0" w:space="0" w:color="auto"/>
                <w:left w:val="none" w:sz="0" w:space="0" w:color="auto"/>
                <w:bottom w:val="none" w:sz="0" w:space="0" w:color="auto"/>
                <w:right w:val="none" w:sz="0" w:space="0" w:color="auto"/>
              </w:divBdr>
            </w:div>
            <w:div w:id="1741754660">
              <w:marLeft w:val="0"/>
              <w:marRight w:val="0"/>
              <w:marTop w:val="0"/>
              <w:marBottom w:val="0"/>
              <w:divBdr>
                <w:top w:val="none" w:sz="0" w:space="0" w:color="auto"/>
                <w:left w:val="none" w:sz="0" w:space="0" w:color="auto"/>
                <w:bottom w:val="none" w:sz="0" w:space="0" w:color="auto"/>
                <w:right w:val="none" w:sz="0" w:space="0" w:color="auto"/>
              </w:divBdr>
            </w:div>
            <w:div w:id="282853427">
              <w:marLeft w:val="0"/>
              <w:marRight w:val="0"/>
              <w:marTop w:val="0"/>
              <w:marBottom w:val="0"/>
              <w:divBdr>
                <w:top w:val="none" w:sz="0" w:space="0" w:color="auto"/>
                <w:left w:val="none" w:sz="0" w:space="0" w:color="auto"/>
                <w:bottom w:val="none" w:sz="0" w:space="0" w:color="auto"/>
                <w:right w:val="none" w:sz="0" w:space="0" w:color="auto"/>
              </w:divBdr>
            </w:div>
            <w:div w:id="697899993">
              <w:marLeft w:val="0"/>
              <w:marRight w:val="0"/>
              <w:marTop w:val="0"/>
              <w:marBottom w:val="0"/>
              <w:divBdr>
                <w:top w:val="none" w:sz="0" w:space="0" w:color="auto"/>
                <w:left w:val="none" w:sz="0" w:space="0" w:color="auto"/>
                <w:bottom w:val="none" w:sz="0" w:space="0" w:color="auto"/>
                <w:right w:val="none" w:sz="0" w:space="0" w:color="auto"/>
              </w:divBdr>
            </w:div>
            <w:div w:id="1753619545">
              <w:marLeft w:val="0"/>
              <w:marRight w:val="0"/>
              <w:marTop w:val="0"/>
              <w:marBottom w:val="0"/>
              <w:divBdr>
                <w:top w:val="none" w:sz="0" w:space="0" w:color="auto"/>
                <w:left w:val="none" w:sz="0" w:space="0" w:color="auto"/>
                <w:bottom w:val="none" w:sz="0" w:space="0" w:color="auto"/>
                <w:right w:val="none" w:sz="0" w:space="0" w:color="auto"/>
              </w:divBdr>
            </w:div>
            <w:div w:id="339043643">
              <w:marLeft w:val="0"/>
              <w:marRight w:val="0"/>
              <w:marTop w:val="0"/>
              <w:marBottom w:val="0"/>
              <w:divBdr>
                <w:top w:val="none" w:sz="0" w:space="0" w:color="auto"/>
                <w:left w:val="none" w:sz="0" w:space="0" w:color="auto"/>
                <w:bottom w:val="none" w:sz="0" w:space="0" w:color="auto"/>
                <w:right w:val="none" w:sz="0" w:space="0" w:color="auto"/>
              </w:divBdr>
            </w:div>
            <w:div w:id="1019624436">
              <w:marLeft w:val="0"/>
              <w:marRight w:val="0"/>
              <w:marTop w:val="0"/>
              <w:marBottom w:val="0"/>
              <w:divBdr>
                <w:top w:val="none" w:sz="0" w:space="0" w:color="auto"/>
                <w:left w:val="none" w:sz="0" w:space="0" w:color="auto"/>
                <w:bottom w:val="none" w:sz="0" w:space="0" w:color="auto"/>
                <w:right w:val="none" w:sz="0" w:space="0" w:color="auto"/>
              </w:divBdr>
            </w:div>
            <w:div w:id="480468209">
              <w:marLeft w:val="0"/>
              <w:marRight w:val="0"/>
              <w:marTop w:val="0"/>
              <w:marBottom w:val="0"/>
              <w:divBdr>
                <w:top w:val="none" w:sz="0" w:space="0" w:color="auto"/>
                <w:left w:val="none" w:sz="0" w:space="0" w:color="auto"/>
                <w:bottom w:val="none" w:sz="0" w:space="0" w:color="auto"/>
                <w:right w:val="none" w:sz="0" w:space="0" w:color="auto"/>
              </w:divBdr>
            </w:div>
            <w:div w:id="847132681">
              <w:marLeft w:val="0"/>
              <w:marRight w:val="0"/>
              <w:marTop w:val="0"/>
              <w:marBottom w:val="0"/>
              <w:divBdr>
                <w:top w:val="none" w:sz="0" w:space="0" w:color="auto"/>
                <w:left w:val="none" w:sz="0" w:space="0" w:color="auto"/>
                <w:bottom w:val="none" w:sz="0" w:space="0" w:color="auto"/>
                <w:right w:val="none" w:sz="0" w:space="0" w:color="auto"/>
              </w:divBdr>
            </w:div>
            <w:div w:id="844053272">
              <w:marLeft w:val="0"/>
              <w:marRight w:val="0"/>
              <w:marTop w:val="0"/>
              <w:marBottom w:val="0"/>
              <w:divBdr>
                <w:top w:val="none" w:sz="0" w:space="0" w:color="auto"/>
                <w:left w:val="none" w:sz="0" w:space="0" w:color="auto"/>
                <w:bottom w:val="none" w:sz="0" w:space="0" w:color="auto"/>
                <w:right w:val="none" w:sz="0" w:space="0" w:color="auto"/>
              </w:divBdr>
              <w:divsChild>
                <w:div w:id="1328166415">
                  <w:marLeft w:val="0"/>
                  <w:marRight w:val="0"/>
                  <w:marTop w:val="0"/>
                  <w:marBottom w:val="0"/>
                  <w:divBdr>
                    <w:top w:val="none" w:sz="0" w:space="0" w:color="auto"/>
                    <w:left w:val="none" w:sz="0" w:space="0" w:color="auto"/>
                    <w:bottom w:val="none" w:sz="0" w:space="0" w:color="auto"/>
                    <w:right w:val="none" w:sz="0" w:space="0" w:color="auto"/>
                  </w:divBdr>
                </w:div>
                <w:div w:id="144319232">
                  <w:marLeft w:val="0"/>
                  <w:marRight w:val="0"/>
                  <w:marTop w:val="0"/>
                  <w:marBottom w:val="0"/>
                  <w:divBdr>
                    <w:top w:val="none" w:sz="0" w:space="0" w:color="auto"/>
                    <w:left w:val="none" w:sz="0" w:space="0" w:color="auto"/>
                    <w:bottom w:val="none" w:sz="0" w:space="0" w:color="auto"/>
                    <w:right w:val="none" w:sz="0" w:space="0" w:color="auto"/>
                  </w:divBdr>
                </w:div>
                <w:div w:id="1309018495">
                  <w:marLeft w:val="0"/>
                  <w:marRight w:val="0"/>
                  <w:marTop w:val="0"/>
                  <w:marBottom w:val="0"/>
                  <w:divBdr>
                    <w:top w:val="none" w:sz="0" w:space="0" w:color="auto"/>
                    <w:left w:val="none" w:sz="0" w:space="0" w:color="auto"/>
                    <w:bottom w:val="none" w:sz="0" w:space="0" w:color="auto"/>
                    <w:right w:val="none" w:sz="0" w:space="0" w:color="auto"/>
                  </w:divBdr>
                </w:div>
                <w:div w:id="1733432489">
                  <w:marLeft w:val="0"/>
                  <w:marRight w:val="0"/>
                  <w:marTop w:val="0"/>
                  <w:marBottom w:val="0"/>
                  <w:divBdr>
                    <w:top w:val="none" w:sz="0" w:space="0" w:color="auto"/>
                    <w:left w:val="none" w:sz="0" w:space="0" w:color="auto"/>
                    <w:bottom w:val="none" w:sz="0" w:space="0" w:color="auto"/>
                    <w:right w:val="none" w:sz="0" w:space="0" w:color="auto"/>
                  </w:divBdr>
                </w:div>
                <w:div w:id="564801490">
                  <w:marLeft w:val="0"/>
                  <w:marRight w:val="0"/>
                  <w:marTop w:val="0"/>
                  <w:marBottom w:val="0"/>
                  <w:divBdr>
                    <w:top w:val="none" w:sz="0" w:space="0" w:color="auto"/>
                    <w:left w:val="none" w:sz="0" w:space="0" w:color="auto"/>
                    <w:bottom w:val="none" w:sz="0" w:space="0" w:color="auto"/>
                    <w:right w:val="none" w:sz="0" w:space="0" w:color="auto"/>
                  </w:divBdr>
                </w:div>
                <w:div w:id="491026728">
                  <w:marLeft w:val="0"/>
                  <w:marRight w:val="0"/>
                  <w:marTop w:val="0"/>
                  <w:marBottom w:val="0"/>
                  <w:divBdr>
                    <w:top w:val="none" w:sz="0" w:space="0" w:color="auto"/>
                    <w:left w:val="none" w:sz="0" w:space="0" w:color="auto"/>
                    <w:bottom w:val="none" w:sz="0" w:space="0" w:color="auto"/>
                    <w:right w:val="none" w:sz="0" w:space="0" w:color="auto"/>
                  </w:divBdr>
                </w:div>
                <w:div w:id="783352380">
                  <w:marLeft w:val="0"/>
                  <w:marRight w:val="0"/>
                  <w:marTop w:val="0"/>
                  <w:marBottom w:val="0"/>
                  <w:divBdr>
                    <w:top w:val="none" w:sz="0" w:space="0" w:color="auto"/>
                    <w:left w:val="none" w:sz="0" w:space="0" w:color="auto"/>
                    <w:bottom w:val="none" w:sz="0" w:space="0" w:color="auto"/>
                    <w:right w:val="none" w:sz="0" w:space="0" w:color="auto"/>
                  </w:divBdr>
                </w:div>
                <w:div w:id="828523380">
                  <w:marLeft w:val="0"/>
                  <w:marRight w:val="0"/>
                  <w:marTop w:val="0"/>
                  <w:marBottom w:val="0"/>
                  <w:divBdr>
                    <w:top w:val="none" w:sz="0" w:space="0" w:color="auto"/>
                    <w:left w:val="none" w:sz="0" w:space="0" w:color="auto"/>
                    <w:bottom w:val="none" w:sz="0" w:space="0" w:color="auto"/>
                    <w:right w:val="none" w:sz="0" w:space="0" w:color="auto"/>
                  </w:divBdr>
                </w:div>
                <w:div w:id="1328245147">
                  <w:marLeft w:val="0"/>
                  <w:marRight w:val="0"/>
                  <w:marTop w:val="0"/>
                  <w:marBottom w:val="0"/>
                  <w:divBdr>
                    <w:top w:val="none" w:sz="0" w:space="0" w:color="auto"/>
                    <w:left w:val="none" w:sz="0" w:space="0" w:color="auto"/>
                    <w:bottom w:val="none" w:sz="0" w:space="0" w:color="auto"/>
                    <w:right w:val="none" w:sz="0" w:space="0" w:color="auto"/>
                  </w:divBdr>
                </w:div>
                <w:div w:id="134638505">
                  <w:marLeft w:val="0"/>
                  <w:marRight w:val="0"/>
                  <w:marTop w:val="0"/>
                  <w:marBottom w:val="0"/>
                  <w:divBdr>
                    <w:top w:val="none" w:sz="0" w:space="0" w:color="auto"/>
                    <w:left w:val="none" w:sz="0" w:space="0" w:color="auto"/>
                    <w:bottom w:val="none" w:sz="0" w:space="0" w:color="auto"/>
                    <w:right w:val="none" w:sz="0" w:space="0" w:color="auto"/>
                  </w:divBdr>
                </w:div>
              </w:divsChild>
            </w:div>
            <w:div w:id="595092354">
              <w:marLeft w:val="0"/>
              <w:marRight w:val="0"/>
              <w:marTop w:val="0"/>
              <w:marBottom w:val="0"/>
              <w:divBdr>
                <w:top w:val="none" w:sz="0" w:space="0" w:color="auto"/>
                <w:left w:val="none" w:sz="0" w:space="0" w:color="auto"/>
                <w:bottom w:val="none" w:sz="0" w:space="0" w:color="auto"/>
                <w:right w:val="none" w:sz="0" w:space="0" w:color="auto"/>
              </w:divBdr>
            </w:div>
            <w:div w:id="336008045">
              <w:marLeft w:val="0"/>
              <w:marRight w:val="0"/>
              <w:marTop w:val="0"/>
              <w:marBottom w:val="0"/>
              <w:divBdr>
                <w:top w:val="none" w:sz="0" w:space="0" w:color="auto"/>
                <w:left w:val="none" w:sz="0" w:space="0" w:color="auto"/>
                <w:bottom w:val="none" w:sz="0" w:space="0" w:color="auto"/>
                <w:right w:val="none" w:sz="0" w:space="0" w:color="auto"/>
              </w:divBdr>
            </w:div>
            <w:div w:id="1181434716">
              <w:marLeft w:val="0"/>
              <w:marRight w:val="0"/>
              <w:marTop w:val="0"/>
              <w:marBottom w:val="0"/>
              <w:divBdr>
                <w:top w:val="none" w:sz="0" w:space="0" w:color="auto"/>
                <w:left w:val="none" w:sz="0" w:space="0" w:color="auto"/>
                <w:bottom w:val="none" w:sz="0" w:space="0" w:color="auto"/>
                <w:right w:val="none" w:sz="0" w:space="0" w:color="auto"/>
              </w:divBdr>
            </w:div>
            <w:div w:id="1855993436">
              <w:marLeft w:val="0"/>
              <w:marRight w:val="0"/>
              <w:marTop w:val="0"/>
              <w:marBottom w:val="0"/>
              <w:divBdr>
                <w:top w:val="none" w:sz="0" w:space="0" w:color="auto"/>
                <w:left w:val="none" w:sz="0" w:space="0" w:color="auto"/>
                <w:bottom w:val="none" w:sz="0" w:space="0" w:color="auto"/>
                <w:right w:val="none" w:sz="0" w:space="0" w:color="auto"/>
              </w:divBdr>
              <w:divsChild>
                <w:div w:id="734013345">
                  <w:marLeft w:val="0"/>
                  <w:marRight w:val="0"/>
                  <w:marTop w:val="0"/>
                  <w:marBottom w:val="0"/>
                  <w:divBdr>
                    <w:top w:val="none" w:sz="0" w:space="0" w:color="auto"/>
                    <w:left w:val="none" w:sz="0" w:space="0" w:color="auto"/>
                    <w:bottom w:val="none" w:sz="0" w:space="0" w:color="auto"/>
                    <w:right w:val="none" w:sz="0" w:space="0" w:color="auto"/>
                  </w:divBdr>
                  <w:divsChild>
                    <w:div w:id="8394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4307">
              <w:marLeft w:val="0"/>
              <w:marRight w:val="0"/>
              <w:marTop w:val="0"/>
              <w:marBottom w:val="0"/>
              <w:divBdr>
                <w:top w:val="none" w:sz="0" w:space="0" w:color="auto"/>
                <w:left w:val="none" w:sz="0" w:space="0" w:color="auto"/>
                <w:bottom w:val="none" w:sz="0" w:space="0" w:color="auto"/>
                <w:right w:val="none" w:sz="0" w:space="0" w:color="auto"/>
              </w:divBdr>
            </w:div>
            <w:div w:id="749012126">
              <w:marLeft w:val="0"/>
              <w:marRight w:val="0"/>
              <w:marTop w:val="0"/>
              <w:marBottom w:val="0"/>
              <w:divBdr>
                <w:top w:val="none" w:sz="0" w:space="0" w:color="auto"/>
                <w:left w:val="none" w:sz="0" w:space="0" w:color="auto"/>
                <w:bottom w:val="none" w:sz="0" w:space="0" w:color="auto"/>
                <w:right w:val="none" w:sz="0" w:space="0" w:color="auto"/>
              </w:divBdr>
            </w:div>
            <w:div w:id="1020623948">
              <w:marLeft w:val="0"/>
              <w:marRight w:val="0"/>
              <w:marTop w:val="0"/>
              <w:marBottom w:val="0"/>
              <w:divBdr>
                <w:top w:val="none" w:sz="0" w:space="0" w:color="auto"/>
                <w:left w:val="none" w:sz="0" w:space="0" w:color="auto"/>
                <w:bottom w:val="none" w:sz="0" w:space="0" w:color="auto"/>
                <w:right w:val="none" w:sz="0" w:space="0" w:color="auto"/>
              </w:divBdr>
            </w:div>
            <w:div w:id="472718511">
              <w:marLeft w:val="0"/>
              <w:marRight w:val="0"/>
              <w:marTop w:val="0"/>
              <w:marBottom w:val="0"/>
              <w:divBdr>
                <w:top w:val="none" w:sz="0" w:space="0" w:color="auto"/>
                <w:left w:val="none" w:sz="0" w:space="0" w:color="auto"/>
                <w:bottom w:val="none" w:sz="0" w:space="0" w:color="auto"/>
                <w:right w:val="none" w:sz="0" w:space="0" w:color="auto"/>
              </w:divBdr>
            </w:div>
            <w:div w:id="1466313414">
              <w:marLeft w:val="0"/>
              <w:marRight w:val="0"/>
              <w:marTop w:val="0"/>
              <w:marBottom w:val="0"/>
              <w:divBdr>
                <w:top w:val="none" w:sz="0" w:space="0" w:color="auto"/>
                <w:left w:val="none" w:sz="0" w:space="0" w:color="auto"/>
                <w:bottom w:val="none" w:sz="0" w:space="0" w:color="auto"/>
                <w:right w:val="none" w:sz="0" w:space="0" w:color="auto"/>
              </w:divBdr>
              <w:divsChild>
                <w:div w:id="2047101366">
                  <w:marLeft w:val="0"/>
                  <w:marRight w:val="0"/>
                  <w:marTop w:val="0"/>
                  <w:marBottom w:val="0"/>
                  <w:divBdr>
                    <w:top w:val="none" w:sz="0" w:space="0" w:color="auto"/>
                    <w:left w:val="none" w:sz="0" w:space="0" w:color="auto"/>
                    <w:bottom w:val="none" w:sz="0" w:space="0" w:color="auto"/>
                    <w:right w:val="none" w:sz="0" w:space="0" w:color="auto"/>
                  </w:divBdr>
                </w:div>
                <w:div w:id="1777284377">
                  <w:marLeft w:val="0"/>
                  <w:marRight w:val="0"/>
                  <w:marTop w:val="0"/>
                  <w:marBottom w:val="0"/>
                  <w:divBdr>
                    <w:top w:val="none" w:sz="0" w:space="0" w:color="auto"/>
                    <w:left w:val="none" w:sz="0" w:space="0" w:color="auto"/>
                    <w:bottom w:val="none" w:sz="0" w:space="0" w:color="auto"/>
                    <w:right w:val="none" w:sz="0" w:space="0" w:color="auto"/>
                  </w:divBdr>
                </w:div>
                <w:div w:id="373895654">
                  <w:marLeft w:val="0"/>
                  <w:marRight w:val="0"/>
                  <w:marTop w:val="0"/>
                  <w:marBottom w:val="0"/>
                  <w:divBdr>
                    <w:top w:val="none" w:sz="0" w:space="0" w:color="auto"/>
                    <w:left w:val="none" w:sz="0" w:space="0" w:color="auto"/>
                    <w:bottom w:val="none" w:sz="0" w:space="0" w:color="auto"/>
                    <w:right w:val="none" w:sz="0" w:space="0" w:color="auto"/>
                  </w:divBdr>
                </w:div>
                <w:div w:id="1770422153">
                  <w:marLeft w:val="0"/>
                  <w:marRight w:val="0"/>
                  <w:marTop w:val="0"/>
                  <w:marBottom w:val="0"/>
                  <w:divBdr>
                    <w:top w:val="none" w:sz="0" w:space="0" w:color="auto"/>
                    <w:left w:val="none" w:sz="0" w:space="0" w:color="auto"/>
                    <w:bottom w:val="none" w:sz="0" w:space="0" w:color="auto"/>
                    <w:right w:val="none" w:sz="0" w:space="0" w:color="auto"/>
                  </w:divBdr>
                </w:div>
                <w:div w:id="1579973868">
                  <w:marLeft w:val="0"/>
                  <w:marRight w:val="0"/>
                  <w:marTop w:val="0"/>
                  <w:marBottom w:val="0"/>
                  <w:divBdr>
                    <w:top w:val="none" w:sz="0" w:space="0" w:color="auto"/>
                    <w:left w:val="none" w:sz="0" w:space="0" w:color="auto"/>
                    <w:bottom w:val="none" w:sz="0" w:space="0" w:color="auto"/>
                    <w:right w:val="none" w:sz="0" w:space="0" w:color="auto"/>
                  </w:divBdr>
                </w:div>
                <w:div w:id="172838045">
                  <w:marLeft w:val="0"/>
                  <w:marRight w:val="0"/>
                  <w:marTop w:val="0"/>
                  <w:marBottom w:val="0"/>
                  <w:divBdr>
                    <w:top w:val="none" w:sz="0" w:space="0" w:color="auto"/>
                    <w:left w:val="none" w:sz="0" w:space="0" w:color="auto"/>
                    <w:bottom w:val="none" w:sz="0" w:space="0" w:color="auto"/>
                    <w:right w:val="none" w:sz="0" w:space="0" w:color="auto"/>
                  </w:divBdr>
                </w:div>
                <w:div w:id="1287156318">
                  <w:marLeft w:val="0"/>
                  <w:marRight w:val="0"/>
                  <w:marTop w:val="0"/>
                  <w:marBottom w:val="0"/>
                  <w:divBdr>
                    <w:top w:val="none" w:sz="0" w:space="0" w:color="auto"/>
                    <w:left w:val="none" w:sz="0" w:space="0" w:color="auto"/>
                    <w:bottom w:val="none" w:sz="0" w:space="0" w:color="auto"/>
                    <w:right w:val="none" w:sz="0" w:space="0" w:color="auto"/>
                  </w:divBdr>
                </w:div>
                <w:div w:id="995915051">
                  <w:marLeft w:val="0"/>
                  <w:marRight w:val="0"/>
                  <w:marTop w:val="0"/>
                  <w:marBottom w:val="0"/>
                  <w:divBdr>
                    <w:top w:val="none" w:sz="0" w:space="0" w:color="auto"/>
                    <w:left w:val="none" w:sz="0" w:space="0" w:color="auto"/>
                    <w:bottom w:val="none" w:sz="0" w:space="0" w:color="auto"/>
                    <w:right w:val="none" w:sz="0" w:space="0" w:color="auto"/>
                  </w:divBdr>
                </w:div>
                <w:div w:id="456148096">
                  <w:marLeft w:val="0"/>
                  <w:marRight w:val="0"/>
                  <w:marTop w:val="0"/>
                  <w:marBottom w:val="0"/>
                  <w:divBdr>
                    <w:top w:val="none" w:sz="0" w:space="0" w:color="auto"/>
                    <w:left w:val="none" w:sz="0" w:space="0" w:color="auto"/>
                    <w:bottom w:val="none" w:sz="0" w:space="0" w:color="auto"/>
                    <w:right w:val="none" w:sz="0" w:space="0" w:color="auto"/>
                  </w:divBdr>
                </w:div>
                <w:div w:id="2073846608">
                  <w:marLeft w:val="0"/>
                  <w:marRight w:val="0"/>
                  <w:marTop w:val="0"/>
                  <w:marBottom w:val="0"/>
                  <w:divBdr>
                    <w:top w:val="none" w:sz="0" w:space="0" w:color="auto"/>
                    <w:left w:val="none" w:sz="0" w:space="0" w:color="auto"/>
                    <w:bottom w:val="none" w:sz="0" w:space="0" w:color="auto"/>
                    <w:right w:val="none" w:sz="0" w:space="0" w:color="auto"/>
                  </w:divBdr>
                </w:div>
              </w:divsChild>
            </w:div>
            <w:div w:id="97411599">
              <w:marLeft w:val="0"/>
              <w:marRight w:val="0"/>
              <w:marTop w:val="0"/>
              <w:marBottom w:val="0"/>
              <w:divBdr>
                <w:top w:val="none" w:sz="0" w:space="0" w:color="auto"/>
                <w:left w:val="none" w:sz="0" w:space="0" w:color="auto"/>
                <w:bottom w:val="none" w:sz="0" w:space="0" w:color="auto"/>
                <w:right w:val="none" w:sz="0" w:space="0" w:color="auto"/>
              </w:divBdr>
            </w:div>
            <w:div w:id="2070030245">
              <w:marLeft w:val="0"/>
              <w:marRight w:val="0"/>
              <w:marTop w:val="0"/>
              <w:marBottom w:val="0"/>
              <w:divBdr>
                <w:top w:val="none" w:sz="0" w:space="0" w:color="auto"/>
                <w:left w:val="none" w:sz="0" w:space="0" w:color="auto"/>
                <w:bottom w:val="none" w:sz="0" w:space="0" w:color="auto"/>
                <w:right w:val="none" w:sz="0" w:space="0" w:color="auto"/>
              </w:divBdr>
            </w:div>
            <w:div w:id="1802990204">
              <w:marLeft w:val="0"/>
              <w:marRight w:val="0"/>
              <w:marTop w:val="0"/>
              <w:marBottom w:val="0"/>
              <w:divBdr>
                <w:top w:val="none" w:sz="0" w:space="0" w:color="auto"/>
                <w:left w:val="none" w:sz="0" w:space="0" w:color="auto"/>
                <w:bottom w:val="none" w:sz="0" w:space="0" w:color="auto"/>
                <w:right w:val="none" w:sz="0" w:space="0" w:color="auto"/>
              </w:divBdr>
            </w:div>
            <w:div w:id="1636719585">
              <w:marLeft w:val="0"/>
              <w:marRight w:val="0"/>
              <w:marTop w:val="0"/>
              <w:marBottom w:val="0"/>
              <w:divBdr>
                <w:top w:val="none" w:sz="0" w:space="0" w:color="auto"/>
                <w:left w:val="none" w:sz="0" w:space="0" w:color="auto"/>
                <w:bottom w:val="none" w:sz="0" w:space="0" w:color="auto"/>
                <w:right w:val="none" w:sz="0" w:space="0" w:color="auto"/>
              </w:divBdr>
              <w:divsChild>
                <w:div w:id="1006978366">
                  <w:marLeft w:val="0"/>
                  <w:marRight w:val="0"/>
                  <w:marTop w:val="0"/>
                  <w:marBottom w:val="0"/>
                  <w:divBdr>
                    <w:top w:val="none" w:sz="0" w:space="0" w:color="auto"/>
                    <w:left w:val="none" w:sz="0" w:space="0" w:color="auto"/>
                    <w:bottom w:val="none" w:sz="0" w:space="0" w:color="auto"/>
                    <w:right w:val="none" w:sz="0" w:space="0" w:color="auto"/>
                  </w:divBdr>
                </w:div>
                <w:div w:id="2120030872">
                  <w:marLeft w:val="0"/>
                  <w:marRight w:val="0"/>
                  <w:marTop w:val="0"/>
                  <w:marBottom w:val="0"/>
                  <w:divBdr>
                    <w:top w:val="none" w:sz="0" w:space="0" w:color="auto"/>
                    <w:left w:val="none" w:sz="0" w:space="0" w:color="auto"/>
                    <w:bottom w:val="none" w:sz="0" w:space="0" w:color="auto"/>
                    <w:right w:val="none" w:sz="0" w:space="0" w:color="auto"/>
                  </w:divBdr>
                </w:div>
                <w:div w:id="953487966">
                  <w:marLeft w:val="0"/>
                  <w:marRight w:val="0"/>
                  <w:marTop w:val="0"/>
                  <w:marBottom w:val="0"/>
                  <w:divBdr>
                    <w:top w:val="none" w:sz="0" w:space="0" w:color="auto"/>
                    <w:left w:val="none" w:sz="0" w:space="0" w:color="auto"/>
                    <w:bottom w:val="none" w:sz="0" w:space="0" w:color="auto"/>
                    <w:right w:val="none" w:sz="0" w:space="0" w:color="auto"/>
                  </w:divBdr>
                </w:div>
                <w:div w:id="939947981">
                  <w:marLeft w:val="0"/>
                  <w:marRight w:val="0"/>
                  <w:marTop w:val="0"/>
                  <w:marBottom w:val="0"/>
                  <w:divBdr>
                    <w:top w:val="none" w:sz="0" w:space="0" w:color="auto"/>
                    <w:left w:val="none" w:sz="0" w:space="0" w:color="auto"/>
                    <w:bottom w:val="none" w:sz="0" w:space="0" w:color="auto"/>
                    <w:right w:val="none" w:sz="0" w:space="0" w:color="auto"/>
                  </w:divBdr>
                </w:div>
                <w:div w:id="547184687">
                  <w:marLeft w:val="0"/>
                  <w:marRight w:val="0"/>
                  <w:marTop w:val="0"/>
                  <w:marBottom w:val="0"/>
                  <w:divBdr>
                    <w:top w:val="none" w:sz="0" w:space="0" w:color="auto"/>
                    <w:left w:val="none" w:sz="0" w:space="0" w:color="auto"/>
                    <w:bottom w:val="none" w:sz="0" w:space="0" w:color="auto"/>
                    <w:right w:val="none" w:sz="0" w:space="0" w:color="auto"/>
                  </w:divBdr>
                </w:div>
                <w:div w:id="54353366">
                  <w:marLeft w:val="0"/>
                  <w:marRight w:val="0"/>
                  <w:marTop w:val="0"/>
                  <w:marBottom w:val="0"/>
                  <w:divBdr>
                    <w:top w:val="none" w:sz="0" w:space="0" w:color="auto"/>
                    <w:left w:val="none" w:sz="0" w:space="0" w:color="auto"/>
                    <w:bottom w:val="none" w:sz="0" w:space="0" w:color="auto"/>
                    <w:right w:val="none" w:sz="0" w:space="0" w:color="auto"/>
                  </w:divBdr>
                </w:div>
                <w:div w:id="250505349">
                  <w:marLeft w:val="0"/>
                  <w:marRight w:val="0"/>
                  <w:marTop w:val="0"/>
                  <w:marBottom w:val="0"/>
                  <w:divBdr>
                    <w:top w:val="none" w:sz="0" w:space="0" w:color="auto"/>
                    <w:left w:val="none" w:sz="0" w:space="0" w:color="auto"/>
                    <w:bottom w:val="none" w:sz="0" w:space="0" w:color="auto"/>
                    <w:right w:val="none" w:sz="0" w:space="0" w:color="auto"/>
                  </w:divBdr>
                </w:div>
                <w:div w:id="1341010328">
                  <w:marLeft w:val="0"/>
                  <w:marRight w:val="0"/>
                  <w:marTop w:val="0"/>
                  <w:marBottom w:val="0"/>
                  <w:divBdr>
                    <w:top w:val="none" w:sz="0" w:space="0" w:color="auto"/>
                    <w:left w:val="none" w:sz="0" w:space="0" w:color="auto"/>
                    <w:bottom w:val="none" w:sz="0" w:space="0" w:color="auto"/>
                    <w:right w:val="none" w:sz="0" w:space="0" w:color="auto"/>
                  </w:divBdr>
                </w:div>
                <w:div w:id="607011935">
                  <w:marLeft w:val="0"/>
                  <w:marRight w:val="0"/>
                  <w:marTop w:val="0"/>
                  <w:marBottom w:val="0"/>
                  <w:divBdr>
                    <w:top w:val="none" w:sz="0" w:space="0" w:color="auto"/>
                    <w:left w:val="none" w:sz="0" w:space="0" w:color="auto"/>
                    <w:bottom w:val="none" w:sz="0" w:space="0" w:color="auto"/>
                    <w:right w:val="none" w:sz="0" w:space="0" w:color="auto"/>
                  </w:divBdr>
                </w:div>
              </w:divsChild>
            </w:div>
            <w:div w:id="2043355522">
              <w:marLeft w:val="0"/>
              <w:marRight w:val="0"/>
              <w:marTop w:val="0"/>
              <w:marBottom w:val="0"/>
              <w:divBdr>
                <w:top w:val="none" w:sz="0" w:space="0" w:color="auto"/>
                <w:left w:val="none" w:sz="0" w:space="0" w:color="auto"/>
                <w:bottom w:val="none" w:sz="0" w:space="0" w:color="auto"/>
                <w:right w:val="none" w:sz="0" w:space="0" w:color="auto"/>
              </w:divBdr>
            </w:div>
            <w:div w:id="355615872">
              <w:marLeft w:val="0"/>
              <w:marRight w:val="0"/>
              <w:marTop w:val="0"/>
              <w:marBottom w:val="0"/>
              <w:divBdr>
                <w:top w:val="none" w:sz="0" w:space="0" w:color="auto"/>
                <w:left w:val="none" w:sz="0" w:space="0" w:color="auto"/>
                <w:bottom w:val="none" w:sz="0" w:space="0" w:color="auto"/>
                <w:right w:val="none" w:sz="0" w:space="0" w:color="auto"/>
              </w:divBdr>
            </w:div>
            <w:div w:id="1904559534">
              <w:marLeft w:val="0"/>
              <w:marRight w:val="0"/>
              <w:marTop w:val="0"/>
              <w:marBottom w:val="0"/>
              <w:divBdr>
                <w:top w:val="none" w:sz="0" w:space="0" w:color="auto"/>
                <w:left w:val="none" w:sz="0" w:space="0" w:color="auto"/>
                <w:bottom w:val="none" w:sz="0" w:space="0" w:color="auto"/>
                <w:right w:val="none" w:sz="0" w:space="0" w:color="auto"/>
              </w:divBdr>
            </w:div>
            <w:div w:id="1254243877">
              <w:marLeft w:val="0"/>
              <w:marRight w:val="0"/>
              <w:marTop w:val="0"/>
              <w:marBottom w:val="0"/>
              <w:divBdr>
                <w:top w:val="none" w:sz="0" w:space="0" w:color="auto"/>
                <w:left w:val="none" w:sz="0" w:space="0" w:color="auto"/>
                <w:bottom w:val="none" w:sz="0" w:space="0" w:color="auto"/>
                <w:right w:val="none" w:sz="0" w:space="0" w:color="auto"/>
              </w:divBdr>
            </w:div>
            <w:div w:id="101110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935">
      <w:bodyDiv w:val="1"/>
      <w:marLeft w:val="0"/>
      <w:marRight w:val="0"/>
      <w:marTop w:val="0"/>
      <w:marBottom w:val="0"/>
      <w:divBdr>
        <w:top w:val="none" w:sz="0" w:space="0" w:color="auto"/>
        <w:left w:val="none" w:sz="0" w:space="0" w:color="auto"/>
        <w:bottom w:val="none" w:sz="0" w:space="0" w:color="auto"/>
        <w:right w:val="none" w:sz="0" w:space="0" w:color="auto"/>
      </w:divBdr>
    </w:div>
    <w:div w:id="1244339205">
      <w:bodyDiv w:val="1"/>
      <w:marLeft w:val="0"/>
      <w:marRight w:val="0"/>
      <w:marTop w:val="0"/>
      <w:marBottom w:val="0"/>
      <w:divBdr>
        <w:top w:val="none" w:sz="0" w:space="0" w:color="auto"/>
        <w:left w:val="none" w:sz="0" w:space="0" w:color="auto"/>
        <w:bottom w:val="none" w:sz="0" w:space="0" w:color="auto"/>
        <w:right w:val="none" w:sz="0" w:space="0" w:color="auto"/>
      </w:divBdr>
    </w:div>
    <w:div w:id="1353873546">
      <w:bodyDiv w:val="1"/>
      <w:marLeft w:val="0"/>
      <w:marRight w:val="0"/>
      <w:marTop w:val="0"/>
      <w:marBottom w:val="0"/>
      <w:divBdr>
        <w:top w:val="none" w:sz="0" w:space="0" w:color="auto"/>
        <w:left w:val="none" w:sz="0" w:space="0" w:color="auto"/>
        <w:bottom w:val="none" w:sz="0" w:space="0" w:color="auto"/>
        <w:right w:val="none" w:sz="0" w:space="0" w:color="auto"/>
      </w:divBdr>
    </w:div>
    <w:div w:id="1386027663">
      <w:bodyDiv w:val="1"/>
      <w:marLeft w:val="0"/>
      <w:marRight w:val="0"/>
      <w:marTop w:val="0"/>
      <w:marBottom w:val="0"/>
      <w:divBdr>
        <w:top w:val="none" w:sz="0" w:space="0" w:color="auto"/>
        <w:left w:val="none" w:sz="0" w:space="0" w:color="auto"/>
        <w:bottom w:val="none" w:sz="0" w:space="0" w:color="auto"/>
        <w:right w:val="none" w:sz="0" w:space="0" w:color="auto"/>
      </w:divBdr>
    </w:div>
    <w:div w:id="1426463463">
      <w:bodyDiv w:val="1"/>
      <w:marLeft w:val="0"/>
      <w:marRight w:val="0"/>
      <w:marTop w:val="0"/>
      <w:marBottom w:val="0"/>
      <w:divBdr>
        <w:top w:val="none" w:sz="0" w:space="0" w:color="auto"/>
        <w:left w:val="none" w:sz="0" w:space="0" w:color="auto"/>
        <w:bottom w:val="none" w:sz="0" w:space="0" w:color="auto"/>
        <w:right w:val="none" w:sz="0" w:space="0" w:color="auto"/>
      </w:divBdr>
    </w:div>
    <w:div w:id="1997495147">
      <w:bodyDiv w:val="1"/>
      <w:marLeft w:val="0"/>
      <w:marRight w:val="0"/>
      <w:marTop w:val="0"/>
      <w:marBottom w:val="0"/>
      <w:divBdr>
        <w:top w:val="none" w:sz="0" w:space="0" w:color="auto"/>
        <w:left w:val="none" w:sz="0" w:space="0" w:color="auto"/>
        <w:bottom w:val="none" w:sz="0" w:space="0" w:color="auto"/>
        <w:right w:val="none" w:sz="0" w:space="0" w:color="auto"/>
      </w:divBdr>
    </w:div>
    <w:div w:id="1998024289">
      <w:bodyDiv w:val="1"/>
      <w:marLeft w:val="0"/>
      <w:marRight w:val="0"/>
      <w:marTop w:val="0"/>
      <w:marBottom w:val="0"/>
      <w:divBdr>
        <w:top w:val="none" w:sz="0" w:space="0" w:color="auto"/>
        <w:left w:val="none" w:sz="0" w:space="0" w:color="auto"/>
        <w:bottom w:val="none" w:sz="0" w:space="0" w:color="auto"/>
        <w:right w:val="none" w:sz="0" w:space="0" w:color="auto"/>
      </w:divBdr>
    </w:div>
    <w:div w:id="2114086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16</Pages>
  <Words>3188</Words>
  <Characters>18172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kofi</dc:creator>
  <cp:keywords/>
  <dc:description/>
  <cp:lastModifiedBy>i</cp:lastModifiedBy>
  <cp:revision>12</cp:revision>
  <dcterms:created xsi:type="dcterms:W3CDTF">2026-08-12T09:50:00Z</dcterms:created>
  <dcterms:modified xsi:type="dcterms:W3CDTF">2026-10-07T11:22:00Z</dcterms:modified>
</cp:coreProperties>
</file>