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Armas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Hoang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Ciena Barraquias</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 Key Hooks Phase 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Please refer to the video for the bulk of questions for demonstration and explanation. We used the SqlAlchemy session for the “seed” data because it was more convenient and made more sense to populate the table that way.</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Youtube video link:</w:t>
      </w:r>
    </w:p>
    <w:p w:rsidR="00000000" w:rsidDel="00000000" w:rsidP="00000000" w:rsidRDefault="00000000" w:rsidRPr="00000000" w14:paraId="00000008">
      <w:pPr>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https://youtu.be/3kEn731NL8c</w:t>
        </w:r>
      </w:hyperlink>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Table: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0576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0576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Loans Table: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48591"/>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04859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In Use Table:</w:t>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314325</wp:posOffset>
            </wp:positionV>
            <wp:extent cx="7181850" cy="1460581"/>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181850" cy="1460581"/>
                    </a:xfrm>
                    <a:prstGeom prst="rect"/>
                    <a:ln/>
                  </pic:spPr>
                </pic:pic>
              </a:graphicData>
            </a:graphic>
          </wp:anchor>
        </w:drawing>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Returned Table: </w:t>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314325</wp:posOffset>
            </wp:positionV>
            <wp:extent cx="7219950" cy="111379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219950" cy="1113792"/>
                    </a:xfrm>
                    <a:prstGeom prst="rect"/>
                    <a:ln/>
                  </pic:spPr>
                </pic:pic>
              </a:graphicData>
            </a:graphic>
          </wp:anchor>
        </w:drawing>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Key Lost Table:</w:t>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279988</wp:posOffset>
            </wp:positionV>
            <wp:extent cx="7219950" cy="95708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219950" cy="957085"/>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youtu.be/3kEn731NL8c"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