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36CA4D8F" w:rsidR="008B60BC" w:rsidRPr="00DF2544" w:rsidRDefault="005F0F43" w:rsidP="001D1AD7">
      <w:pPr>
        <w:jc w:val="center"/>
        <w:rPr>
          <w:rFonts w:cstheme="minorHAnsi"/>
          <w:b/>
          <w:sz w:val="56"/>
          <w:szCs w:val="48"/>
        </w:rPr>
      </w:pPr>
      <w:r w:rsidRPr="00DF2544">
        <w:rPr>
          <w:rFonts w:cstheme="minorHAnsi"/>
          <w:b/>
          <w:sz w:val="56"/>
          <w:szCs w:val="48"/>
        </w:rPr>
        <w:t>Innovative Contracting</w:t>
      </w:r>
    </w:p>
    <w:p w14:paraId="44B0D104" w14:textId="77777777" w:rsidR="001D1AD7" w:rsidRPr="00DF2544" w:rsidRDefault="001D1AD7" w:rsidP="001D1AD7">
      <w:pPr>
        <w:rPr>
          <w:rFonts w:cstheme="minorHAnsi"/>
          <w:b/>
          <w:sz w:val="32"/>
          <w:szCs w:val="24"/>
        </w:rPr>
      </w:pPr>
      <w:r w:rsidRPr="00DF2544">
        <w:rPr>
          <w:rFonts w:cstheme="minorHAnsi"/>
          <w:b/>
          <w:sz w:val="32"/>
          <w:szCs w:val="24"/>
        </w:rPr>
        <w:t>Quote:</w:t>
      </w:r>
    </w:p>
    <w:p w14:paraId="15FC8C07" w14:textId="77777777" w:rsidR="005F0F43" w:rsidRPr="00DF2544" w:rsidRDefault="005F0F43" w:rsidP="005F0F43">
      <w:pPr>
        <w:pStyle w:val="NormalWeb"/>
        <w:spacing w:before="0" w:beforeAutospacing="0" w:after="0" w:afterAutospacing="0"/>
        <w:rPr>
          <w:rFonts w:asciiTheme="minorHAnsi" w:hAnsiTheme="minorHAnsi" w:cstheme="minorHAnsi"/>
          <w:sz w:val="22"/>
          <w:szCs w:val="22"/>
        </w:rPr>
      </w:pPr>
      <w:r w:rsidRPr="00DF2544">
        <w:rPr>
          <w:rFonts w:asciiTheme="minorHAnsi" w:hAnsiTheme="minorHAnsi" w:cstheme="minorHAnsi"/>
          <w:sz w:val="22"/>
          <w:szCs w:val="22"/>
        </w:rPr>
        <w:t>“Innovations arise when people are given a problem to solve instead of being told to implement a known solution.” [“</w:t>
      </w:r>
      <w:hyperlink r:id="rId5" w:history="1">
        <w:r w:rsidRPr="00DF2544">
          <w:rPr>
            <w:rStyle w:val="Hyperlink"/>
            <w:rFonts w:asciiTheme="minorHAnsi" w:hAnsiTheme="minorHAnsi" w:cstheme="minorHAnsi"/>
            <w:sz w:val="22"/>
            <w:szCs w:val="22"/>
          </w:rPr>
          <w:t>Innovation is a Contract Sport</w:t>
        </w:r>
      </w:hyperlink>
      <w:r w:rsidRPr="00DF2544">
        <w:rPr>
          <w:rFonts w:asciiTheme="minorHAnsi" w:hAnsiTheme="minorHAnsi" w:cstheme="minorHAnsi"/>
          <w:sz w:val="22"/>
          <w:szCs w:val="22"/>
        </w:rPr>
        <w:t>,” Partnership for Public Service, February 6, 2016.]</w:t>
      </w:r>
    </w:p>
    <w:p w14:paraId="1AC62CE2" w14:textId="77777777" w:rsidR="00A42E5F" w:rsidRPr="00DF2544" w:rsidRDefault="00A42E5F" w:rsidP="005B73B5">
      <w:pPr>
        <w:spacing w:after="0" w:line="240" w:lineRule="auto"/>
        <w:rPr>
          <w:rFonts w:cstheme="minorHAnsi"/>
          <w:b/>
          <w:u w:val="single"/>
        </w:rPr>
      </w:pPr>
    </w:p>
    <w:p w14:paraId="79261668" w14:textId="77777777" w:rsidR="00DF2544" w:rsidRPr="00DF2544" w:rsidRDefault="005F0F43" w:rsidP="005F0F43">
      <w:pPr>
        <w:spacing w:after="0" w:line="240" w:lineRule="auto"/>
        <w:rPr>
          <w:rFonts w:eastAsia="Times New Roman" w:cstheme="minorHAnsi"/>
          <w:b/>
          <w:bCs/>
          <w:color w:val="000000"/>
          <w:sz w:val="32"/>
          <w:szCs w:val="32"/>
        </w:rPr>
      </w:pPr>
      <w:r w:rsidRPr="00DF2544">
        <w:rPr>
          <w:rFonts w:eastAsia="Times New Roman" w:cstheme="minorHAnsi"/>
          <w:b/>
          <w:bCs/>
          <w:color w:val="000000"/>
          <w:sz w:val="32"/>
          <w:szCs w:val="32"/>
        </w:rPr>
        <w:t>Intro</w:t>
      </w:r>
      <w:r w:rsidR="00DF2544" w:rsidRPr="00DF2544">
        <w:rPr>
          <w:rFonts w:eastAsia="Times New Roman" w:cstheme="minorHAnsi"/>
          <w:b/>
          <w:bCs/>
          <w:color w:val="000000"/>
          <w:sz w:val="32"/>
          <w:szCs w:val="32"/>
        </w:rPr>
        <w:t>:</w:t>
      </w:r>
    </w:p>
    <w:p w14:paraId="36B4C793" w14:textId="153DA66B" w:rsidR="005F0F43" w:rsidRPr="00DF2544" w:rsidRDefault="005F0F43" w:rsidP="005F0F43">
      <w:pPr>
        <w:spacing w:after="0" w:line="240" w:lineRule="auto"/>
        <w:rPr>
          <w:rFonts w:eastAsia="Times New Roman" w:cstheme="minorHAnsi"/>
          <w:sz w:val="32"/>
          <w:szCs w:val="32"/>
        </w:rPr>
      </w:pPr>
      <w:r w:rsidRPr="00DF2544">
        <w:rPr>
          <w:rFonts w:eastAsia="Times New Roman" w:cstheme="minorHAnsi"/>
          <w:b/>
          <w:bCs/>
          <w:color w:val="000000"/>
          <w:sz w:val="32"/>
          <w:szCs w:val="32"/>
          <w:u w:val="single"/>
        </w:rPr>
        <w:t xml:space="preserve"> </w:t>
      </w:r>
    </w:p>
    <w:p w14:paraId="50591A2F" w14:textId="77777777" w:rsidR="005F0F43" w:rsidRPr="00DF2544" w:rsidRDefault="005F0F43" w:rsidP="005F0F43">
      <w:pPr>
        <w:spacing w:after="0" w:line="240" w:lineRule="auto"/>
        <w:rPr>
          <w:rFonts w:cstheme="minorHAnsi"/>
        </w:rPr>
      </w:pPr>
      <w:r w:rsidRPr="00DF2544">
        <w:rPr>
          <w:rFonts w:eastAsia="Times New Roman" w:cstheme="minorHAnsi"/>
          <w:bCs/>
          <w:color w:val="000000"/>
        </w:rPr>
        <w:t xml:space="preserve">Innovative approaches to contracting can help agencies maximize value while minimizing their spending.   There are a variety of </w:t>
      </w:r>
      <w:r w:rsidRPr="00DF2544">
        <w:rPr>
          <w:rFonts w:cstheme="minorHAnsi"/>
        </w:rPr>
        <w:t xml:space="preserve">newer, easier, more effective acquisition models and processes that can be used under existing regulations and authorities. What they share in common is an emphasis on buying what works and paying only for successful outcomes.  </w:t>
      </w:r>
    </w:p>
    <w:p w14:paraId="054E575E" w14:textId="77777777" w:rsidR="005F0F43" w:rsidRPr="00DF2544" w:rsidRDefault="005F0F43" w:rsidP="005F0F43">
      <w:pPr>
        <w:spacing w:after="0" w:line="240" w:lineRule="auto"/>
        <w:rPr>
          <w:rFonts w:cstheme="minorHAnsi"/>
        </w:rPr>
      </w:pPr>
    </w:p>
    <w:p w14:paraId="297A5FE8" w14:textId="77777777" w:rsidR="005F0F43" w:rsidRPr="00DF2544" w:rsidRDefault="005F0F43" w:rsidP="005F0F43">
      <w:pPr>
        <w:spacing w:after="0" w:line="240" w:lineRule="auto"/>
        <w:rPr>
          <w:rFonts w:cstheme="minorHAnsi"/>
        </w:rPr>
      </w:pPr>
      <w:r w:rsidRPr="00DF2544">
        <w:rPr>
          <w:rFonts w:cstheme="minorHAnsi"/>
        </w:rPr>
        <w:t>Whether used for digital services or physical products, “innovative acquisitions” encompass a variety of procurement approaches that mitigate risk while delivering required outcomes.  [“</w:t>
      </w:r>
      <w:hyperlink r:id="rId6" w:history="1">
        <w:r w:rsidRPr="00DF2544">
          <w:rPr>
            <w:rStyle w:val="Hyperlink"/>
            <w:rFonts w:cstheme="minorHAnsi"/>
          </w:rPr>
          <w:t>Buyer’s Club: Modernizing IT Acquisition by Testing New Methods</w:t>
        </w:r>
      </w:hyperlink>
      <w:r w:rsidRPr="00DF2544">
        <w:rPr>
          <w:rStyle w:val="CommentReference"/>
          <w:rFonts w:cstheme="minorHAnsi"/>
        </w:rPr>
        <w:t xml:space="preserve">,” </w:t>
      </w:r>
      <w:r w:rsidRPr="00DF2544">
        <w:rPr>
          <w:rFonts w:cstheme="minorHAnsi"/>
        </w:rPr>
        <w:t xml:space="preserve">Department of Health and Human Services IDEA Lab, 2016.] These approaches improve the likelihood of on-time or early delivery of contracts, increase end user satisfaction, and can reduce the total cost of ownership.  Common features of the innovative acquisition methods profiled here include early and frequent collaboration between acquisition and end-user stakeholders and the use of agile, iterative, modular implementation methods.  </w:t>
      </w:r>
    </w:p>
    <w:p w14:paraId="56BE07F1" w14:textId="77777777" w:rsidR="005F0F43" w:rsidRPr="00DF2544" w:rsidRDefault="005F0F43" w:rsidP="005F0F43">
      <w:pPr>
        <w:spacing w:after="0" w:line="240" w:lineRule="auto"/>
        <w:rPr>
          <w:rFonts w:cstheme="minorHAnsi"/>
        </w:rPr>
      </w:pPr>
    </w:p>
    <w:p w14:paraId="53439F63" w14:textId="77777777" w:rsidR="005F0F43" w:rsidRPr="00DF2544" w:rsidRDefault="005F0F43" w:rsidP="005F0F43">
      <w:pPr>
        <w:spacing w:after="0" w:line="240" w:lineRule="auto"/>
        <w:rPr>
          <w:rFonts w:cstheme="minorHAnsi"/>
        </w:rPr>
      </w:pPr>
      <w:r w:rsidRPr="00DF2544">
        <w:rPr>
          <w:rFonts w:cstheme="minorHAnsi"/>
        </w:rPr>
        <w:t xml:space="preserve">Current authorities in the Federal Acquisition Regulation (FAR) provide a variety of innovative contracting models that can reduce transaction costs and increase access to innovative contractors while still operating within the confines of existing law and regulation. Other authorities, including Other Transaction Authority and America COMPETES Act, provide additional alternatives.  </w:t>
      </w:r>
      <w:r w:rsidRPr="00DF2544">
        <w:rPr>
          <w:rFonts w:cstheme="minorHAnsi"/>
          <w:highlight w:val="lightGray"/>
        </w:rPr>
        <w:t>[[Crosslink authorities to authority section below]]</w:t>
      </w:r>
    </w:p>
    <w:p w14:paraId="644675F3" w14:textId="77777777" w:rsidR="005F0F43" w:rsidRPr="00DF2544" w:rsidRDefault="005F0F43" w:rsidP="005F0F43">
      <w:pPr>
        <w:spacing w:after="0" w:line="240" w:lineRule="auto"/>
        <w:rPr>
          <w:rFonts w:cstheme="minorHAnsi"/>
          <w:color w:val="ED7D31" w:themeColor="accent2"/>
        </w:rPr>
      </w:pPr>
    </w:p>
    <w:p w14:paraId="7E27D513" w14:textId="5A05FA39" w:rsidR="005F0F43" w:rsidRPr="00DF2544" w:rsidRDefault="005F0F43" w:rsidP="005F0F43">
      <w:pPr>
        <w:spacing w:after="0" w:line="240" w:lineRule="auto"/>
        <w:rPr>
          <w:rFonts w:eastAsia="Times New Roman" w:cstheme="minorHAnsi"/>
          <w:b/>
          <w:bCs/>
          <w:color w:val="000000"/>
          <w:sz w:val="32"/>
          <w:szCs w:val="32"/>
        </w:rPr>
      </w:pPr>
      <w:r w:rsidRPr="00DF2544">
        <w:rPr>
          <w:rFonts w:eastAsia="Times New Roman" w:cstheme="minorHAnsi"/>
          <w:b/>
          <w:bCs/>
          <w:color w:val="000000"/>
          <w:sz w:val="32"/>
          <w:szCs w:val="32"/>
        </w:rPr>
        <w:t>Why</w:t>
      </w:r>
      <w:r w:rsidR="00DF2544" w:rsidRPr="00DF2544">
        <w:rPr>
          <w:rFonts w:eastAsia="Times New Roman" w:cstheme="minorHAnsi"/>
          <w:b/>
          <w:bCs/>
          <w:color w:val="000000"/>
          <w:sz w:val="32"/>
          <w:szCs w:val="32"/>
        </w:rPr>
        <w:t>:</w:t>
      </w:r>
    </w:p>
    <w:p w14:paraId="325D47DB" w14:textId="77777777" w:rsidR="00DF2544" w:rsidRPr="00DF2544" w:rsidRDefault="00DF2544" w:rsidP="005F0F43">
      <w:pPr>
        <w:spacing w:after="0" w:line="240" w:lineRule="auto"/>
        <w:rPr>
          <w:rFonts w:eastAsia="Times New Roman" w:cstheme="minorHAnsi"/>
        </w:rPr>
      </w:pPr>
    </w:p>
    <w:p w14:paraId="59262606" w14:textId="77777777" w:rsidR="005F0F43" w:rsidRPr="00DF2544" w:rsidRDefault="005F0F43" w:rsidP="005F0F43">
      <w:pPr>
        <w:spacing w:after="0" w:line="240" w:lineRule="auto"/>
        <w:rPr>
          <w:rFonts w:cstheme="minorHAnsi"/>
          <w:shd w:val="clear" w:color="auto" w:fill="FFFFFF"/>
        </w:rPr>
      </w:pPr>
      <w:r w:rsidRPr="00DF2544">
        <w:rPr>
          <w:rFonts w:eastAsia="Times New Roman" w:cstheme="minorHAnsi"/>
          <w:bCs/>
          <w:color w:val="000000"/>
        </w:rPr>
        <w:t>In FY2016, the Federal government spent $462 billion on acquisitions crucial to achieving agency missions.  [“</w:t>
      </w:r>
      <w:hyperlink r:id="rId7" w:history="1">
        <w:r w:rsidRPr="00DF2544">
          <w:rPr>
            <w:rStyle w:val="Hyperlink"/>
            <w:rFonts w:eastAsia="Times New Roman" w:cstheme="minorHAnsi"/>
          </w:rPr>
          <w:t>Overview of Awards by Fiscal Year</w:t>
        </w:r>
      </w:hyperlink>
      <w:r w:rsidRPr="00DF2544">
        <w:rPr>
          <w:rFonts w:eastAsia="Times New Roman" w:cstheme="minorHAnsi"/>
          <w:bCs/>
          <w:color w:val="000000"/>
        </w:rPr>
        <w:t>,”</w:t>
      </w:r>
      <w:r w:rsidRPr="00DF2544">
        <w:rPr>
          <w:rFonts w:eastAsia="Times New Roman" w:cstheme="minorHAnsi"/>
          <w:bCs/>
        </w:rPr>
        <w:t xml:space="preserve"> USASpending.gov, 2017.</w:t>
      </w:r>
      <w:r w:rsidRPr="00DF2544">
        <w:rPr>
          <w:rFonts w:eastAsia="Times New Roman" w:cstheme="minorHAnsi"/>
          <w:bCs/>
          <w:color w:val="000000"/>
        </w:rPr>
        <w:t xml:space="preserve">] </w:t>
      </w:r>
      <w:r w:rsidRPr="00DF2544">
        <w:rPr>
          <w:rFonts w:cstheme="minorHAnsi"/>
        </w:rPr>
        <w:t>As budgetary constraints continue to reduce available resources, there is a heightened need to expand the use of innovative procurement practices that ensure Federal agencies pay only for successful results, not just best efforts.</w:t>
      </w:r>
      <w:r w:rsidRPr="00DF2544">
        <w:rPr>
          <w:rFonts w:cstheme="minorHAnsi"/>
          <w:color w:val="ED7D31" w:themeColor="accent2"/>
        </w:rPr>
        <w:t xml:space="preserve"> </w:t>
      </w:r>
      <w:r w:rsidRPr="00DF2544">
        <w:rPr>
          <w:rFonts w:cstheme="minorHAnsi"/>
        </w:rPr>
        <w:t>[Kalil, T., and Field, L., “</w:t>
      </w:r>
      <w:hyperlink r:id="rId8" w:history="1">
        <w:r w:rsidRPr="00DF2544">
          <w:rPr>
            <w:rStyle w:val="Hyperlink"/>
            <w:rFonts w:cstheme="minorHAnsi"/>
          </w:rPr>
          <w:t>Buying What Works: Case Studies in Innovative Contracting,”</w:t>
        </w:r>
      </w:hyperlink>
      <w:r w:rsidRPr="00DF2544">
        <w:rPr>
          <w:rFonts w:cstheme="minorHAnsi"/>
        </w:rPr>
        <w:t xml:space="preserve"> White House, August 21</w:t>
      </w:r>
      <w:r w:rsidRPr="00DF2544">
        <w:rPr>
          <w:rFonts w:cstheme="minorHAnsi"/>
          <w:vertAlign w:val="superscript"/>
        </w:rPr>
        <w:t>st</w:t>
      </w:r>
      <w:r w:rsidRPr="00DF2544">
        <w:rPr>
          <w:rFonts w:cstheme="minorHAnsi"/>
        </w:rPr>
        <w:t xml:space="preserve">, 2014.]  </w:t>
      </w:r>
      <w:r w:rsidRPr="00DF2544">
        <w:rPr>
          <w:rFonts w:cstheme="minorHAnsi"/>
          <w:shd w:val="clear" w:color="auto" w:fill="FFFFFF"/>
        </w:rPr>
        <w:t>Innovative strategies are needed to achieve greater efficiency and better value for the American public from our Federal contracts, including more technologies developed by commercial firms and start-ups. [Smith, M. and Kalil, T., “</w:t>
      </w:r>
      <w:hyperlink r:id="rId9" w:history="1">
        <w:r w:rsidRPr="00DF2544">
          <w:rPr>
            <w:rStyle w:val="Hyperlink"/>
            <w:rFonts w:cstheme="minorHAnsi"/>
            <w:shd w:val="clear" w:color="auto" w:fill="FFFFFF"/>
          </w:rPr>
          <w:t>Expanding the Pentagon’s Silicon Valley Office</w:t>
        </w:r>
      </w:hyperlink>
      <w:r w:rsidRPr="00DF2544">
        <w:rPr>
          <w:rFonts w:cstheme="minorHAnsi"/>
          <w:shd w:val="clear" w:color="auto" w:fill="FFFFFF"/>
        </w:rPr>
        <w:t>,” White House blog post, May 20, 2016.]</w:t>
      </w:r>
    </w:p>
    <w:p w14:paraId="278D9237" w14:textId="77777777" w:rsidR="005F0F43" w:rsidRPr="00DF2544" w:rsidRDefault="005F0F43" w:rsidP="005F0F43">
      <w:pPr>
        <w:spacing w:after="0" w:line="240" w:lineRule="auto"/>
        <w:rPr>
          <w:rFonts w:cstheme="minorHAnsi"/>
        </w:rPr>
      </w:pPr>
    </w:p>
    <w:p w14:paraId="7D2F203E" w14:textId="69AAE90E" w:rsidR="005F0F43" w:rsidRPr="00DF2544" w:rsidRDefault="005F0F43" w:rsidP="005F0F43">
      <w:pPr>
        <w:spacing w:after="0" w:line="240" w:lineRule="auto"/>
        <w:rPr>
          <w:rFonts w:eastAsia="Times New Roman" w:cstheme="minorHAnsi"/>
          <w:b/>
          <w:bCs/>
          <w:color w:val="000000"/>
          <w:sz w:val="32"/>
          <w:szCs w:val="32"/>
        </w:rPr>
      </w:pPr>
      <w:r w:rsidRPr="00DF2544">
        <w:rPr>
          <w:rFonts w:eastAsia="Times New Roman" w:cstheme="minorHAnsi"/>
          <w:b/>
          <w:bCs/>
          <w:color w:val="000000"/>
          <w:sz w:val="32"/>
          <w:szCs w:val="32"/>
        </w:rPr>
        <w:t>How</w:t>
      </w:r>
      <w:r w:rsidR="00DF2544" w:rsidRPr="00DF2544">
        <w:rPr>
          <w:rFonts w:eastAsia="Times New Roman" w:cstheme="minorHAnsi"/>
          <w:b/>
          <w:bCs/>
          <w:color w:val="000000"/>
          <w:sz w:val="32"/>
          <w:szCs w:val="32"/>
        </w:rPr>
        <w:t>:</w:t>
      </w:r>
    </w:p>
    <w:p w14:paraId="1575F7AA" w14:textId="77777777" w:rsidR="00DF2544" w:rsidRPr="00DF2544" w:rsidRDefault="00DF2544" w:rsidP="005F0F43">
      <w:pPr>
        <w:spacing w:after="0" w:line="240" w:lineRule="auto"/>
        <w:rPr>
          <w:rFonts w:eastAsia="Times New Roman" w:cstheme="minorHAnsi"/>
        </w:rPr>
      </w:pPr>
    </w:p>
    <w:p w14:paraId="13F4E9AE" w14:textId="77777777" w:rsidR="005F0F43" w:rsidRPr="00DF2544" w:rsidRDefault="005F0F43" w:rsidP="005F0F43">
      <w:pPr>
        <w:spacing w:after="0" w:line="240" w:lineRule="auto"/>
        <w:rPr>
          <w:rFonts w:eastAsia="Times New Roman" w:cstheme="minorHAnsi"/>
        </w:rPr>
      </w:pPr>
      <w:r w:rsidRPr="00DF2544">
        <w:rPr>
          <w:rFonts w:eastAsia="Times New Roman" w:cstheme="minorHAnsi"/>
        </w:rPr>
        <w:t xml:space="preserve">Each of the innovative contracting approaches detailed here share in common an emphasis on stimulating demand in the marketplace for new solutions.  As “demand pull” mechanisms, they offer </w:t>
      </w:r>
      <w:r w:rsidRPr="00DF2544">
        <w:rPr>
          <w:rFonts w:eastAsia="Times New Roman" w:cstheme="minorHAnsi"/>
        </w:rPr>
        <w:lastRenderedPageBreak/>
        <w:t>agencies the ability to discover, prove, and scale novel solutions and more impactful outcomes.  These approaches include:</w:t>
      </w:r>
    </w:p>
    <w:p w14:paraId="35B57521" w14:textId="77777777" w:rsidR="005F0F43" w:rsidRPr="00DF2544" w:rsidRDefault="005F0F43" w:rsidP="005F0F43">
      <w:pPr>
        <w:spacing w:after="0" w:line="240" w:lineRule="auto"/>
        <w:rPr>
          <w:rFonts w:eastAsia="Times New Roman" w:cstheme="minorHAnsi"/>
        </w:rPr>
      </w:pPr>
    </w:p>
    <w:p w14:paraId="0D5B4051" w14:textId="77777777" w:rsidR="005F0F43" w:rsidRPr="00DF2544" w:rsidRDefault="005F0F43" w:rsidP="005F0F43">
      <w:pPr>
        <w:numPr>
          <w:ilvl w:val="0"/>
          <w:numId w:val="30"/>
        </w:numPr>
        <w:spacing w:after="0" w:line="240" w:lineRule="auto"/>
        <w:ind w:left="540"/>
        <w:textAlignment w:val="center"/>
        <w:rPr>
          <w:rFonts w:cstheme="minorHAnsi"/>
        </w:rPr>
      </w:pPr>
      <w:r w:rsidRPr="00DF2544">
        <w:rPr>
          <w:rFonts w:cstheme="minorHAnsi"/>
          <w:b/>
          <w:bCs/>
        </w:rPr>
        <w:t xml:space="preserve">Rapid technology prototyping </w:t>
      </w:r>
      <w:r w:rsidRPr="00DF2544">
        <w:rPr>
          <w:rFonts w:cstheme="minorHAnsi"/>
        </w:rPr>
        <w:t>to rapidly and inexpensively try out new technologies</w:t>
      </w:r>
    </w:p>
    <w:p w14:paraId="00BF284A" w14:textId="77777777" w:rsidR="005F0F43" w:rsidRPr="00DF2544" w:rsidRDefault="005F0F43" w:rsidP="005F0F43">
      <w:pPr>
        <w:numPr>
          <w:ilvl w:val="0"/>
          <w:numId w:val="31"/>
        </w:numPr>
        <w:spacing w:after="0" w:line="240" w:lineRule="auto"/>
        <w:ind w:left="540"/>
        <w:textAlignment w:val="center"/>
        <w:rPr>
          <w:rFonts w:cstheme="minorHAnsi"/>
        </w:rPr>
      </w:pPr>
      <w:r w:rsidRPr="00DF2544">
        <w:rPr>
          <w:rFonts w:cstheme="minorHAnsi"/>
          <w:b/>
          <w:bCs/>
        </w:rPr>
        <w:t>Staged contracts</w:t>
      </w:r>
      <w:r w:rsidRPr="00DF2544">
        <w:rPr>
          <w:rFonts w:cstheme="minorHAnsi"/>
        </w:rPr>
        <w:t xml:space="preserve"> to solicit proposals and quickly assess them</w:t>
      </w:r>
    </w:p>
    <w:p w14:paraId="40794F96" w14:textId="77777777" w:rsidR="005F0F43" w:rsidRPr="00DF2544" w:rsidRDefault="005F0F43" w:rsidP="005F0F43">
      <w:pPr>
        <w:numPr>
          <w:ilvl w:val="0"/>
          <w:numId w:val="32"/>
        </w:numPr>
        <w:spacing w:after="0" w:line="240" w:lineRule="auto"/>
        <w:ind w:left="540"/>
        <w:textAlignment w:val="center"/>
        <w:rPr>
          <w:rFonts w:cstheme="minorHAnsi"/>
        </w:rPr>
      </w:pPr>
      <w:r w:rsidRPr="00DF2544">
        <w:rPr>
          <w:rFonts w:cstheme="minorHAnsi"/>
          <w:b/>
          <w:bCs/>
        </w:rPr>
        <w:t>Competitive milestone-based payments</w:t>
      </w:r>
      <w:r w:rsidRPr="00DF2544">
        <w:rPr>
          <w:rFonts w:cstheme="minorHAnsi"/>
        </w:rPr>
        <w:t xml:space="preserve"> to attract new solutions to well-defined, multi-component problems.  </w:t>
      </w:r>
    </w:p>
    <w:p w14:paraId="08EF09E2" w14:textId="77777777" w:rsidR="005F0F43" w:rsidRPr="00DF2544" w:rsidRDefault="005F0F43" w:rsidP="005F0F43">
      <w:pPr>
        <w:numPr>
          <w:ilvl w:val="0"/>
          <w:numId w:val="33"/>
        </w:numPr>
        <w:spacing w:after="0" w:line="240" w:lineRule="auto"/>
        <w:ind w:left="540"/>
        <w:textAlignment w:val="center"/>
        <w:rPr>
          <w:rFonts w:cstheme="minorHAnsi"/>
        </w:rPr>
      </w:pPr>
      <w:r w:rsidRPr="00DF2544">
        <w:rPr>
          <w:rFonts w:cstheme="minorHAnsi"/>
          <w:b/>
          <w:bCs/>
        </w:rPr>
        <w:t>Incentive prizes</w:t>
      </w:r>
      <w:r w:rsidRPr="00DF2544">
        <w:rPr>
          <w:rFonts w:cstheme="minorHAnsi"/>
        </w:rPr>
        <w:t xml:space="preserve"> to source solutions from citizen solvers</w:t>
      </w:r>
    </w:p>
    <w:p w14:paraId="555AE09E" w14:textId="77777777" w:rsidR="005F0F43" w:rsidRPr="00DF2544" w:rsidRDefault="005F0F43" w:rsidP="005F0F43">
      <w:pPr>
        <w:numPr>
          <w:ilvl w:val="0"/>
          <w:numId w:val="33"/>
        </w:numPr>
        <w:spacing w:after="0" w:line="240" w:lineRule="auto"/>
        <w:ind w:left="540"/>
        <w:textAlignment w:val="center"/>
        <w:rPr>
          <w:rFonts w:cstheme="minorHAnsi"/>
        </w:rPr>
      </w:pPr>
      <w:r w:rsidRPr="00DF2544">
        <w:rPr>
          <w:rFonts w:cstheme="minorHAnsi"/>
          <w:b/>
          <w:bCs/>
        </w:rPr>
        <w:t xml:space="preserve">Challenge-based acquisitions </w:t>
      </w:r>
      <w:r w:rsidRPr="00DF2544">
        <w:rPr>
          <w:rFonts w:cstheme="minorHAnsi"/>
        </w:rPr>
        <w:t>to break the entry barrier for new actors, especially startups</w:t>
      </w:r>
    </w:p>
    <w:p w14:paraId="1A67EC1C" w14:textId="77777777" w:rsidR="005F0F43" w:rsidRPr="00DF2544" w:rsidRDefault="005F0F43" w:rsidP="005F0F43">
      <w:pPr>
        <w:numPr>
          <w:ilvl w:val="0"/>
          <w:numId w:val="34"/>
        </w:numPr>
        <w:spacing w:after="0" w:line="240" w:lineRule="auto"/>
        <w:ind w:left="540"/>
        <w:textAlignment w:val="center"/>
        <w:rPr>
          <w:rFonts w:cstheme="minorHAnsi"/>
        </w:rPr>
      </w:pPr>
      <w:r w:rsidRPr="00DF2544">
        <w:rPr>
          <w:rFonts w:cstheme="minorHAnsi"/>
          <w:b/>
          <w:bCs/>
        </w:rPr>
        <w:t>Non-binding purchase agreements</w:t>
      </w:r>
      <w:r w:rsidRPr="00DF2544">
        <w:rPr>
          <w:rFonts w:cstheme="minorHAnsi"/>
        </w:rPr>
        <w:t xml:space="preserve"> to collaborate with industry and incentivize new solutions, without firmly committing</w:t>
      </w:r>
    </w:p>
    <w:p w14:paraId="1FD9B86E" w14:textId="77777777" w:rsidR="005F0F43" w:rsidRPr="00DF2544" w:rsidRDefault="005F0F43" w:rsidP="005F0F43">
      <w:pPr>
        <w:numPr>
          <w:ilvl w:val="0"/>
          <w:numId w:val="35"/>
        </w:numPr>
        <w:spacing w:after="0" w:line="240" w:lineRule="auto"/>
        <w:ind w:left="540"/>
        <w:textAlignment w:val="center"/>
        <w:rPr>
          <w:rFonts w:cstheme="minorHAnsi"/>
        </w:rPr>
      </w:pPr>
      <w:r w:rsidRPr="00DF2544">
        <w:rPr>
          <w:rFonts w:cstheme="minorHAnsi"/>
          <w:b/>
          <w:bCs/>
        </w:rPr>
        <w:t>Advance market commitments</w:t>
      </w:r>
      <w:r w:rsidRPr="00DF2544">
        <w:rPr>
          <w:rFonts w:cstheme="minorHAnsi"/>
        </w:rPr>
        <w:t xml:space="preserve"> to create new markets and commit to long-term pricing for purchases</w:t>
      </w:r>
    </w:p>
    <w:p w14:paraId="7E8507A8" w14:textId="77777777" w:rsidR="005F0F43" w:rsidRPr="00DF2544" w:rsidRDefault="005F0F43" w:rsidP="005F0F43">
      <w:pPr>
        <w:spacing w:after="0" w:line="240" w:lineRule="auto"/>
        <w:ind w:left="540"/>
        <w:textAlignment w:val="center"/>
        <w:rPr>
          <w:rFonts w:cstheme="minorHAnsi"/>
        </w:rPr>
      </w:pPr>
    </w:p>
    <w:p w14:paraId="5083C4F8" w14:textId="77777777" w:rsidR="005F0F43" w:rsidRPr="00DF2544" w:rsidRDefault="005F0F43" w:rsidP="005F0F43">
      <w:pPr>
        <w:spacing w:after="0" w:line="240" w:lineRule="auto"/>
        <w:rPr>
          <w:rFonts w:eastAsia="Times New Roman" w:cstheme="minorHAnsi"/>
        </w:rPr>
      </w:pPr>
      <w:r w:rsidRPr="00DF2544">
        <w:rPr>
          <w:rFonts w:cstheme="minorHAnsi"/>
        </w:rPr>
        <w:t>More broadly, e</w:t>
      </w:r>
      <w:r w:rsidRPr="00DF2544">
        <w:rPr>
          <w:rFonts w:eastAsia="Times New Roman" w:cstheme="minorHAnsi"/>
        </w:rPr>
        <w:t xml:space="preserve">ach agency can consider how to create pathways to encourage and allow the workforce to test and adopt new and better ways of doing business as promising ideas present themselves, either in the government or the commercial marketplace.  With the dedicated support of an acquisition innovation advocate and an acquisition lab, or similar mechanism, to support this pathway, the government’s collective bandwidth to produce better results can be significantly increased.  </w:t>
      </w:r>
      <w:r w:rsidRPr="00DF2544">
        <w:rPr>
          <w:rFonts w:cstheme="minorHAnsi"/>
        </w:rPr>
        <w:t>[Rung, A. and Scott, T., “</w:t>
      </w:r>
      <w:hyperlink r:id="rId10" w:history="1">
        <w:r w:rsidRPr="00DF2544">
          <w:rPr>
            <w:rStyle w:val="Hyperlink"/>
            <w:rFonts w:cstheme="minorHAnsi"/>
          </w:rPr>
          <w:t>Memorandum to Chief Acquisition Officers, Senior Procurement Executives, Chief Information Officers on Acquisition Innovation Labs &amp; Pilot for Digital Acquisition Innovation Lab</w:t>
        </w:r>
      </w:hyperlink>
      <w:r w:rsidRPr="00DF2544">
        <w:rPr>
          <w:rFonts w:cstheme="minorHAnsi"/>
        </w:rPr>
        <w:t>,” Office of Management and Budget, March 9</w:t>
      </w:r>
      <w:r w:rsidRPr="00DF2544">
        <w:rPr>
          <w:rFonts w:cstheme="minorHAnsi"/>
          <w:vertAlign w:val="superscript"/>
        </w:rPr>
        <w:t>th</w:t>
      </w:r>
      <w:r w:rsidRPr="00DF2544">
        <w:rPr>
          <w:rFonts w:cstheme="minorHAnsi"/>
        </w:rPr>
        <w:t>, 2016.]</w:t>
      </w:r>
    </w:p>
    <w:p w14:paraId="7E17C125" w14:textId="77777777" w:rsidR="00DF2544" w:rsidRDefault="00DF2544" w:rsidP="000C2C1E">
      <w:pPr>
        <w:rPr>
          <w:rFonts w:cstheme="minorHAnsi"/>
          <w:b/>
        </w:rPr>
      </w:pPr>
    </w:p>
    <w:p w14:paraId="6678AFDE" w14:textId="25245684" w:rsidR="005B73B5" w:rsidRPr="00DF2544" w:rsidRDefault="002D4CDD" w:rsidP="000C2C1E">
      <w:pPr>
        <w:rPr>
          <w:rFonts w:cstheme="minorHAnsi"/>
          <w:b/>
          <w:sz w:val="24"/>
          <w:szCs w:val="24"/>
        </w:rPr>
      </w:pPr>
      <w:r w:rsidRPr="00DF2544">
        <w:rPr>
          <w:rFonts w:cstheme="minorHAnsi"/>
          <w:b/>
          <w:sz w:val="32"/>
          <w:szCs w:val="24"/>
        </w:rPr>
        <w:t>Case S</w:t>
      </w:r>
      <w:r w:rsidRPr="00DF2544">
        <w:rPr>
          <w:rFonts w:cstheme="minorHAnsi"/>
          <w:b/>
          <w:sz w:val="32"/>
          <w:szCs w:val="32"/>
        </w:rPr>
        <w:t>tudy</w:t>
      </w:r>
      <w:r w:rsidR="005B73B5" w:rsidRPr="00DF2544">
        <w:rPr>
          <w:rFonts w:cstheme="minorHAnsi"/>
          <w:b/>
          <w:sz w:val="32"/>
          <w:szCs w:val="32"/>
        </w:rPr>
        <w:t>:</w:t>
      </w:r>
      <w:r w:rsidR="005B73B5" w:rsidRPr="00DF2544">
        <w:rPr>
          <w:rFonts w:cstheme="minorHAnsi"/>
          <w:b/>
          <w:sz w:val="36"/>
          <w:szCs w:val="24"/>
        </w:rPr>
        <w:t xml:space="preserve"> </w:t>
      </w:r>
    </w:p>
    <w:p w14:paraId="19182C6D" w14:textId="6BA9B008" w:rsidR="000C2C1E" w:rsidRPr="00DF2544" w:rsidRDefault="000C2C1E" w:rsidP="000C2C1E">
      <w:pPr>
        <w:rPr>
          <w:rFonts w:cstheme="minorHAnsi"/>
        </w:rPr>
      </w:pPr>
      <w:r w:rsidRPr="00DF2544">
        <w:rPr>
          <w:rFonts w:cstheme="minorHAnsi"/>
          <w:b/>
          <w:sz w:val="24"/>
          <w:szCs w:val="24"/>
          <w:highlight w:val="yellow"/>
        </w:rPr>
        <w:t>[N/A – INCOMPLETE]</w:t>
      </w:r>
    </w:p>
    <w:p w14:paraId="00CE2B83" w14:textId="77777777" w:rsidR="00FD484F" w:rsidRDefault="00FD484F" w:rsidP="00FD484F">
      <w:pPr>
        <w:spacing w:before="240"/>
        <w:rPr>
          <w:b/>
          <w:sz w:val="32"/>
          <w:szCs w:val="24"/>
          <w:highlight w:val="yellow"/>
        </w:rPr>
      </w:pPr>
      <w:r>
        <w:rPr>
          <w:b/>
          <w:sz w:val="32"/>
          <w:szCs w:val="24"/>
          <w:highlight w:val="yellow"/>
        </w:rPr>
        <w:t>Next Steps/Checklist:</w:t>
      </w:r>
    </w:p>
    <w:p w14:paraId="0067F1AC" w14:textId="77777777" w:rsidR="00FD484F" w:rsidRDefault="00FD484F" w:rsidP="00FD484F">
      <w:pPr>
        <w:rPr>
          <w:b/>
          <w:sz w:val="32"/>
          <w:szCs w:val="24"/>
          <w:highlight w:val="yellow"/>
        </w:rPr>
      </w:pPr>
      <w:r>
        <w:rPr>
          <w:b/>
          <w:sz w:val="32"/>
          <w:szCs w:val="24"/>
          <w:highlight w:val="yellow"/>
        </w:rPr>
        <w:t>Relevant Policies:</w:t>
      </w:r>
    </w:p>
    <w:p w14:paraId="2EAF05FD" w14:textId="77777777" w:rsidR="00FD484F" w:rsidRDefault="00FD484F" w:rsidP="00FD484F">
      <w:pPr>
        <w:rPr>
          <w:b/>
          <w:sz w:val="32"/>
          <w:szCs w:val="24"/>
        </w:rPr>
      </w:pPr>
      <w:r>
        <w:rPr>
          <w:b/>
          <w:sz w:val="32"/>
          <w:szCs w:val="24"/>
          <w:highlight w:val="yellow"/>
        </w:rPr>
        <w:t>Additional Resources:</w:t>
      </w:r>
    </w:p>
    <w:p w14:paraId="4794093C" w14:textId="579AE92A" w:rsidR="001D1AD7" w:rsidRPr="00DF2544" w:rsidRDefault="001D1AD7" w:rsidP="005B73B5">
      <w:pPr>
        <w:rPr>
          <w:rFonts w:cstheme="minorHAnsi"/>
          <w:sz w:val="32"/>
          <w:szCs w:val="24"/>
        </w:rPr>
      </w:pPr>
      <w:bookmarkStart w:id="0" w:name="_GoBack"/>
      <w:bookmarkEnd w:id="0"/>
    </w:p>
    <w:sectPr w:rsidR="001D1AD7" w:rsidRPr="00DF2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0F1542FC"/>
    <w:multiLevelType w:val="multilevel"/>
    <w:tmpl w:val="DFE2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3" w15:restartNumberingAfterBreak="0">
    <w:nsid w:val="14181CAB"/>
    <w:multiLevelType w:val="multilevel"/>
    <w:tmpl w:val="161C7932"/>
    <w:lvl w:ilvl="0">
      <w:start w:val="1"/>
      <w:numFmt w:val="bullet"/>
      <w:lvlText w:val="●"/>
      <w:lvlJc w:val="left"/>
      <w:pPr>
        <w:ind w:left="720" w:firstLine="3960"/>
      </w:pPr>
      <w:rPr>
        <w:rFonts w:ascii="Arial" w:eastAsia="Arial" w:hAnsi="Arial" w:cs="Arial"/>
        <w:color w:val="000000"/>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4" w15:restartNumberingAfterBreak="0">
    <w:nsid w:val="14E9624D"/>
    <w:multiLevelType w:val="multilevel"/>
    <w:tmpl w:val="ED5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D36FE"/>
    <w:multiLevelType w:val="multilevel"/>
    <w:tmpl w:val="F0489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6D2307E"/>
    <w:multiLevelType w:val="hybridMultilevel"/>
    <w:tmpl w:val="6B00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269BA"/>
    <w:multiLevelType w:val="multilevel"/>
    <w:tmpl w:val="A52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3564D6"/>
    <w:multiLevelType w:val="multilevel"/>
    <w:tmpl w:val="40EE61A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9"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0" w15:restartNumberingAfterBreak="0">
    <w:nsid w:val="22B10A76"/>
    <w:multiLevelType w:val="multilevel"/>
    <w:tmpl w:val="07966C98"/>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23AE093E"/>
    <w:multiLevelType w:val="multilevel"/>
    <w:tmpl w:val="8D3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27B577FC"/>
    <w:multiLevelType w:val="multilevel"/>
    <w:tmpl w:val="BF2CA88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38252EE2"/>
    <w:multiLevelType w:val="multilevel"/>
    <w:tmpl w:val="B53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8"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20" w15:restartNumberingAfterBreak="0">
    <w:nsid w:val="47152B93"/>
    <w:multiLevelType w:val="hybridMultilevel"/>
    <w:tmpl w:val="E7E2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63906"/>
    <w:multiLevelType w:val="multilevel"/>
    <w:tmpl w:val="B8A294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4FE71763"/>
    <w:multiLevelType w:val="hybridMultilevel"/>
    <w:tmpl w:val="DB64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40CFA"/>
    <w:multiLevelType w:val="multilevel"/>
    <w:tmpl w:val="F048A9A2"/>
    <w:lvl w:ilvl="0">
      <w:start w:val="1"/>
      <w:numFmt w:val="bullet"/>
      <w:lvlText w:val="●"/>
      <w:lvlJc w:val="left"/>
      <w:pPr>
        <w:ind w:left="720" w:firstLine="468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24"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5" w15:restartNumberingAfterBreak="0">
    <w:nsid w:val="533C5925"/>
    <w:multiLevelType w:val="multilevel"/>
    <w:tmpl w:val="4F7494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6" w15:restartNumberingAfterBreak="0">
    <w:nsid w:val="5ADE308C"/>
    <w:multiLevelType w:val="multilevel"/>
    <w:tmpl w:val="5F36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FD576A"/>
    <w:multiLevelType w:val="multilevel"/>
    <w:tmpl w:val="A306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C35606"/>
    <w:multiLevelType w:val="multilevel"/>
    <w:tmpl w:val="E37A82D4"/>
    <w:lvl w:ilvl="0">
      <w:start w:val="1"/>
      <w:numFmt w:val="bullet"/>
      <w:lvlText w:val="●"/>
      <w:lvlJc w:val="left"/>
      <w:pPr>
        <w:ind w:left="720" w:firstLine="5400"/>
      </w:pPr>
      <w:rPr>
        <w:rFonts w:ascii="Arial" w:eastAsia="Arial" w:hAnsi="Arial" w:cs="Arial"/>
        <w:color w:val="333333"/>
        <w:sz w:val="20"/>
        <w:szCs w:val="20"/>
        <w:u w:val="none"/>
      </w:rPr>
    </w:lvl>
    <w:lvl w:ilvl="1">
      <w:start w:val="1"/>
      <w:numFmt w:val="bullet"/>
      <w:lvlText w:val="○"/>
      <w:lvlJc w:val="left"/>
      <w:pPr>
        <w:ind w:left="1440" w:firstLine="11160"/>
      </w:pPr>
      <w:rPr>
        <w:rFonts w:ascii="Arial" w:eastAsia="Arial" w:hAnsi="Arial" w:cs="Arial"/>
        <w:u w:val="none"/>
      </w:rPr>
    </w:lvl>
    <w:lvl w:ilvl="2">
      <w:start w:val="1"/>
      <w:numFmt w:val="bullet"/>
      <w:lvlText w:val="■"/>
      <w:lvlJc w:val="left"/>
      <w:pPr>
        <w:ind w:left="2160" w:firstLine="16920"/>
      </w:pPr>
      <w:rPr>
        <w:rFonts w:ascii="Arial" w:eastAsia="Arial" w:hAnsi="Arial" w:cs="Arial"/>
        <w:u w:val="none"/>
      </w:rPr>
    </w:lvl>
    <w:lvl w:ilvl="3">
      <w:start w:val="1"/>
      <w:numFmt w:val="bullet"/>
      <w:lvlText w:val="●"/>
      <w:lvlJc w:val="left"/>
      <w:pPr>
        <w:ind w:left="2880" w:firstLine="22680"/>
      </w:pPr>
      <w:rPr>
        <w:rFonts w:ascii="Arial" w:eastAsia="Arial" w:hAnsi="Arial" w:cs="Arial"/>
        <w:u w:val="none"/>
      </w:rPr>
    </w:lvl>
    <w:lvl w:ilvl="4">
      <w:start w:val="1"/>
      <w:numFmt w:val="bullet"/>
      <w:lvlText w:val="○"/>
      <w:lvlJc w:val="left"/>
      <w:pPr>
        <w:ind w:left="3600" w:firstLine="28440"/>
      </w:pPr>
      <w:rPr>
        <w:rFonts w:ascii="Arial" w:eastAsia="Arial" w:hAnsi="Arial" w:cs="Arial"/>
        <w:u w:val="none"/>
      </w:rPr>
    </w:lvl>
    <w:lvl w:ilvl="5">
      <w:start w:val="1"/>
      <w:numFmt w:val="bullet"/>
      <w:lvlText w:val="■"/>
      <w:lvlJc w:val="left"/>
      <w:pPr>
        <w:ind w:left="4320" w:hanging="31336"/>
      </w:pPr>
      <w:rPr>
        <w:rFonts w:ascii="Arial" w:eastAsia="Arial" w:hAnsi="Arial" w:cs="Arial"/>
        <w:u w:val="none"/>
      </w:rPr>
    </w:lvl>
    <w:lvl w:ilvl="6">
      <w:start w:val="1"/>
      <w:numFmt w:val="bullet"/>
      <w:lvlText w:val="●"/>
      <w:lvlJc w:val="left"/>
      <w:pPr>
        <w:ind w:left="5040" w:hanging="25576"/>
      </w:pPr>
      <w:rPr>
        <w:rFonts w:ascii="Arial" w:eastAsia="Arial" w:hAnsi="Arial" w:cs="Arial"/>
        <w:u w:val="none"/>
      </w:rPr>
    </w:lvl>
    <w:lvl w:ilvl="7">
      <w:start w:val="1"/>
      <w:numFmt w:val="bullet"/>
      <w:lvlText w:val="○"/>
      <w:lvlJc w:val="left"/>
      <w:pPr>
        <w:ind w:left="5760" w:hanging="19816"/>
      </w:pPr>
      <w:rPr>
        <w:rFonts w:ascii="Arial" w:eastAsia="Arial" w:hAnsi="Arial" w:cs="Arial"/>
        <w:u w:val="none"/>
      </w:rPr>
    </w:lvl>
    <w:lvl w:ilvl="8">
      <w:start w:val="1"/>
      <w:numFmt w:val="bullet"/>
      <w:lvlText w:val="■"/>
      <w:lvlJc w:val="left"/>
      <w:pPr>
        <w:ind w:left="6480" w:hanging="14056"/>
      </w:pPr>
      <w:rPr>
        <w:rFonts w:ascii="Arial" w:eastAsia="Arial" w:hAnsi="Arial" w:cs="Arial"/>
        <w:u w:val="none"/>
      </w:rPr>
    </w:lvl>
  </w:abstractNum>
  <w:abstractNum w:abstractNumId="29"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15:restartNumberingAfterBreak="0">
    <w:nsid w:val="667A33AC"/>
    <w:multiLevelType w:val="multilevel"/>
    <w:tmpl w:val="159A2E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2"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3" w15:restartNumberingAfterBreak="0">
    <w:nsid w:val="71824EA4"/>
    <w:multiLevelType w:val="multilevel"/>
    <w:tmpl w:val="650A9888"/>
    <w:lvl w:ilvl="0">
      <w:start w:val="1"/>
      <w:numFmt w:val="bullet"/>
      <w:lvlText w:val=""/>
      <w:lvlJc w:val="left"/>
      <w:pPr>
        <w:ind w:left="720" w:firstLine="360"/>
      </w:pPr>
      <w:rPr>
        <w:rFonts w:ascii="Arial" w:eastAsia="Arial" w:hAnsi="Arial" w:cs="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40D6EB5"/>
    <w:multiLevelType w:val="multilevel"/>
    <w:tmpl w:val="B3625D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9"/>
  </w:num>
  <w:num w:numId="2">
    <w:abstractNumId w:val="0"/>
  </w:num>
  <w:num w:numId="3">
    <w:abstractNumId w:val="9"/>
  </w:num>
  <w:num w:numId="4">
    <w:abstractNumId w:val="18"/>
  </w:num>
  <w:num w:numId="5">
    <w:abstractNumId w:val="2"/>
  </w:num>
  <w:num w:numId="6">
    <w:abstractNumId w:val="29"/>
  </w:num>
  <w:num w:numId="7">
    <w:abstractNumId w:val="14"/>
  </w:num>
  <w:num w:numId="8">
    <w:abstractNumId w:val="11"/>
  </w:num>
  <w:num w:numId="9">
    <w:abstractNumId w:val="32"/>
  </w:num>
  <w:num w:numId="10">
    <w:abstractNumId w:val="12"/>
  </w:num>
  <w:num w:numId="11">
    <w:abstractNumId w:val="31"/>
  </w:num>
  <w:num w:numId="12">
    <w:abstractNumId w:val="17"/>
  </w:num>
  <w:num w:numId="13">
    <w:abstractNumId w:val="24"/>
  </w:num>
  <w:num w:numId="14">
    <w:abstractNumId w:val="6"/>
  </w:num>
  <w:num w:numId="15">
    <w:abstractNumId w:val="22"/>
  </w:num>
  <w:num w:numId="16">
    <w:abstractNumId w:val="33"/>
  </w:num>
  <w:num w:numId="17">
    <w:abstractNumId w:val="5"/>
  </w:num>
  <w:num w:numId="18">
    <w:abstractNumId w:val="23"/>
  </w:num>
  <w:num w:numId="19">
    <w:abstractNumId w:val="28"/>
  </w:num>
  <w:num w:numId="20">
    <w:abstractNumId w:val="8"/>
  </w:num>
  <w:num w:numId="21">
    <w:abstractNumId w:val="3"/>
  </w:num>
  <w:num w:numId="22">
    <w:abstractNumId w:val="34"/>
  </w:num>
  <w:num w:numId="23">
    <w:abstractNumId w:val="27"/>
  </w:num>
  <w:num w:numId="24">
    <w:abstractNumId w:val="20"/>
  </w:num>
  <w:num w:numId="25">
    <w:abstractNumId w:val="15"/>
  </w:num>
  <w:num w:numId="26">
    <w:abstractNumId w:val="21"/>
  </w:num>
  <w:num w:numId="27">
    <w:abstractNumId w:val="10"/>
  </w:num>
  <w:num w:numId="28">
    <w:abstractNumId w:val="30"/>
  </w:num>
  <w:num w:numId="29">
    <w:abstractNumId w:val="25"/>
  </w:num>
  <w:num w:numId="30">
    <w:abstractNumId w:val="26"/>
  </w:num>
  <w:num w:numId="31">
    <w:abstractNumId w:val="13"/>
  </w:num>
  <w:num w:numId="32">
    <w:abstractNumId w:val="7"/>
  </w:num>
  <w:num w:numId="33">
    <w:abstractNumId w:val="4"/>
  </w:num>
  <w:num w:numId="34">
    <w:abstractNumId w:val="16"/>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0C2C1E"/>
    <w:rsid w:val="00103AE0"/>
    <w:rsid w:val="001D1AD7"/>
    <w:rsid w:val="002D4CDD"/>
    <w:rsid w:val="005B73B5"/>
    <w:rsid w:val="005F0F43"/>
    <w:rsid w:val="006E772E"/>
    <w:rsid w:val="00783702"/>
    <w:rsid w:val="007C48D8"/>
    <w:rsid w:val="009B5A3C"/>
    <w:rsid w:val="00A42E5F"/>
    <w:rsid w:val="00A76261"/>
    <w:rsid w:val="00A77BF3"/>
    <w:rsid w:val="00C63751"/>
    <w:rsid w:val="00CC09A0"/>
    <w:rsid w:val="00DF2544"/>
    <w:rsid w:val="00E80866"/>
    <w:rsid w:val="00FD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2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7B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7BF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A42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42E5F"/>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locked/>
    <w:rsid w:val="00A42E5F"/>
    <w:rPr>
      <w:rFonts w:ascii="Arial" w:eastAsia="Arial" w:hAnsi="Arial" w:cs="Arial"/>
      <w:color w:val="000000"/>
    </w:rPr>
  </w:style>
  <w:style w:type="paragraph" w:styleId="NormalWeb">
    <w:name w:val="Normal (Web)"/>
    <w:basedOn w:val="Normal"/>
    <w:uiPriority w:val="99"/>
    <w:unhideWhenUsed/>
    <w:rsid w:val="005F0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11820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blog/2014/08/21/buying-what-works-case-studies-innovative-contracting-0" TargetMode="External"/><Relationship Id="rId3" Type="http://schemas.openxmlformats.org/officeDocument/2006/relationships/settings" Target="settings.xml"/><Relationship Id="rId7" Type="http://schemas.openxmlformats.org/officeDocument/2006/relationships/hyperlink" Target="https://www.usaspending.gov/transparency/Pages/OverviewOfAward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hs.gov/idealab/buyers-club/" TargetMode="External"/><Relationship Id="rId11" Type="http://schemas.openxmlformats.org/officeDocument/2006/relationships/fontTable" Target="fontTable.xml"/><Relationship Id="rId5" Type="http://schemas.openxmlformats.org/officeDocument/2006/relationships/hyperlink" Target="https://ourpublicservice.org/publications/viewcontentdetails.php?id=918" TargetMode="External"/><Relationship Id="rId10" Type="http://schemas.openxmlformats.org/officeDocument/2006/relationships/hyperlink" Target="https://www.whitehouse.gov/sites/default/files/omb/procurement/memo/acquisition-innovation-labs-and-pilot-for-digital-acquisition-innovation-lab-memorandum.pdf" TargetMode="External"/><Relationship Id="rId4" Type="http://schemas.openxmlformats.org/officeDocument/2006/relationships/webSettings" Target="webSettings.xml"/><Relationship Id="rId9" Type="http://schemas.openxmlformats.org/officeDocument/2006/relationships/hyperlink" Target="https://obamawhitehouse.archives.gov/blog/2016/05/19/expanding-pentagons-silicon-valley-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5</cp:revision>
  <dcterms:created xsi:type="dcterms:W3CDTF">2017-07-31T20:15:00Z</dcterms:created>
  <dcterms:modified xsi:type="dcterms:W3CDTF">2017-08-16T14:00:00Z</dcterms:modified>
</cp:coreProperties>
</file>