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color w:val="0000ff"/>
          <w:rtl w:val="0"/>
        </w:rPr>
        <w:t xml:space="preserve">Given the provided data, what are three conclusions that we can draw about crowdfunding campaigns?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June and July have the highest number of successful campaigns with 55 and 58 respectively.</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The data shows that crowdfunding campaigns are launched consistently throughout the year, with the 'Grand Total' for each month ranging from 73 to 94. This suggests that there isn't a specific "peak season" for crowdfunding, and creators launch campaigns in every month.</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This suggests that creative and artistic projects like theater, films, and music are the most popular categories for crowdfunding.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What are some limitations of this dataset?</w:t>
      </w:r>
    </w:p>
    <w:p w:rsidR="00000000" w:rsidDel="00000000" w:rsidP="00000000" w:rsidRDefault="00000000" w:rsidRPr="00000000" w14:paraId="00000007">
      <w:pPr>
        <w:ind w:firstLine="720"/>
        <w:rPr/>
      </w:pPr>
      <w:r w:rsidDel="00000000" w:rsidR="00000000" w:rsidRPr="00000000">
        <w:rPr>
          <w:rtl w:val="0"/>
        </w:rPr>
        <w:t xml:space="preserve">The dataset gives an overview of crowdfunding campaigns across various sectors. However, it misses key details like funding goals, campaign duration, and geographic specifics. The lack of contextual data, such as marketing strategies and campaign quality, limits understanding. Timeframes are unclear, outcomes are overly simplified, and the represented categories might not capture the full crowdfunding landscape. Additionally, potential biases, like the data's source platform and its completeness, raise concerns. The dataset's general nature restricts a detailed analysis.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color w:val="0000ff"/>
          <w:rtl w:val="0"/>
        </w:rPr>
        <w:t xml:space="preserve">What are some other possible tables and/or graphs that we could create, and what additional value would they provide?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Visualizations can amplify our understanding of the crowdfunding dataset. Pie or bar charts can highlight popular campaign categories, while stacked charts show success rates. Time series graphs might track multi-year trends, and histograms could reveal typical campaign durations. Scatter plots can compare funding goals with actual amounts raised, and heatmaps may indicate monthly success patterns. Bar charts can depict average funds by category, and box plots or radar charts offer insights into funds distribution and category performance. Top campaigns can be spotlighted based on metrics, guiding decisions for campaign creators and platform operators.</w:t>
      </w:r>
    </w:p>
    <w:p w:rsidR="00000000" w:rsidDel="00000000" w:rsidP="00000000" w:rsidRDefault="00000000" w:rsidRPr="00000000" w14:paraId="0000000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