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organisation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colours: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colour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the populated McKellar-Sipes example; the output parses as KML and carries four folders, thirty-five placemarks, eight polygons and twenty-six timed events spanning 2027 to 2057. That sample ships in verification/examples.</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2026-09-13T01:15:31.190Z</dcterms:created>
  <dcterms:modified xsi:type="dcterms:W3CDTF">2026-09-13T01:15:31.200Z</dcterms:modified>
</cp:coreProperties>
</file>

<file path=docProps/custom.xml><?xml version="1.0" encoding="utf-8"?>
<Properties xmlns="http://schemas.openxmlformats.org/officeDocument/2006/custom-properties" xmlns:vt="http://schemas.openxmlformats.org/officeDocument/2006/docPropsVTypes"/>
</file>