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658bc324ab1f46e5e5f59e92317c991c7e6c3bcc926238123ca95bf98759ccc8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27626ed0e58784a85c3894dcd7cafc8108c0576d5db7acd7eb47e0c5a34ed658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Five runs were changed; the wording of every other run is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Database!A:D for the names;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(G14)</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(N14)</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(G32, N32)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"LCCA Summary: View Summary" button under Alternative Setup on General Information (B44, D44)</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rule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AIP-funded projects require 7 percent and a 20-year life (Appendix U). MBT changes winner at 4.5 percent.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"Same winner at 7%" flag, FAA scenario</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(119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(77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(680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680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=IF(Database!$D$4="","",Database!$D$4)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=IF($G4="","",Database!$A$4)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=IF($G4="","",Database!$B$4)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=IF(COUNT($O$4:$O$7)&lt;2,"",IF(INDEX($H$4:$H$7,MATCH(MIN($O$4:$O$7),$O$4:$O$7,0))=INDEX($H$4:$H$7,MATCH(MIN($X$32:$AA$32),$X$32:$AA$32,0)),"The same alternative is lowest at the FAA AIP rate of 7%.","At the FAA AIP rate of 7% the lowest-cost alternative changes: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2026-09-12T05:10:11.697Z</dcterms:created>
  <dcterms:modified xsi:type="dcterms:W3CDTF">2026-09-12T05:10:11.697Z</dcterms:modified>
</cp:coreProperties>
</file>

<file path=docProps/custom.xml><?xml version="1.0" encoding="utf-8"?>
<Properties xmlns="http://schemas.openxmlformats.org/officeDocument/2006/custom-properties" xmlns:vt="http://schemas.openxmlformats.org/officeDocument/2006/docPropsVTypes"/>
</file>