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ca9080b777c4ab7f3567c01c55ae1b75f9911c30d70192dd9ce3a1dbd89d2c94</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27626ed0e58784a85c3894dcd7cafc8108c0576d5db7acd7eb47e0c5a34ed658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Five runs were changed; the wording of every other run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Database!A:D for the names; INDEX/MATCH on "Total" and "Net Present Worth"; SUMIFS over the NPW-table window (rows 37 to 52) on the row labels ("Maintenance*", "Rehabilitation*", "*Indirect*", "Salvage*"); SUM of F4:F10 for closure days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(G32, N32)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under Alternative Setup</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and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rule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AIP-funded projects require 7 percent and a 20-year life (Appendix U). MBT changes winner at 4.5 percent.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"Same winner at 7%" flag, FAA scenario</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(119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(77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(680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680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=IF(Database!$D$4="","",Database!$D$4)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=IF($G4="","",Database!$A$4)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=IF($G4="","",Database!$B$4)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   |   margin to next: "&amp;TEXT(SMALL($O$4:$O$7,MIN(2,COUNT($O$4:$O$7)))-MIN($O$4:$O$7),"$#,##0")&amp;"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=IF(COUNT($O$4:$O$7)&lt;2,"",IF(INDEX($H$4:$H$7,MATCH(MIN($O$4:$O$7),$O$4:$O$7,0))=INDEX($H$4:$H$7,MATCH(MIN($X$32:$AA$32),$X$32:$AA$32,0)),"The same alternative is lowest at the FAA AIP rate of 7%.","At the FAA AIP rate of 7% the lowest-cost alternative changes: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2026-09-12T04:36:14.053Z</dcterms:created>
  <dcterms:modified xsi:type="dcterms:W3CDTF">2026-09-12T04:36:14.067Z</dcterms:modified>
</cp:coreProperties>
</file>

<file path=docProps/custom.xml><?xml version="1.0" encoding="utf-8"?>
<Properties xmlns="http://schemas.openxmlformats.org/officeDocument/2006/custom-properties" xmlns:vt="http://schemas.openxmlformats.org/officeDocument/2006/docPropsVTypes"/>
</file>