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analyzes.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analyzes,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analyzes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One more defect surfaced on the map itself. The boundary source publishes the Tennessee/North Carolina line twice, as two tracings that agree to within 0.01 degrees, so that stretch of the outline was drawn doubled. The second copy is dropped and the embedded outline is now twelve segments and 179 points.</w:t>
      </w:r>
    </w:p>
    <w:p>
      <w:pPr>
        <w:spacing w:after="120" w:before="0"/>
      </w:pPr>
      <w:r>
        <w:rPr>
          <w:rFonts w:ascii="Calibri" w:cs="Calibri" w:eastAsia="Calibri" w:hAnsi="Calibri"/>
          <w:sz w:val="22"/>
          <w:szCs w:val="22"/>
        </w:rPr>
        <w:t xml:space="preserve">Four misspellings carried in the issued text were corrected and nothing else in the wording was touched: the Overview text box read "Federal Aviation Adminimstration", "pavement clossures" and "associeted with limited facility uses", and the General Information label at C25 read "Intial Construction Year". Every user-visible string in the delivery was then run through a spell check: the shared and inline strings on each visible sheet, the text inside formula literals, the chart and drawing text runs, the comments and message strings in the KML macro, and the prose in these two reports and the change notes, against a word list carrying the domain vocabulary, the Tennessee place names in the airport list and the code identifiers. The run is clean; the checker is kept as verification/spellcheck.py so it can be re-run on the next revision.</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organization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Summary starts at the results table</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Columns A to F hidden: the form still writes its table and Chart 1 there, and the results table repeats it with more detail. Navigation buttons moved to G1 and H1</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Removes the duplicate block beside the charts so the table and the seven charts align on the left edge; the original Alternatives Comparison chart is set to plot hidden cells and now reads in millions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legends and scales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Legends moved to the right of each plot; money axes read to one decimal in millions; an alternative that has not been created is unnamed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bottom legend collided with the category labels and the axis title; five gridlines all reading $17M told the reader nothing; empty slots no longer appear as "Alt 3" and "Alt 4" on axes and in legends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Axis titles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Every chart in the workbook and in the decision workbook now names both axes: calendar year against cost, alternative against present worth, discount rate against net present worth, alternative against thickness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Added to the five original alternative-sheet charts and the original Alternatives Comparison chart as well as the seven new Summary charts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7bb. Project identity, locator map and Google Earth export</w:t>
      </w:r>
    </w:p>
    <w:p>
      <w:pPr>
        <w:spacing w:after="120" w:before="0"/>
      </w:pPr>
      <w:r>
        <w:rPr>
          <w:rFonts w:ascii="Calibri" w:cs="Calibri" w:eastAsia="Calibri" w:hAnsi="Calibri"/>
          <w:sz w:val="22"/>
          <w:szCs w:val="22"/>
        </w:rPr>
        <w:t xml:space="preserve">The Summary carried no project identity: printed, it was a table of alternatives with nothing saying which airport it belonged to. It now opens with a one-line header above the results table (airport and FAA identifier, city, TDOT region, branch, project type, construction year, analysis period and discount rate) and a PROJECT LOCATION block beside the table: a locator map of Tennessee showing all 79 airports in the dropdown as grey dots with this project as a labelled orange dot, and beneath it the airport, city and county, region, coordinates, elevation, branch and mainline area.</w:t>
      </w:r>
    </w:p>
    <w:p>
      <w:pPr>
        <w:spacing w:after="120" w:before="0"/>
      </w:pPr>
      <w:r>
        <w:rPr>
          <w:rFonts w:ascii="Calibri" w:cs="Calibri" w:eastAsia="Calibri" w:hAnsi="Calibri"/>
          <w:sz w:val="22"/>
          <w:szCs w:val="22"/>
        </w:rPr>
        <w:t xml:space="preserve">The airports are colored by TDOT Grand Division, light blue for West, blue for Middle, navy for East, with a legend in the cells beside the plot so the map keeps its full height. That grouping was chosen because it is the one Pay_Items is built around, and putting it on the map exposes a gap. Pay_Items carries a header, Average Pay Item Unit Cost, spanning three columns headed Middle, West and East; all three are empty. Every alternative prices off the single Unit Cost column beside them, so a West-division project is estimated on exactly the same numbers as a Middle one. A line under the project block states that and names the division the project sits in. Nothing about the calculation changed: the Method sheet now carries it as an assumption worth a decision, alongside the salvage asymmetry and the lost-revenue treatment.</w:t>
      </w:r>
    </w:p>
    <w:p>
      <w:pPr>
        <w:spacing w:after="120" w:before="0"/>
      </w:pPr>
      <w:r>
        <w:rPr>
          <w:rFonts w:ascii="Calibri" w:cs="Calibri" w:eastAsia="Calibri" w:hAnsi="Calibri"/>
          <w:sz w:val="22"/>
          <w:szCs w:val="22"/>
        </w:rPr>
        <w:t xml:space="preserve">The map is an ordinary XY scatter chart, not a mapping service. The Tennessee outline and the airport coordinates are embedded in the map-data block on the Summary, below the other chart data and outside the print area, so the map draws with no internet connection, no Bing map service and no add-in. This matters on a locked-down machine: Excel's own Filled Map and 3D Map both call out to Bing and would leave an empty frame. Coordinates come from airportsdata (PyPI, carrying FAA and OurAirports values) and the outline from the intermediate-resolution political boundaries in basemap-data, both retrieved 13 September 2026, cited with their retrieval date in geo_data.py. Five small private fields in the dropdown have no published coordinates: they plot no dot and the sheet says so rather than guessing.</w:t>
      </w:r>
    </w:p>
    <w:p>
      <w:pPr>
        <w:spacing w:after="120" w:before="0"/>
      </w:pPr>
      <w:r>
        <w:rPr>
          <w:rFonts w:ascii="Calibri" w:cs="Calibri" w:eastAsia="Calibri" w:hAnsi="Calibri"/>
          <w:sz w:val="22"/>
          <w:szCs w:val="22"/>
        </w:rPr>
        <w:t xml:space="preserve">A Google Earth export ships alongside as a VBA module, LCCA_KML_Export.bas, imported once through Alt+F11, File, Import File. It was deliberately not injected into the workbook's existing VBA project: that binary holds the Alternative Setup form, it could not be tested in Excel in the review environment, and a malformed project would break every macro in the file. Running ExportLCCAKML writes a .kml beside the workbook with four things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In the KML</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shows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Airport placemark</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whole result in the description bubble: every alternative with its initial cost, net present worth, closure days and pavement section, then the verdict line and the discount-rate check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Runway footprint per alternative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schematic rectangle oriented from the runway number in the branch name and sized from the mainline area entered, green for the lowest net present worth. Labelled as schematic, not survey geometry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bars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One extruded polygon per alternative, height proportional to its net present worth, so the comparison stands up in three dimensions beside the runway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Timed events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maintenance and rehabilitation event as a placemark stamped with the calendar year it happens and carrying its cost and closure days, so the Google Earth time slider walks the analysis period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macro reads cells and writes a text file: it changes nothing, references no library and reaches no network (the KML carries no external icon references either, so it renders on a machine with no internet). Because VBA cannot be executed in the review environment, the same logic was implemented in Python and run against both worked examples; the output parses as KML and the McKellar-Sipes file carries four folders, thirty-five placemarks, eight polygons and twenty-six timed events spanning 2027 to 2057. Both samples ship in verification/examples.</w:t>
      </w:r>
    </w:p>
    <w:p>
      <w:pPr>
        <w:spacing w:after="120" w:before="0"/>
      </w:pPr>
      <w:r>
        <w:rPr>
          <w:rFonts w:ascii="Calibri" w:cs="Calibri" w:eastAsia="Calibri" w:hAnsi="Calibri"/>
          <w:sz w:val="22"/>
          <w:szCs w:val="22"/>
        </w:rPr>
        <w:t xml:space="preserve">The output was then linted against the KML 2.2 rules (verification/kml_check.py checks element order, style resolution, closed rings, coordinate range, time-stamp placement and extruded geometry, and walks the time slider year by year). Four corrections followed. Element order inside each placemark now matches the KML sequence of name, description, time, style, geometry, which Google Earth tolerated either way but a strict GIS reader need not. The document gained a legend with color swatches and a LookAt, so the file flies to the runway on open instead of landing the reader in mid-Atlantic. The footprint length now comes from a runway width on the Summary rather than a fixed 100 ft: at McKellar-Sipes that assumption drew a 9,008 ft runway against the real 6,005 ft, and the true 150 ft width puts the footprint on the pavement. And the present-worth bars are scaled so the tallest is always 700 m, where the fixed scale had put a 3.4 km spike over a 1.8 km runway. The file now lints clean, with the slider running 2027 to 2057 and the right events appearing in each year.</w:t>
      </w:r>
    </w:p>
    <w:p>
      <w:pPr>
        <w:pStyle w:val="Heading1"/>
        <w:spacing w:after="160" w:before="360"/>
      </w:pPr>
      <w:r>
        <w:t xml:space="preserve">7d. The Summary as a dashboard, and the setup flow</w:t>
      </w:r>
    </w:p>
    <w:p>
      <w:pPr>
        <w:spacing w:after="120" w:before="0"/>
      </w:pPr>
      <w:r>
        <w:rPr>
          <w:rFonts w:ascii="Calibri" w:cs="Calibri" w:eastAsia="Calibri" w:hAnsi="Calibri"/>
          <w:sz w:val="22"/>
          <w:szCs w:val="22"/>
        </w:rPr>
        <w:t xml:space="preserve">The Summary used to open with a twelve-column table. It now opens with the answer. Six tiles sit above the results: the lowest present worth with the section it buys, the margin to the next alternative, the equivalent annual cost, the initial construction of the winner, the unit cost per square yard, and whether the winner survives every discount rate in the sensitivity block. Each tile is a formula over cells that already existed on the sheet, so the dashboard adds no calculation and nothing new to maintain. The margin tile carries a rule rather than a fixed colour: it turns amber when the two best alternatives are within five percent of each other, the point at which a reviewer should treat them as tied rather than read a winner out of the table.</w:t>
      </w:r>
    </w:p>
    <w:p>
      <w:pPr>
        <w:spacing w:after="120" w:before="0"/>
      </w:pPr>
      <w:r>
        <w:rPr>
          <w:rFonts w:ascii="Calibri" w:cs="Calibri" w:eastAsia="Calibri" w:hAnsi="Calibri"/>
          <w:sz w:val="22"/>
          <w:szCs w:val="22"/>
        </w:rPr>
        <w:t xml:space="preserve">Three smaller changes go with it. The net-present-worth column carries data bars, so the size of the difference is visible in the table itself. Chart 1 now uses one light-to-dark ramp across its five categories instead of the mixed greys it had, so the stack reads in the order the categories are listed. And a chart 8 was added beside chart 5: each alternative's initial construction divided by the mainline area, against the $210 to $280 per square yard all-in range for recent Tennessee runway work already cited on Typical Values. The band is a floating bar drawn from two cells, so the range can be updated without touching the chart. The comparison is deliberately unequal in a stated direction: the published range covers pavement, lighting and grading while this workbook prices the pavement contract, so every bar should sit below the band. A bar far below it, or above it, is a quantity worth checking before the analysis is believed.</w:t>
      </w:r>
    </w:p>
    <w:p>
      <w:pPr>
        <w:spacing w:after="120" w:before="0"/>
      </w:pPr>
      <w:r>
        <w:rPr>
          <w:rFonts w:ascii="Calibri" w:cs="Calibri" w:eastAsia="Calibri" w:hAnsi="Calibri"/>
          <w:sz w:val="22"/>
          <w:szCs w:val="22"/>
        </w:rPr>
        <w:t xml:space="preserve">The chart the Alternative Setup form maintains was parked below the dashboard with a line saying what it is. It shows initial construction and present worth per alternative, which chart 1 shows with the categories broken out, but the macro still writes to it, so it was moved rather than removed.</w:t>
      </w:r>
    </w:p>
    <w:p>
      <w:pPr>
        <w:spacing w:after="120" w:before="0"/>
      </w:pPr>
      <w:r>
        <w:rPr>
          <w:rFonts w:ascii="Calibri" w:cs="Calibri" w:eastAsia="Calibri" w:hAnsi="Calibri"/>
          <w:sz w:val="22"/>
          <w:szCs w:val="22"/>
        </w:rPr>
        <w:t xml:space="preserve">The Summary row map moved with the strip, and that is the one change in this release that reaches outside the file. The results table is rows 12 to 15 where it was 4 to 7; the verdict lines are G17 and G18 where they were G9 and G10; the comparison block starts at row 22; the pavement-section block at row 90 with its asphalt unit weight at J91; the map-data block at row 130. The KML macro, the click-through script, the static verifier and both worked examples were updated together and re-run. A private copy of the macro taken before this release would read the wrong cells and would need the same edit.</w:t>
      </w:r>
    </w:p>
    <w:p>
      <w:pPr>
        <w:spacing w:after="120" w:before="0"/>
      </w:pPr>
      <w:r>
        <w:rPr>
          <w:rFonts w:ascii="Calibri" w:cs="Calibri" w:eastAsia="Calibri" w:hAnsi="Calibri"/>
          <w:sz w:val="22"/>
          <w:szCs w:val="22"/>
        </w:rPr>
        <w:t xml:space="preserve">Alongside the dashboard, the workbook now states the order a user is meant to work in. The card on General Information lists five steps and names the sheet for each: Overview and Instructions, General Information, Pay_Items, Alternative Setup, Summary. Each of those sheets says which step it is, in the same place on the sheet, so someone who lands on one of them mid-way knows where they are. General Information gained buttons for Pay_Items and Maintenance Policies, so every step is one click from the sheet the user starts on, and it still prints as one landscape page.</w:t>
      </w:r>
    </w:p>
    <w:p>
      <w:pPr>
        <w:spacing w:after="120" w:before="0"/>
      </w:pPr>
      <w:r>
        <w:rPr>
          <w:rFonts w:ascii="Calibri" w:cs="Calibri" w:eastAsia="Calibri" w:hAnsi="Calibri"/>
          <w:sz w:val="22"/>
          <w:szCs w:val="22"/>
        </w:rPr>
        <w:t xml:space="preserve">Pay_Items and Maintenance Policies were the two sheets that had never been designed. Pay_Items now carries the navigation band and the step line in row 1, keeps its header frozen and repeats it on every printed page, and marks the Unit Cost column as the input it is with a grey fill and a currency format. The part headings read as bands down the left of the table. Four notes under it state what the sheet drives, that the Middle, West and East average-cost columns are empty so a West division project is priced on statewide numbers, that 29 of the 56 pay items carry no unit cost at all and will price at zero if an alternative uses them, and where the published sources sit. Table2 over C2:I59 and every unit cost are untouched. Maintenance Policies gained the same navigation band, a title, and four lines beside the TDOT logo: that it is reference only because the schedules live in the hidden templates, which table drives which alternative type, what the Rate column means, and that closure days come from the production rates on Typical Values rather than from this sheet. Its four table headers sit on a navy band.</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analyzes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2026-09-13T07:09:34.130Z</dcterms:created>
  <dcterms:modified xsi:type="dcterms:W3CDTF">2026-09-13T07:09:34.131Z</dcterms:modified>
</cp:coreProperties>
</file>

<file path=docProps/custom.xml><?xml version="1.0" encoding="utf-8"?>
<Properties xmlns="http://schemas.openxmlformats.org/officeDocument/2006/custom-properties" xmlns:vt="http://schemas.openxmlformats.org/officeDocument/2006/docPropsVTypes"/>
</file>