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7f. The pay item picker, and which division an alternative is priced from</w:t>
      </w:r>
    </w:p>
    <w:p>
      <w:pPr>
        <w:spacing w:after="120" w:before="0"/>
      </w:pPr>
      <w:r>
        <w:rPr>
          <w:rFonts w:ascii="Calibri" w:cs="Calibri" w:eastAsia="Calibri" w:hAnsi="Calibri"/>
          <w:sz w:val="22"/>
          <w:szCs w:val="22"/>
        </w:rPr>
        <w:t xml:space="preserve">The pay item picker on every alternative worksheet is a Forms 2.0 combo box listing two columns of Pay_Items — the pay item number and its description. A Forms combo box sizes its drop-down list to the control unless ListWidth says otherwise, and with no explicit column widths it divides that evenly between the columns, so each column had about 1.45 inches. Ten characters of pay item number fit in that; the descriptions run to 76 characters and did not, which is why the list read as truncated fragments and the reviewer could not tell two geotextiles apart without opening Pay_Items.</w:t>
      </w:r>
    </w:p>
    <w:p>
      <w:pPr>
        <w:spacing w:after="120" w:before="0"/>
      </w:pPr>
      <w:r>
        <w:rPr>
          <w:rFonts w:ascii="Calibri" w:cs="Calibri" w:eastAsia="Calibri" w:hAnsi="Calibri"/>
          <w:sz w:val="22"/>
          <w:szCs w:val="22"/>
        </w:rPr>
        <w:t xml:space="preserve">All 105 pickers now carry a ListWidth of 9 inches, so an even split gives each column 4.5 inches, wide enough for the longest description in the catalogue with the number still beside it. The picker column on each template goes from 41.7 to 53.7 characters and every combo box is re-anchored to end exactly at that column's edge, so what was picked reads in the cell as well as in the list. This is a change inside the persisted ActiveX streams rather than in any XML part: the MorphDataControl property mask gains fListWidth, the DataBlock gains the four bytes that property needs at its alignment, and cbMorphData grows to match. All 105 were then re-parsed with an independent implementation of [MS-OFORMS] and each consumes exactly to the end of its stream.</w:t>
      </w:r>
    </w:p>
    <w:p>
      <w:pPr>
        <w:spacing w:after="120" w:before="0"/>
      </w:pPr>
      <w:r>
        <w:rPr>
          <w:rFonts w:ascii="Calibri" w:cs="Calibri" w:eastAsia="Calibri" w:hAnsi="Calibri"/>
          <w:sz w:val="22"/>
          <w:szCs w:val="22"/>
        </w:rPr>
        <w:t xml:space="preserve">Pay_Items has carried Middle, West and East columns beside Unit Cost since v1.1.2 under a header reading "Average Pay Item Unit Cost", and nothing in the workbook read them: a West division project was priced on the same statewide numbers as a Middle one. They are read now. Each alternative worksheet has a "Price from" list in C11, one row above the pay item table — Regular, Middle, West or East — and all 156 unit cost lookups on the five templates read the column it names. A new alternative ships set to Regular, which is the Unit Cost column, and any item the chosen division leaves blank falls back to Unit Cost, so filling one regional cost prices that one item regionally and changes nothing else. An empty C11 reads as Regular rather than producing an error. The note beside the list names the division the selected airport sits in, read from General Information D13, so the person choosing can see which column matches the project.</w:t>
      </w:r>
    </w:p>
    <w:p>
      <w:pPr>
        <w:spacing w:after="120" w:before="0"/>
      </w:pPr>
      <w:r>
        <w:rPr>
          <w:rFonts w:ascii="Calibri" w:cs="Calibri" w:eastAsia="Calibri" w:hAnsi="Calibri"/>
          <w:sz w:val="22"/>
          <w:szCs w:val="22"/>
        </w:rPr>
        <w:t xml:space="preserve">The columns ship empty, so every result in this release is unchanged: both worked examples and the Murfreesboro regression recompute to the numbers they produced before. What has changed is that filling them is now a data-entry task for Aeronautics rather than a code change.</w:t>
      </w:r>
    </w:p>
    <w:p>
      <w:pPr>
        <w:spacing w:after="120" w:before="0"/>
      </w:pPr>
      <w:r>
        <w:rPr>
          <w:rFonts w:ascii="Calibri" w:cs="Calibri" w:eastAsia="Calibri" w:hAnsi="Calibri"/>
          <w:sz w:val="22"/>
          <w:szCs w:val="22"/>
        </w:rPr>
        <w:t xml:space="preserve">Two adjacent defects were fixed in the same pass. TMP(HMARehab) was the one template whose working columns I to BL had never been hidden, so an HMA overlay alternative opened showing its internal per-event cost blocks and chart data; they are hidden now and that sheet's chart is set to plot hidden cells so it still draws. And an empty pay item line printed a 0 in the "Pay Item" column right beside its line number, because the lookup returned 0 rather than blank for an empty description; the line now reads blank and the item cost tests the description instead of that 0.</w:t>
      </w:r>
    </w:p>
    <w:p>
      <w:pPr>
        <w:spacing w:after="120" w:before="0"/>
      </w:pPr>
      <w:r>
        <w:rPr>
          <w:rFonts w:ascii="Calibri" w:cs="Calibri" w:eastAsia="Calibri" w:hAnsi="Calibri"/>
          <w:sz w:val="22"/>
          <w:szCs w:val="22"/>
        </w:rPr>
        <w:t xml:space="preserve">One row on General Information was dead. "Airport Owner" read column 6 of Table17, which is empty for all 79 airports, so it always showed blank. It now reads column 4 and is labelled "County", which is populated for every airport. State Region below it did not move, so the Summary still finds it.</w:t>
      </w:r>
    </w:p>
    <w:p>
      <w:pPr>
        <w:pStyle w:val="Heading1"/>
        <w:spacing w:after="160" w:before="360"/>
      </w:pPr>
      <w:r>
        <w:t xml:space="preserve">7h. Salvage: remaining life, computed rather than typed</w:t>
      </w:r>
    </w:p>
    <w:p>
      <w:pPr>
        <w:spacing w:after="120" w:before="0"/>
      </w:pPr>
      <w:r>
        <w:rPr>
          <w:rFonts w:ascii="Calibri" w:cs="Calibri" w:eastAsia="Calibri" w:hAnsi="Calibri"/>
          <w:sz w:val="22"/>
          <w:szCs w:val="22"/>
        </w:rPr>
        <w:t xml:space="preserve">Each salvage row on Maintenance Policies states the rule it uses in words, and both terms of that rule were already live in the file. The credit is taken at the analysis period, General Information D33, which a user sets; the asphalt mill and overlay happens in the year Maintenance Policies E22 names, which is a policy input. Only the fraction was a constant. Three quantities that have to agree and one of them frozen means the sheet can be right at a single combination, and asphalt was not right even at the default one: row 32 read "2 years (0.125) of mill and overlay" while row 22, four rows above it, places that overlay at year 20. An overlay laid in year 20 and valued in year 30 is ten years old and has six of its sixteen years left, which is 37.5 percent. Two of sixteen is what an overlay laid in year 16 would leave. The concrete figure had the same shape and happened to land correctly: ten of forty years at a thirty-year period is the 25 percent the cell carried, and it is wrong at every other period.</w:t>
      </w:r>
    </w:p>
    <w:p>
      <w:pPr>
        <w:spacing w:after="120" w:before="0"/>
      </w:pPr>
      <w:r>
        <w:rPr>
          <w:rFonts w:ascii="Calibri" w:cs="Calibri" w:eastAsia="Calibri" w:hAnsi="Calibri"/>
          <w:sz w:val="22"/>
          <w:szCs w:val="22"/>
        </w:rPr>
        <w:t xml:space="preserve">Both fractions are now formulas. The expected life each divides by has moved out of the formula into a new "Asset life (yrs)" column beside the salvage row, sixteen years for the overlay and forty for concrete, so the assumption is visible and editable rather than buried. The sentence in column C is built from the numbers rather than typed, so it cannot go stale again: at thirty years it reads "Salvage value: 6 of 16 years left on the mill and overlay placed in year 20 (37.5% of its cost) at the 30-year analysis period". The Year Applied shown on all four salvage rows now reads the analysis period instead of a fixed thirty, which is where the credit was always taken. An analysis period that ends before the overlay is ever laid credits nothing for asphalt, because there is no overlay to salvage. Tables 3 and 4 keep their zero, which is a stated policy, "need for reconstruction", rather than a remaining-life 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2400"/>
        <w:gridCol w:w="2160"/>
      </w:tblGrid>
      <w:tr>
        <w:trPr>
          <w:cantSplit/>
          <w:tblHeader/>
        </w:trPr>
        <w:tc>
          <w:tcPr>
            <w:tcW w:type="dxa" w:w="18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Analysis period</w:t>
            </w:r>
          </w:p>
        </w:tc>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Asphalt credit</w:t>
            </w:r>
          </w:p>
        </w:tc>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Concrete credit</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Murfreesboro margin, before</w:t>
            </w:r>
          </w:p>
        </w:tc>
        <w:tc>
          <w:tcPr>
            <w:tcW w:type="dxa" w:w="21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after</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20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100%</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50%</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$755,381</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$804,006</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25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68.8%</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37.5%</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$880,950</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$764,458</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30 years (default)</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37.5%</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25%</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$780,532</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$543,376</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36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0%</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This moves published results, which is the point of raising it. At Murfreesboro at three percent over thirty years the asphalt alternative goes from $8,809,266.42 to $8,572,110.60 while concrete is unchanged at $8,028,734.49, so the margin narrows by about thirty percent and concrete remains the lower of the two. The direction of the old error was not even stable across periods: correcting it narrows the margin at thirty years and widens it at twenty, so the previous figure could not have been defended as conservative toward either pavement. What is deliberately not changed is the asymmetry of the basis, that concrete salvages a share of its whole initial construction while asphalt salvages a share of one overlay. That is a genuine modelling choice, it is what makes the concrete curves in chart 2 nearly flat while the asphalt curve falls, and it is recorded on the Method sheet as a decision for Aeronautics.</w:t>
      </w:r>
    </w:p>
    <w:p>
      <w:pPr>
        <w:pStyle w:val="Heading1"/>
        <w:spacing w:after="160" w:before="360"/>
      </w:pPr>
      <w:r>
        <w:t xml:space="preserve">7g. Correction: Maintenance Policies is live, not reference</w:t>
      </w:r>
    </w:p>
    <w:p>
      <w:pPr>
        <w:spacing w:after="120" w:before="0"/>
      </w:pPr>
      <w:r>
        <w:rPr>
          <w:rFonts w:ascii="Calibri" w:cs="Calibri" w:eastAsia="Calibri" w:hAnsi="Calibri"/>
          <w:sz w:val="22"/>
          <w:szCs w:val="22"/>
        </w:rPr>
        <w:t xml:space="preserve">The line this update first added to the top of Maintenance Policies said the sheet was reference only, that the schedules lived in the hidden templates, and that editing a number there changed nothing. That is the opposite of the truth, and it is corrected in the delivered file. Every Rate cell in column D and every Year Applied cell in column E is read by the alternative worksheets: D10 sets a maintenance quantity, E22 sets the year the HMA mill and overlay happens, D32 sets the HMA salvage credit and D46 the concrete one. Someone who trusted the old sentence could have changed a policy number expecting no effect and silently moved every result in the workbook. The sheet now says it is live and names what a change there moves, and the build verifier checks both that the sentence says so and that the templates really do read both columns, so the claim cannot drift away from the file again.</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At Murfreesboro the rule decides the answer: PCC wins by $780,532 as the workbook stands, and on a common HMA rule it becomes HMA by $63,633. At Upper Cumberland the year-30 credit is -$3.86M against -$0.41M, several times the $586K margin, but HMA wins under every variant, so there it moves the margin and not the winner.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2026-09-14T01:37:31.176Z</dcterms:created>
  <dcterms:modified xsi:type="dcterms:W3CDTF">2026-09-14T01:37:31.177Z</dcterms:modified>
</cp:coreProperties>
</file>

<file path=docProps/custom.xml><?xml version="1.0" encoding="utf-8"?>
<Properties xmlns="http://schemas.openxmlformats.org/officeDocument/2006/custom-properties" xmlns:vt="http://schemas.openxmlformats.org/officeDocument/2006/docPropsVTypes"/>
</file>