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analyzes.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analyzes,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analyzes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One more defect surfaced on the map itself. The boundary source publishes the Tennessee/North Carolina line twice, as two tracings that agree to within 0.01 degrees, so that stretch of the outline was drawn doubled. The second copy is dropped and the embedded outline is now twelve segments and 179 points.</w:t>
      </w:r>
    </w:p>
    <w:p>
      <w:pPr>
        <w:spacing w:after="120" w:before="0"/>
      </w:pPr>
      <w:r>
        <w:rPr>
          <w:rFonts w:ascii="Calibri" w:cs="Calibri" w:eastAsia="Calibri" w:hAnsi="Calibri"/>
          <w:sz w:val="22"/>
          <w:szCs w:val="22"/>
        </w:rPr>
        <w:t xml:space="preserve">Four misspellings carried in the issued text were corrected and nothing else in the wording was touched: the Overview text box read "Federal Aviation Adminimstration", "pavement clossures" and "associeted with limited facility uses", and the General Information label at C25 read "Intial Construction Year". Every user-visible string in the delivery was then run through a spell check: the shared and inline strings on each visible sheet, the text inside formula literals, the chart and drawing text runs, the comments and message strings in the KML macro, and the prose in these two reports and the change notes, against a word list carrying the domain vocabulary, the Tennessee place names in the airport list and the code identifiers. The run is clean; the checker is kept as verification/spellcheck.py so it can be re-run on the next revision.</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organization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airports are colored by TDOT Grand Division, light blue for West, blue for Middle, navy for East, with a legend in the cells beside the plot so the map keeps its full height. That grouping was chosen because it is the one Pay_Items is built around, and putting it on the map exposes a gap. Pay_Items carries a header, Average Pay Item Unit Cost, spanning three columns headed Middle, West and East; all three are empty. Every alternative prices off the single Unit Cost column beside them, so a West-division project is estimated on exactly the same numbers as a Middle one. A line under the project block states that and names the division the project sits in. Nothing about the calculation changed: the Method sheet now carries it as an assumption worth a decision, alongside the salvage asymmetry and the lost-revenue treatment.</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both worked examples; the output parses as KML and the McKellar-Sipes file carries four folders, thirty-five placemarks, eight polygons and twenty-six timed events spanning 2027 to 2057. Both samples ship in verification/examples.</w:t>
      </w:r>
    </w:p>
    <w:p>
      <w:pPr>
        <w:spacing w:after="120" w:before="0"/>
      </w:pPr>
      <w:r>
        <w:rPr>
          <w:rFonts w:ascii="Calibri" w:cs="Calibri" w:eastAsia="Calibri" w:hAnsi="Calibri"/>
          <w:sz w:val="22"/>
          <w:szCs w:val="22"/>
        </w:rPr>
        <w:t xml:space="preserve">The output was then linted against the KML 2.2 rules (verification/kml_check.py checks element order, style resolution, closed rings, coordinate range, time-stamp placement and extruded geometry, and walks the time slider year by year). Four corrections followed. Element order inside each placemark now matches the KML sequence of name, description, time, style, geometry, which Google Earth tolerated either way but a strict GIS reader need not. The document gained a legend with color swatches and a LookAt, so the file flies to the runway on open instead of landing the reader in mid-Atlantic. The footprint length now comes from a runway width on the Summary rather than a fixed 100 ft: at McKellar-Sipes that assumption drew a 9,008 ft runway against the real 6,005 ft, and the true 150 ft width puts the footprint on the pavement. And the present-worth bars are scaled so the tallest is always 700 m, where the fixed scale had put a 3.4 km spike over a 1.8 km runway. The file now lints clean, with the slider running 2027 to 2057 and the right events appearing in each year.</w:t>
      </w:r>
    </w:p>
    <w:p>
      <w:pPr>
        <w:pStyle w:val="Heading1"/>
        <w:spacing w:after="160" w:before="360"/>
      </w:pPr>
      <w:r>
        <w:t xml:space="preserve">7d. The Summary as a dashboard, and the setup flow</w:t>
      </w:r>
    </w:p>
    <w:p>
      <w:pPr>
        <w:spacing w:after="120" w:before="0"/>
      </w:pPr>
      <w:r>
        <w:rPr>
          <w:rFonts w:ascii="Calibri" w:cs="Calibri" w:eastAsia="Calibri" w:hAnsi="Calibri"/>
          <w:sz w:val="22"/>
          <w:szCs w:val="22"/>
        </w:rPr>
        <w:t xml:space="preserve">The Summary used to open with a twelve-column table. It now opens with the answer. Six tiles sit above the results: the lowest present worth with the section it buys, the margin to the next alternative, the equivalent annual cost, the initial construction of the winner, the unit cost per square yard, and whether the winner survives every discount rate in the sensitivity block. Each tile is a formula over cells that already existed on the sheet, so the dashboard adds no calculation and nothing new to maintain. The margin tile carries a rule rather than a fixed colour: it turns amber when the two best alternatives are within five percent of each other, the point at which a reviewer should treat them as tied rather than read a winner out of the table.</w:t>
      </w:r>
    </w:p>
    <w:p>
      <w:pPr>
        <w:spacing w:after="120" w:before="0"/>
      </w:pPr>
      <w:r>
        <w:rPr>
          <w:rFonts w:ascii="Calibri" w:cs="Calibri" w:eastAsia="Calibri" w:hAnsi="Calibri"/>
          <w:sz w:val="22"/>
          <w:szCs w:val="22"/>
        </w:rPr>
        <w:t xml:space="preserve">The rate-sensitivity tile is the one that needed care. Its first form compared the winner at 2 percent and at 7 percent and reported "holds 2-8%" if they agreed, which a flip anywhere between them would not have caught, and its value was painted green whatever it said. The sensitivity block now carries a column naming the lowest-cost alternative at each of its 25 rates, the tile counts that column, and a rule turns it green only while it says the winner holds and amber when it says the winner changes.</w:t>
      </w:r>
    </w:p>
    <w:p>
      <w:pPr>
        <w:spacing w:after="120" w:before="0"/>
      </w:pPr>
      <w:r>
        <w:rPr>
          <w:rFonts w:ascii="Calibri" w:cs="Calibri" w:eastAsia="Calibri" w:hAnsi="Calibri"/>
          <w:sz w:val="22"/>
          <w:szCs w:val="22"/>
        </w:rPr>
        <w:t xml:space="preserve">Three smaller changes go with it. The net-present-worth column carries data bars, so the size of the difference is visible in the table itself. Chart 1 now uses one light-to-dark ramp across its five categories instead of the mixed greys it had, so the stack reads in the order the categories are listed. And a chart 8 was added beside chart 5: each alternative's initial construction divided by the mainline area, against the $210 to $280 per square yard all-in range for recent Tennessee runway work already cited on Typical Values. The band is a floating bar drawn from two cells, so the range can be updated without touching the chart. The comparison is deliberately unequal in a stated direction: the published range covers pavement, lighting and grading while this workbook prices the pavement contract, so every bar should sit below the band. A bar far below it, or above it, is a quantity worth checking before the analysis is believed.</w:t>
      </w:r>
    </w:p>
    <w:p>
      <w:pPr>
        <w:spacing w:after="120" w:before="0"/>
      </w:pPr>
      <w:r>
        <w:rPr>
          <w:rFonts w:ascii="Calibri" w:cs="Calibri" w:eastAsia="Calibri" w:hAnsi="Calibri"/>
          <w:sz w:val="22"/>
          <w:szCs w:val="22"/>
        </w:rPr>
        <w:t xml:space="preserve">The chart the Alternative Setup form maintains was parked below the dashboard with a line saying what it is. It shows initial construction and present worth per alternative, which chart 1 shows with the categories broken out, but the macro still writes to it, so it was moved rather than removed.</w:t>
      </w:r>
    </w:p>
    <w:p>
      <w:pPr>
        <w:spacing w:after="120" w:before="0"/>
      </w:pPr>
      <w:r>
        <w:rPr>
          <w:rFonts w:ascii="Calibri" w:cs="Calibri" w:eastAsia="Calibri" w:hAnsi="Calibri"/>
          <w:sz w:val="22"/>
          <w:szCs w:val="22"/>
        </w:rPr>
        <w:t xml:space="preserve">The Summary row map moved with the strip, and that is the one change in this release that reaches outside the file. The results table is rows 12 to 15 where it was 4 to 7; the verdict lines are G17 and G18 where they were G9 and G10; the comparison block starts at row 22; the pavement-section block at row 90 with its asphalt unit weight at J91; the map-data block at row 130. The KML macro, the click-through script, the static verifier and both worked examples were updated together and re-run. A private copy of the macro taken before this release would read the wrong cells and would need the same edit.</w:t>
      </w:r>
    </w:p>
    <w:p>
      <w:pPr>
        <w:spacing w:after="120" w:before="0"/>
      </w:pPr>
      <w:r>
        <w:rPr>
          <w:rFonts w:ascii="Calibri" w:cs="Calibri" w:eastAsia="Calibri" w:hAnsi="Calibri"/>
          <w:sz w:val="22"/>
          <w:szCs w:val="22"/>
        </w:rPr>
        <w:t xml:space="preserve">Alongside the dashboard, the workbook now states the order a user is meant to work in. The card on General Information lists five steps and names the sheet for each: Overview and Instructions, General Information, Pay_Items, Alternative Setup, Summary. Each of those sheets says which step it is, in the same place on the sheet, so someone who lands on one of them mid-way knows where they are. General Information gained buttons for Pay_Items and Maintenance Policies, so every step is one click from the sheet the user starts on, and it still prints as one landscape page.</w:t>
      </w:r>
    </w:p>
    <w:p>
      <w:pPr>
        <w:spacing w:after="120" w:before="0"/>
      </w:pPr>
      <w:r>
        <w:rPr>
          <w:rFonts w:ascii="Calibri" w:cs="Calibri" w:eastAsia="Calibri" w:hAnsi="Calibri"/>
          <w:sz w:val="22"/>
          <w:szCs w:val="22"/>
        </w:rPr>
        <w:t xml:space="preserve">Pay_Items and Maintenance Policies were the two sheets that had never been designed. Pay_Items now carries the navigation band and the step line in row 1, keeps its header frozen and repeats it on every printed page, and marks the Unit Cost column as the input it is with a grey fill and a currency format. The part headings read as bands down the left of the table. Four notes under it state what the sheet drives, that the Middle, West and East average-cost columns are empty so a West division project is priced on statewide numbers, that 29 of the 56 pay items carry no unit cost at all and will price at zero if an alternative uses them, and where the published sources sit. Table2 over C2:I59 and every unit cost are untouched. Maintenance Policies gained the same navigation band, a title, and four lines beside the TDOT logo: that it is reference only because the schedules live in the hidden templates, which table drives which alternative type, what the Rate column means, and that closure days come from the production rates on Typical Values rather than from this sheet. Its four table headers sit on a navy band.</w:t>
      </w:r>
    </w:p>
    <w:p>
      <w:pPr>
        <w:pStyle w:val="Heading1"/>
        <w:spacing w:after="160" w:before="360"/>
      </w:pPr>
      <w:r>
        <w:t xml:space="preserve">7e. The TDOT mark</w:t>
      </w:r>
    </w:p>
    <w:p>
      <w:pPr>
        <w:spacing w:after="120" w:before="0"/>
      </w:pPr>
      <w:r>
        <w:rPr>
          <w:rFonts w:ascii="Calibri" w:cs="Calibri" w:eastAsia="Calibri" w:hAnsi="Calibri"/>
          <w:sz w:val="22"/>
          <w:szCs w:val="22"/>
        </w:rPr>
        <w:t xml:space="preserve">The logo was on four of the nine sheets a user opens — Overview, Instructions, General Information and Maintenance Policies — each anchored and sized a little differently, and missing from the Summary, Pay_Items, Typical Values, Method and every alternative worksheet. Measuring the four placements turned up a defect none of them had been checked for: the artwork is 723 by 316 pixels, an aspect of 2.288, and the placements ran 2.123 on two sheets and 2.060 on the other two. Every one of them was drawn 8 to 11 percent taller than the artwork, so the lettering was stretched and the TN square was not square.</w:t>
      </w:r>
    </w:p>
    <w:p>
      <w:pPr>
        <w:spacing w:after="120" w:before="0"/>
      </w:pPr>
      <w:r>
        <w:rPr>
          <w:rFonts w:ascii="Calibri" w:cs="Calibri" w:eastAsia="Calibri" w:hAnsi="Calibri"/>
          <w:sz w:val="22"/>
          <w:szCs w:val="22"/>
        </w:rPr>
        <w:t xml:space="preserve">Three placements were considered. The page header would have carried the mark on every sheet at no cost in rows, but only in Page Layout view and on paper, not in the normal editing view. A masthead on the four document sheets with the header everywhere else would have cost nothing at all, but would have left the working sheets unbranded on screen. The third was chosen: row 1 becomes a band on all thirteen sheets a user can reach. Row 1 already existed everywhere and already carried the navigation buttons, so the band costs only its extra height — 21 points to 40. Forty is the floor at which the second line of the lockup stays legible; the mark is 1.27 inches wide there, at the artwork's own aspect, anchored to the right-hand edge of each sheet's content where it cannot collide with the buttons or the step line.</w:t>
      </w:r>
    </w:p>
    <w:p>
      <w:pPr>
        <w:spacing w:after="120" w:before="0"/>
      </w:pPr>
      <w:r>
        <w:rPr>
          <w:rFonts w:ascii="Calibri" w:cs="Calibri" w:eastAsia="Calibri" w:hAnsi="Calibri"/>
          <w:sz w:val="22"/>
          <w:szCs w:val="22"/>
        </w:rPr>
        <w:t xml:space="preserve">The honest cost is the one the option carries: on Pay_Items and on the alternative worksheets that height sits above the frozen header, so it is gone from every screen rather than only the first. Against that, row 1 is now a print title on all thirteen sheets, so the mark prints at the top of every page rather than only the first — Pay_Items repeats rows 1 and 2, the band and its table header. Three sheets had no drawing part in the package at all and now have one: Pay_Items, Typical Values and Method.</w:t>
      </w:r>
    </w:p>
    <w:p>
      <w:pPr>
        <w:spacing w:after="120" w:before="0"/>
      </w:pPr>
      <w:r>
        <w:rPr>
          <w:rFonts w:ascii="Calibri" w:cs="Calibri" w:eastAsia="Calibri" w:hAnsi="Calibri"/>
          <w:sz w:val="22"/>
          <w:szCs w:val="22"/>
        </w:rPr>
        <w:t xml:space="preserve">Two print defects surfaced while checking that the mark actually lands on the page. Overview and Instructions hold a text box 7.6 inches wide on a portrait page with 7.1 inches between the margins, so the right-hand side of the framework description had been clipped in print since v1.1.2; both sheets now scale to one page wide. And each alternative worksheet was printing its chart-data columns across half a dozen pages, because it had no print area at all; the print area is now the cost and present-worth tables, A1 to G56. Between them the worked example went from 41 printed pages to 30.</w:t>
      </w:r>
    </w:p>
    <w:p>
      <w:pPr>
        <w:spacing w:after="120" w:before="0"/>
      </w:pPr>
      <w:r>
        <w:rPr>
          <w:rFonts w:ascii="Calibri" w:cs="Calibri" w:eastAsia="Calibri" w:hAnsi="Calibri"/>
          <w:sz w:val="22"/>
          <w:szCs w:val="22"/>
        </w:rPr>
        <w:t xml:space="preserve">The step lines moved out of the band to make room for the mark. Each sheet carries a short "STEP n of 5" chip beside its buttons and the sentence sits on the row below: row 2 on Overview and Instructions, row 3 on the alternative worksheets, row 10 on the Summary. On Overview and Instructions the Aeronautics address block moved to the left margin under the band, into the space the logo used to occupy, so the letterhead still reads as one block. On the Summary the project identity line moved from L1 to a row of its own at G2, which is what freed the right-hand end of the band.</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analyzes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2026-09-13T19:14:06.909Z</dcterms:created>
  <dcterms:modified xsi:type="dcterms:W3CDTF">2026-09-13T19:14:06.925Z</dcterms:modified>
</cp:coreProperties>
</file>

<file path=docProps/custom.xml><?xml version="1.0" encoding="utf-8"?>
<Properties xmlns="http://schemas.openxmlformats.org/officeDocument/2006/custom-properties" xmlns:vt="http://schemas.openxmlformats.org/officeDocument/2006/docPropsVTypes"/>
</file>