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c60aaf177ceac3c8011b1d896a84bfe39ee2cb1d9f93d660151449ad37ab4af4</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27626ed0e58784a85c3894dcd7cafc8108c0576d5db7acd7eb47e0c5a34ed658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(G14)</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(N14)</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(G32, N32)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"LCCA Summary: View Summary" button under Alternative Setup on General Information (B44, D44)</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rule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AIP-funded projects require 7 percent and a 20-year life (Appendix U). MBT changes winner at 4.5 percent.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"Same winner at 7%" flag, FAA scenario</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(119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(73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(77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(680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680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=IF(COUNT($O$4:$O$7)&lt;2,"",IF(INDEX($H$4:$H$7,MATCH(MIN($O$4:$O$7),$O$4:$O$7,0))=INDEX($H$4:$H$7,MATCH(MIN($X$32:$AA$32),$X$32:$AA$32,0)),"The same alternative is lowest at the FAA AIP rate of 7%.","At the FAA AIP rate of 7% the lowest-cost alternative changes: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2026-09-12T06:25:52.587Z</dcterms:created>
  <dcterms:modified xsi:type="dcterms:W3CDTF">2026-09-12T06:25:52.599Z</dcterms:modified>
</cp:coreProperties>
</file>

<file path=docProps/custom.xml><?xml version="1.0" encoding="utf-8"?>
<Properties xmlns="http://schemas.openxmlformats.org/officeDocument/2006/custom-properties" xmlns:vt="http://schemas.openxmlformats.org/officeDocument/2006/docPropsVTypes"/>
</file>