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analyses.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8a0738a7cafc2c4348c5fa92f53f5aa11db3471500de7843ac4eedfe6aed1019</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analyses,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analyses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behaviour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7c. Look and first-run usability</w:t>
      </w:r>
    </w:p>
    <w:p>
      <w:pPr>
        <w:spacing w:after="120" w:before="0"/>
      </w:pPr>
      <w:r>
        <w:rPr>
          <w:rFonts w:ascii="Calibri" w:cs="Calibri" w:eastAsia="Calibri" w:hAnsi="Calibri"/>
          <w:sz w:val="22"/>
          <w:szCs w:val="22"/>
        </w:rPr>
        <w:t xml:space="preserve">The layout, fonts, grey input cells, logo and button positions are unchanged, so the workbook still reads as the same tool. What changed is the first-run guidance and the visual hierarchy. None of it touches a calculation: every cell added is text, a HYPERLINK or a format.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7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Where</w:t>
            </w:r>
          </w:p>
        </w:tc>
        <w:tc>
          <w:tcPr>
            <w:tcW w:type="dxa" w:w="3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Change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F2:J7</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"How to use this workbook" card beside the logo: fill the grey cells, click Alternative Setup, click View Summary, plus the note that grey cells are inputs and white cells calculate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new user had nothing on screen telling them the order of operations; the Instructions sheet is a separate tab they had to find</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F9:J9</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live status line naming whichever required input is still empty (airport, construction year, mainline area, markings area, analysis period, discount rate). Conditional formatting turns it green when the list is empty</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reviewer built alternatives before the inputs were complete and got zeroes; the line makes that state visible before the click</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B8, B20, B32</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three section labels sit on a light band with a blue rule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Gives the form three visible blocks instead of one long list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D35</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salvage sentence is styled as a note, not as an input value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 sits in the input column and reads like a value to fill in</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print setup</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Print area A1:J48, landscape, one page wide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sheet printed across two pages with the hidden lookup columns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alternative worksheet, row 1</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and "Summary" buttons and a one-line reminder of which cells are inputs</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alternative sheets had no way back; the reminder answers the question the reviewer asked about which cells to fill</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Summary results table and comparison block</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Conditional formatting highlights the lowest-cost row</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answer is visible before reading any number</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All sheets</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Tab colours: navy for General Information, blue for Summary, light blue for alternative worksheets, grey for reference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Groups fifteen tabs into four kinds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navigation row and the tab colour live on the hidden templates, so every alternative the Alternative Setup form creates carries them without any change to the VBA.</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analyses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colour-scaled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 (re-run after the design pass)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In SRB that line is -$3.86M against -$0.41M, larger than the NPW margin.</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=Pay_Items!D55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HOW TO USE 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Fill in the grey cells below (D9 to D39).</w:t>
            </w:r>
          </w:p>
          <w:p>
            <w:pPr>
              <w:spacing w:after="0"/>
            </w:pPr>
            <w:r>
              <w:rPr>
                <w:rFonts w:ascii="Courier New" w:cs="Courier New" w:eastAsia="Courier New" w:hAnsi="Courier New"/>
                <w:b w:val="false"/>
                <w:bCs w:val="false"/>
                <w:sz w:val="13"/>
                <w:szCs w:val="13"/>
              </w:rPr>
              <w:t xml:space="preserve">2.   Click Alternative Setup and add your alternatives.</w:t>
            </w:r>
          </w:p>
          <w:p>
            <w:pPr>
              <w:spacing w:after="0"/>
            </w:pPr>
            <w:r>
              <w:rPr>
                <w:rFonts w:ascii="Courier New" w:cs="Courier New" w:eastAsia="Courier New" w:hAnsi="Courier New"/>
                <w:b w:val="false"/>
                <w:bCs w:val="false"/>
                <w:sz w:val="13"/>
                <w:szCs w:val="13"/>
              </w:rPr>
              <w:t xml:space="preserve">3.   Click View Summary to compare them.</w:t>
            </w:r>
          </w:p>
          <w:p>
            <w:pPr>
              <w:spacing w:after="0"/>
            </w:pPr>
            <w:r>
              <w:rPr>
                <w:rFonts w:ascii="Courier New" w:cs="Courier New" w:eastAsia="Courier New" w:hAnsi="Courier New"/>
                <w:b w:val="false"/>
                <w:bCs w:val="false"/>
                <w:sz w:val="13"/>
                <w:szCs w:val="13"/>
              </w:rPr>
              <w:t xml:space="preserve">Grey cells are yours to fill in; white cells calculate themselves.</w:t>
            </w:r>
          </w:p>
          <w:p>
            <w:pPr>
              <w:spacing w:after="0"/>
            </w:pPr>
            <w:r>
              <w:rPr>
                <w:rFonts w:ascii="Courier New" w:cs="Courier New" w:eastAsia="Courier New" w:hAnsi="Courier New"/>
                <w:b w:val="false"/>
                <w:bCs w:val="false"/>
                <w:sz w:val="13"/>
                <w:szCs w:val="13"/>
              </w:rPr>
              <w:t xml:space="preserve">Typical Values lists the usual range for each input.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=IF(LEN(IF(D9="","Airport Name, ","")&amp;IF(D25="","Construction Year, ","")&amp;IF(D26="","Mainline Area, ","")&amp;IF(D28="","Markings Area, ","")&amp;IF(D33="","Analysis Period, ","")&amp;IF(D34="","Discount Rate, ",""))=0,"All required inputs are filled. Next: click Alternative Setup.","Still needed: "&amp;LEFT(IF(D9="","Airport Name, ","")&amp;IF(D25="","Construction Year, ","")&amp;IF(D26="","Mainline Area, ","")&amp;IF(D28="","Markings Area, ","")&amp;IF(D33="","Analysis Period, ","")&amp;IF(D34="","Discount Rate, ",""),LEN(IF(D9="","Airport Name, ","")&amp;IF(D25="","Construction Year, ","")&amp;IF(D26="","Mainline Area, ","")&amp;IF(D28="","Markings Area, ","")&amp;IF(D33="","Analysis Period, ","")&amp;IF(D34="","Discount Rate, ",""))-2))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period starts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4,000-6,000 ft x 75-100 ft wide.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2,000-3,000 SF per 1,000 ft of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leaves the period to the engineer.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uses the OMB A-94 real rate, 2.0% in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workbook default 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now applied to initial construction too.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revenue during closures (17 airports have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(122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(732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732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=HYPERLINK("https://www.tasp2040.com/wp-content/uploads/2021/03/Updated-TASP-Inventory-Existing-System-Conditions-March-2021-v3.pdf","https://www.tasp2040.com/wp-content/uploads/2021/03/Updated-TASP-Inven")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=HYPERLINK("https://www.tasp2040.com/wp-content/uploads/2021/03/Updated-TASP-Inventory-Existing-System-Conditions-March-2021-v3.pdf","https://www.tasp2040.com/wp-content/uploads/2021/03/Updated-TASP-Inven")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=HYPERLINK("https://www.tasp2040.com/wp-content/uploads/2020/12/Chapter-7-Airport-Classifications-and-NPIAS-Evaluation.pdf","https://www.tasp2040.com/wp-content/uploads/2020/12/Chapter-7-Airport-")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=HYPERLINK("https://www.appliedpavement.com/tennessee-apms","https://www.appliedpavement.com/tennessee-apms")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=HYPERLINK("https://www.tn.gov/content/dam/tn/tdot/aeronautics/TN%20Airport%20Management%20Guide%20FINAL.pdf","https://www.tn.gov/content/dam/tn/tdot/aeronautics/TN%20Airport%20Mana")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=HYPERLINK("https://www.tasp2040.com/wp-content/uploads/2021/09/TASP-Cost-Estimate-Chapter.pdf","https://www.tasp2040.com/wp-content/uploads/2021/09/TASP-Cost-Estimate")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=HYPERLINK("https://www.tasp2040.com/wp-content/uploads/2021/09/TASP-Cost-Estimate-Chapter.pdf","https://www.tasp2040.com/wp-content/uploads/2021/09/TASP-Cost-Estimate")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=HYPERLINK("https://www.tn.gov/content/dam/tn/tdot/documents/170-02.pdf","https://www.tn.gov/content/dam/tn/tdot/documents/170-02.pdf")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=HYPERLINK("https://www.tn.gov/tdot/aeronautics/apmm-contract.html","https://www.tn.gov/tdot/aeronautics/apmm-contract.html")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=HYPERLINK("https://idea.appliedpavement.com/hosting/tennessee/statewide-summary/inventory-area/area-by-airport-table.html","https://idea.appliedpavement.com/hosting/tennessee/statewide-summary/i")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=HYPERLINK("https://www.faa.gov/sites/faa.gov/files/airports/planning_capacity/npias/current/ARP-NPIAS-2025-2029-Appendix-A.pdf","https://www.faa.gov/sites/faa.gov/files/airports/planning_capacity/npi")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=HYPERLINK("https://en.wikipedia.org/wiki/Murfreesboro_Municipal_Airport","https://en.wikipedia.org/wiki/Murfreesboro_Municipal_Airport")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=HYPERLINK("https://en.wikipedia.org/wiki/Shelbyville_Municipal_Airport_(Tennessee)","https://en.wikipedia.org/wiki/Shelbyville_Municipal_Airport_(Tennessee")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=HYPERLINK("https://en.wikipedia.org/wiki/Gatlinburg%E2%80%93Pigeon_Forge_Airport","https://en.wikipedia.org/wiki/Gatlinburg%E2%80%93Pigeon_Forge_Airport")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=HYPERLINK("https://en.wikipedia.org/wiki/Clarksville%E2%80%93Montgomery_County_Regional_Airport","https://en.wikipedia.org/wiki/Clarksville%E2%80%93Montgomery_County_Re")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=HYPERLINK("https://www.wbbjtv.com/2024/08/28/mckellar-sipes-regional-airport-set-to-complete-runway-2-20-paving-preparing-for-new-jet-service/","https://www.wbbjtv.com/2024/08/28/mckellar-sipes-regional-airport-set-")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=HYPERLINK("https://www.smyrnaairport.com/news-events/smyrna-airport-runway-119-grand-opening","https://www.smyrnaairport.com/news-events/smyrna-airport-runway-119-gr")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=HYPERLINK("https://en.wikipedia.org/wiki/Smyrna_Airport_(Tennessee)","https://en.wikipedia.org/wiki/Smyrna_Airport_(Tennessee)")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=HYPERLINK("https://www.tasp2040.com/wp-content/uploads/2020/12/Chapter-7-Airport-Classifications-and-NPIAS-Evaluation.pdf","https://www.tasp2040.com/wp-content/uploads/2020/12/Chapter-7-Airport-")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=HYPERLINK("https://aeronautics.sc.gov/sites/default/files/2025-05/250521_FLO_Rehab_Twy_A.pdf","https://aeronautics.sc.gov/sites/default/files/2025-05/250521_FLO_Reha")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=HYPERLINK("https://aeronautics.sc.gov/airport-development/sc-airport-capital-project-bid-tabulations","https://aeronautics.sc.gov/airport-development/sc-airport-capital-proj")</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=HYPERLINK("https://www.dot.state.mn.us/aero/planning/documents/sasp/saspappendixf.pdf","https://www.dot.state.mn.us/aero/planning/documents/sasp/saspappendixf")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=HYPERLINK("https://aeronautics.sc.gov/airport-development/sc-airport-capital-project-bid-tabulations","https://aeronautics.sc.gov/airport-development/sc-airport-capital-proj")</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=HYPERLINK("https://aeronautics.sc.gov/airport-development/sc-airport-capital-project-bid-tabulations","https://aeronautics.sc.gov/airport-development/sc-airport-capital-proj")</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=HYPERLINK("https://aeronautics.sc.gov/sites/default/files/2025-05/250521_FLO_Rehab_Twy_A.pdf","https://aeronautics.sc.gov/sites/default/files/2025-05/250521_FLO_Reha")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=HYPERLINK("https://www.tn.gov/tdot/aeronautics/apmm-contract.html","https://www.tn.gov/tdot/aeronautics/apmm-contract.html")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=HYPERLINK("https://www.tn.gov/tdot/aeronautics/apmm-contract.html","https://www.tn.gov/tdot/aeronautics/apmm-contract.html")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=HYPERLINK("https://www.smyrnaairport.com/news-events/smyrna-airport-runway-119-grand-opening","https://www.smyrnaairport.com/news-events/smyrna-airport-runway-119-gr")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=HYPERLINK("https://www.stategazette.com/news/regional-airport-receives-state-grant/article_5fd852fd-1d67-525c-b6fc-b32fbc676bdc.html","https://www.stategazette.com/news/regional-airport-receives-state-gran")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=HYPERLINK("https://www.faa.gov/airports/aip/guidance_letters/aip_pgl_22_01","https://www.faa.gov/airports/aip/guidance_letters/aip_pgl_22_01")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=HYPERLINK("https://www.whitehouse.gov/wp-content/uploads/2026/03/CircularA-94Appendix-C.pdf","https://www.whitehouse.gov/wp-content/uploads/2026/03/CircularA-94Appe")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=HYPERLINK("https://www.whitehouse.gov/wp-content/uploads/2025/02/M-25-23-Rescission-and-Reinstatement-of-Circular-No.-A-94.pdf","https://www.whitehouse.gov/wp-content/uploads/2025/02/M-25-23-Rescissi")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=HYPERLINK("https://www.faa.gov/documentLibrary/media/Advisory_Circular/150_5320_6e_part4.pdf","https://www.faa.gov/documentLibrary/media/Advisory_Circular/150_5320_6")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=HYPERLINK("https://www.eng.auburn.edu/research/centers/ncat/files/aaptp/Report.Final.06-06.pdf","https://www.eng.auburn.edu/research/centers/ncat/files/aaptp/Report.Fi")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=HYPERLINK("https://dot.ca.gov/-/media/dot-media/programs/maintenance/documents/office-of-concrete-pavement/life-cycle-cost-analysis/lcca-25ca-manual-final-aug-1-2013-v2-a11y.pdf","https://dot.ca.gov/-/media/dot-media/programs/maintenance/documents/of")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=HYPERLINK("https://www.faa.gov/documentLibrary/media/Advisory_Circular/150-5320-6G-Pavement-Design.pdf","https://www.faa.gov/documentLibrary/media/Advisory_Circular/150-5320-6")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=HYPERLINK("https://www.eng.auburn.edu/research/centers/ncat/files/aaptp/Report.Final.06-06.pdf","https://www.eng.auburn.edu/research/centers/ncat/files/aaptp/Report.Fi")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=HYPERLINK("https://www.faa.gov/documentlibrary/media/advisory_circular/150-5380-7b.pdf","https://www.faa.gov/documentlibrary/media/advisory_circular/150-5380-7")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=HYPERLINK("https://www.faa.gov/documentlibrary/media/advisory_circular/150-5380-6c.pdf","https://www.faa.gov/documentlibrary/media/advisory_circular/150-5380-6")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=HYPERLINK("https://www.acpa.org/wp-content/uploads/2025/03/ACPA-Achieving-the-Goals-of-the-FAAs-Extended-Airport-Pavement-Life-Program.pdf","https://www.acpa.org/wp-content/uploads/2025/03/ACPA-Achieving-the-Goa")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=HYPERLINK("https://www.tarmacview.com/glossary/joint-sealant/","https://www.tarmacview.com/glossary/joint-sealant/")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=HYPERLINK("https://www.acpa.org/wp-content/uploads/2025/03/ACPA-Achieving-the-Goals-of-the-FAAs-Extended-Airport-Pavement-Life-Program.pdf","https://www.acpa.org/wp-content/uploads/2025/03/ACPA-Achieving-the-Goa")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=HYPERLINK("https://www.airporttech.tc.faa.gov/Portals/0/FactSheets/Extended%20Airport%20Pavement%20Life%20Factsheet_May%202024.pdf","https://www.airporttech.tc.faa.gov/Portals/0/FactSheets/Extended%20Air")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=HYPERLINK("https://nap.nationalacademies.org/catalog/23649/","https://nap.nationalacademies.org/catalog/23649/")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=HYPERLINK("https://www.faa.gov/documentLibrary/media/Advisory_Circular/150-5320-6G-Pavement-Design.pdf","https://www.faa.gov/documentLibrary/media/Advisory_Circular/150-5320-6")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2026-09-12T21:39:48.286Z</dcterms:created>
  <dcterms:modified xsi:type="dcterms:W3CDTF">2026-09-12T21:39:48.290Z</dcterms:modified>
</cp:coreProperties>
</file>

<file path=docProps/custom.xml><?xml version="1.0" encoding="utf-8"?>
<Properties xmlns="http://schemas.openxmlformats.org/officeDocument/2006/custom-properties" xmlns:vt="http://schemas.openxmlformats.org/officeDocument/2006/docPropsVTypes"/>
</file>