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FrostPuno</w:t>
      </w:r>
    </w:p>
    <w:p>
      <w:pPr>
        <w:jc w:val="center"/>
      </w:pPr>
      <w:r>
        <w:rPr>
          <w:b/>
          <w:i w:val="0"/>
          <w:sz w:val="28"/>
        </w:rPr>
        <w:t>Informe Técnico — Aprendizaje de Máquina</w:t>
      </w:r>
    </w:p>
    <w:p>
      <w:pPr>
        <w:jc w:val="center"/>
      </w:pPr>
      <w:r>
        <w:rPr>
          <w:b w:val="0"/>
          <w:i w:val="0"/>
          <w:sz w:val="24"/>
        </w:rPr>
        <w:t>Proyecto de la Segunda Unidad</w:t>
      </w:r>
    </w:p>
    <w:p>
      <w:pPr>
        <w:jc w:val="center"/>
      </w:pPr>
      <w:r>
        <w:rPr>
          <w:b w:val="0"/>
          <w:i/>
        </w:rPr>
        <w:t>Aplicación con elementos inteligentes basada en aprendizaje NO SUPERVISADO (K-Means), desplegada en producción, con mantenimiento e integración continua automatizados.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t>Universidad</w:t>
            </w:r>
          </w:p>
        </w:tc>
        <w:tc>
          <w:tcPr>
            <w:tcW w:type="dxa" w:w="4320"/>
          </w:tcPr>
          <w:p>
            <w:r>
              <w:t>Universidad Nacional del Altiplano — Ingeniería de Sistemas</w:t>
            </w:r>
          </w:p>
        </w:tc>
      </w:tr>
      <w:tr>
        <w:tc>
          <w:tcPr>
            <w:tcW w:type="dxa" w:w="4320"/>
          </w:tcPr>
          <w:p>
            <w:r>
              <w:t>Integrantes</w:t>
            </w:r>
          </w:p>
        </w:tc>
        <w:tc>
          <w:tcPr>
            <w:tcW w:type="dxa" w:w="4320"/>
          </w:tcPr>
          <w:p>
            <w:r>
              <w:t>Mamani Mendoza, Joseph Elvis / Lipe Machaca, Juan Artemio / Ticona Erquinigo, Jhoel Yovani / Tapara Ccahuana, Paul Renmis</w:t>
            </w:r>
          </w:p>
        </w:tc>
      </w:tr>
      <w:tr>
        <w:tc>
          <w:tcPr>
            <w:tcW w:type="dxa" w:w="4320"/>
          </w:tcPr>
          <w:p>
            <w:r>
              <w:t>Docente</w:t>
            </w:r>
          </w:p>
        </w:tc>
        <w:tc>
          <w:tcPr>
            <w:tcW w:type="dxa" w:w="4320"/>
          </w:tcPr>
          <w:p>
            <w:r>
              <w:t>[Completar]</w:t>
            </w:r>
          </w:p>
        </w:tc>
      </w:tr>
      <w:tr>
        <w:tc>
          <w:tcPr>
            <w:tcW w:type="dxa" w:w="4320"/>
          </w:tcPr>
          <w:p>
            <w:r>
              <w:t>Lugar y año</w:t>
            </w:r>
          </w:p>
        </w:tc>
        <w:tc>
          <w:tcPr>
            <w:tcW w:type="dxa" w:w="4320"/>
          </w:tcPr>
          <w:p>
            <w:r>
              <w:t>Puno, Perú — 2026</w:t>
            </w:r>
          </w:p>
        </w:tc>
      </w:tr>
    </w:tbl>
    <w:p/>
    <w:p>
      <w:pPr>
        <w:pStyle w:val="Heading2"/>
      </w:pPr>
      <w:r>
        <w:t>Producto en producción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Componente</w:t>
            </w:r>
          </w:p>
        </w:tc>
        <w:tc>
          <w:tcPr>
            <w:tcW w:type="dxa" w:w="4320"/>
          </w:tcPr>
          <w:p>
            <w:r>
              <w:rPr>
                <w:b/>
              </w:rPr>
              <w:t>URL</w:t>
            </w:r>
          </w:p>
        </w:tc>
      </w:tr>
      <w:tr>
        <w:tc>
          <w:tcPr>
            <w:tcW w:type="dxa" w:w="4320"/>
          </w:tcPr>
          <w:p>
            <w:r>
              <w:t>Aplicación web (Flutter)</w:t>
            </w:r>
          </w:p>
        </w:tc>
        <w:tc>
          <w:tcPr>
            <w:tcW w:type="dxa" w:w="4320"/>
          </w:tcPr>
          <w:p>
            <w:r>
              <w:t>https://frost-puno.vercel.app</w:t>
            </w:r>
          </w:p>
        </w:tc>
      </w:tr>
      <w:tr>
        <w:tc>
          <w:tcPr>
            <w:tcW w:type="dxa" w:w="4320"/>
          </w:tcPr>
          <w:p>
            <w:r>
              <w:t>API (FastAPI)</w:t>
            </w:r>
          </w:p>
        </w:tc>
        <w:tc>
          <w:tcPr>
            <w:tcW w:type="dxa" w:w="4320"/>
          </w:tcPr>
          <w:p>
            <w:r>
              <w:t>https://frost-puno.onrender.com  (docs en /docs)</w:t>
            </w:r>
          </w:p>
        </w:tc>
      </w:tr>
      <w:tr>
        <w:tc>
          <w:tcPr>
            <w:tcW w:type="dxa" w:w="4320"/>
          </w:tcPr>
          <w:p>
            <w:r>
              <w:t>Repositorio</w:t>
            </w:r>
          </w:p>
        </w:tc>
        <w:tc>
          <w:tcPr>
            <w:tcW w:type="dxa" w:w="4320"/>
          </w:tcPr>
          <w:p>
            <w:r>
              <w:t>https://github.com/JosephElvisMaman1/frost-puno</w:t>
            </w:r>
          </w:p>
        </w:tc>
      </w:tr>
      <w:tr>
        <w:tc>
          <w:tcPr>
            <w:tcW w:type="dxa" w:w="4320"/>
          </w:tcPr>
          <w:p>
            <w:r>
              <w:t>APK Android</w:t>
            </w:r>
          </w:p>
        </w:tc>
        <w:tc>
          <w:tcPr>
            <w:tcW w:type="dxa" w:w="4320"/>
          </w:tcPr>
          <w:p>
            <w:r>
              <w:t>app-release.apk (47 MB)</w:t>
            </w:r>
          </w:p>
        </w:tc>
      </w:tr>
      <w:tr>
        <w:tc>
          <w:tcPr>
            <w:tcW w:type="dxa" w:w="4320"/>
          </w:tcPr>
          <w:p>
            <w:r>
              <w:t>Video de la exposición</w:t>
            </w:r>
          </w:p>
        </w:tc>
        <w:tc>
          <w:tcPr>
            <w:tcW w:type="dxa" w:w="4320"/>
          </w:tcPr>
          <w:p>
            <w:r>
              <w:t>[completar URL]</w:t>
            </w:r>
          </w:p>
        </w:tc>
      </w:tr>
    </w:tbl>
    <w:p/>
    <w:p>
      <w:r>
        <w:br w:type="page"/>
      </w:r>
    </w:p>
    <w:p>
      <w:pPr>
        <w:pStyle w:val="Heading1"/>
      </w:pPr>
      <w:r>
        <w:t>1. Resumen</w:t>
      </w:r>
    </w:p>
    <w:p>
      <w:r>
        <w:rPr>
          <w:b w:val="0"/>
          <w:i w:val="0"/>
        </w:rPr>
        <w:t>FrostPuno predice el riesgo de heladas en el altiplano de Puno y apoya la producción tradicional de chuño. La lógica de negocio se operativiza mediante un modelo de aprendizaje no supervisado (K-Means) que agrupa los regímenes climáticos de los distritos y los mapea a niveles de riesgo. El sistema está desplegado en producción (Render + Vercel + Supabase) y su mantenimiento —incluido el reentrenamiento del modelo— está automatizado con GitHub Actions, con un quality gate que bloquea modelos que empeoran.</w:t>
      </w:r>
    </w:p>
    <w:p>
      <w:pPr>
        <w:ind w:left="504"/>
      </w:pPr>
      <w:r>
        <w:rPr>
          <w:i/>
        </w:rPr>
        <w:t>Nota de trazabilidad académica. El proyecto nació con un clasificador supervisado (RandomForest, métrica f1_macro). Se migró a aprendizaje no supervisado conforme al enunciado de la segunda unidad. Los scripts supervisados se conservan como legacy documentado, fuera del path productivo.</w:t>
      </w:r>
    </w:p>
    <w:p>
      <w:pPr>
        <w:pStyle w:val="Heading1"/>
      </w:pPr>
      <w:r>
        <w:t>2. Problema y contexto</w:t>
      </w:r>
    </w:p>
    <w:p>
      <w:r>
        <w:rPr>
          <w:b w:val="0"/>
          <w:i w:val="0"/>
        </w:rPr>
        <w:t>En el altiplano (&gt; 3800 m) las heladas dañan cultivos y causan mortalidad neonatal en crías de alpaca y ovino. Las mismas heladas son el insumo del chuño (papa deshidratada por congelamiento nocturno y secado diurno). Las decisiones se toman por experiencia empírica, sin información climática integrada. FrostPuno entrega: alerta diaria de helada, riesgo diferenciado para ganado, ventanas óptimas de chuño, detección de eventos inusuales e histórico climático.</w:t>
      </w:r>
    </w:p>
    <w:p>
      <w:pPr>
        <w:pStyle w:val="Heading1"/>
      </w:pPr>
      <w:r>
        <w:t>3. Dataset y características</w:t>
      </w:r>
    </w:p>
    <w:p>
      <w:r>
        <w:rPr>
          <w:b w:val="0"/>
          <w:i w:val="0"/>
        </w:rPr>
        <w:t>Fuentes: Open-Meteo (clima horario, histórico y pronóstico), semilla territorial compatible con INEI para los distritos de Puno, y SENAMHI documentado como fuente oficial prioritaria (sin API pública estable en el MVP).</w:t>
      </w:r>
    </w:p>
    <w:p>
      <w:r>
        <w:rPr>
          <w:b w:val="0"/>
          <w:i w:val="0"/>
        </w:rPr>
        <w:t>Volumen: 13 distritos × ventana horaria → 4 368 registros en data/processed/frost_training_dataset.csv (versionado en git: actúa como feature store del MVP y se valida en IC).</w:t>
      </w:r>
    </w:p>
    <w:p>
      <w:pPr>
        <w:pStyle w:val="Heading2"/>
      </w:pPr>
      <w:r>
        <w:t>Características del modelo</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Origen</w:t>
            </w:r>
          </w:p>
        </w:tc>
      </w:tr>
      <w:tr>
        <w:tc>
          <w:tcPr>
            <w:tcW w:type="dxa" w:w="4320"/>
          </w:tcPr>
          <w:p>
            <w:r>
              <w:t>altitud_estimada</w:t>
            </w:r>
          </w:p>
        </w:tc>
        <w:tc>
          <w:tcPr>
            <w:tcW w:type="dxa" w:w="4320"/>
          </w:tcPr>
          <w:p>
            <w:r>
              <w:t>semilla territorial del distrito</w:t>
            </w:r>
          </w:p>
        </w:tc>
      </w:tr>
      <w:tr>
        <w:tc>
          <w:tcPr>
            <w:tcW w:type="dxa" w:w="4320"/>
          </w:tcPr>
          <w:p>
            <w:r>
              <w:t>temperature_2m</w:t>
            </w:r>
          </w:p>
        </w:tc>
        <w:tc>
          <w:tcPr>
            <w:tcW w:type="dxa" w:w="4320"/>
          </w:tcPr>
          <w:p>
            <w:r>
              <w:t>Open-Meteo</w:t>
            </w:r>
          </w:p>
        </w:tc>
      </w:tr>
      <w:tr>
        <w:tc>
          <w:tcPr>
            <w:tcW w:type="dxa" w:w="4320"/>
          </w:tcPr>
          <w:p>
            <w:r>
              <w:t>dew_point_2m</w:t>
            </w:r>
          </w:p>
        </w:tc>
        <w:tc>
          <w:tcPr>
            <w:tcW w:type="dxa" w:w="4320"/>
          </w:tcPr>
          <w:p>
            <w:r>
              <w:t>Open-Meteo</w:t>
            </w:r>
          </w:p>
        </w:tc>
      </w:tr>
      <w:tr>
        <w:tc>
          <w:tcPr>
            <w:tcW w:type="dxa" w:w="4320"/>
          </w:tcPr>
          <w:p>
            <w:r>
              <w:t>relative_humidity_2m</w:t>
            </w:r>
          </w:p>
        </w:tc>
        <w:tc>
          <w:tcPr>
            <w:tcW w:type="dxa" w:w="4320"/>
          </w:tcPr>
          <w:p>
            <w:r>
              <w:t>Open-Meteo</w:t>
            </w:r>
          </w:p>
        </w:tc>
      </w:tr>
    </w:tbl>
    <w:p/>
    <w:p>
      <w:r>
        <w:rPr>
          <w:b/>
          <w:i w:val="0"/>
        </w:rPr>
        <w:t>Selección de características (experimento).</w:t>
      </w:r>
    </w:p>
    <w:p>
      <w:r>
        <w:rPr>
          <w:b w:val="0"/>
          <w:i w:val="0"/>
        </w:rPr>
        <w:t>Se partió de 8 variables. Un experimento de subconjuntos mostró que precipitation, wind_speed_10m, cloud_cover y apparent_temperature eran ruidosas o colineales y degradaban la separación de grupos. Al podarlas, la silhouette subió de 0.286 a 0.419 (+47 %). Se conservaron las cuatro variables con sentido físico para helada.</w:t>
      </w:r>
    </w:p>
    <w:p>
      <w:r>
        <w:rPr>
          <w:b w:val="0"/>
          <w:i w:val="0"/>
        </w:rPr>
        <w:t>Estas cuatro features están disponibles tanto en entrenamiento como en inferencia en vivo, garantizando que el mismo vector se pueda construir en producción. Este es el contrato ML↔backend, declarado en el metadata del modelo.</w:t>
      </w:r>
    </w:p>
    <w:p>
      <w:pPr>
        <w:jc w:val="center"/>
      </w:pPr>
      <w:r>
        <w:drawing>
          <wp:inline xmlns:a="http://schemas.openxmlformats.org/drawingml/2006/main" xmlns:pic="http://schemas.openxmlformats.org/drawingml/2006/picture">
            <wp:extent cx="5486400" cy="3614758"/>
            <wp:docPr id="1" name="Picture 1"/>
            <wp:cNvGraphicFramePr>
              <a:graphicFrameLocks noChangeAspect="1"/>
            </wp:cNvGraphicFramePr>
            <a:graphic>
              <a:graphicData uri="http://schemas.openxmlformats.org/drawingml/2006/picture">
                <pic:pic>
                  <pic:nvPicPr>
                    <pic:cNvPr id="0" name="02_dataset_generado.png"/>
                    <pic:cNvPicPr/>
                  </pic:nvPicPr>
                  <pic:blipFill>
                    <a:blip r:embed="rId9"/>
                    <a:stretch>
                      <a:fillRect/>
                    </a:stretch>
                  </pic:blipFill>
                  <pic:spPr>
                    <a:xfrm>
                      <a:off x="0" y="0"/>
                      <a:ext cx="5486400" cy="3614758"/>
                    </a:xfrm>
                    <a:prstGeom prst="rect"/>
                  </pic:spPr>
                </pic:pic>
              </a:graphicData>
            </a:graphic>
          </wp:inline>
        </w:drawing>
      </w:r>
    </w:p>
    <w:p>
      <w:pPr>
        <w:jc w:val="center"/>
      </w:pPr>
      <w:r>
        <w:rPr>
          <w:i/>
          <w:sz w:val="18"/>
        </w:rPr>
        <w:t>Fig. 1. Dataset de entrenamiento generado.</w:t>
      </w:r>
    </w:p>
    <w:p>
      <w:pPr>
        <w:pStyle w:val="Heading1"/>
      </w:pPr>
      <w:r>
        <w:t>4. Entrenamiento del modelo e hiperparámetros optimizados</w:t>
      </w:r>
    </w:p>
    <w:p>
      <w:r>
        <w:rPr>
          <w:b w:val="0"/>
          <w:i w:val="0"/>
        </w:rPr>
        <w:t>Algoritmo: KMeans (scikit-learn) dentro de un Pipeline con StandardScaler, ya que las features tienen escalas muy distintas (metros vs. grados vs. porcentaje).</w:t>
      </w:r>
    </w:p>
    <w:p>
      <w:r>
        <w:rPr>
          <w:b/>
          <w:i w:val="0"/>
        </w:rPr>
        <w:t>Optimización de hiperparámetros: grid search de 24 combinaciones maximizando silhouette.</w:t>
      </w:r>
    </w:p>
    <w:tbl>
      <w:tblPr>
        <w:tblStyle w:val="LightGrid-Accent1"/>
        <w:tblW w:type="auto" w:w="0"/>
        <w:tblLook w:firstColumn="1" w:firstRow="1" w:lastColumn="0" w:lastRow="0" w:noHBand="0" w:noVBand="1" w:val="04A0"/>
      </w:tblPr>
      <w:tblGrid>
        <w:gridCol w:w="4320"/>
        <w:gridCol w:w="4320"/>
      </w:tblGrid>
      <w:tr>
        <w:tc>
          <w:tcPr>
            <w:tcW w:type="dxa" w:w="4320"/>
          </w:tcPr>
          <w:p>
            <w:r>
              <w:rPr>
                <w:b/>
              </w:rPr>
              <w:t>Hiperparámetro</w:t>
            </w:r>
          </w:p>
        </w:tc>
        <w:tc>
          <w:tcPr>
            <w:tcW w:type="dxa" w:w="4320"/>
          </w:tcPr>
          <w:p>
            <w:r>
              <w:rPr>
                <w:b/>
              </w:rPr>
              <w:t>Valores explorados</w:t>
            </w:r>
          </w:p>
        </w:tc>
      </w:tr>
      <w:tr>
        <w:tc>
          <w:tcPr>
            <w:tcW w:type="dxa" w:w="4320"/>
          </w:tcPr>
          <w:p>
            <w:r>
              <w:t>n_clusters (k)</w:t>
            </w:r>
          </w:p>
        </w:tc>
        <w:tc>
          <w:tcPr>
            <w:tcW w:type="dxa" w:w="4320"/>
          </w:tcPr>
          <w:p>
            <w:r>
              <w:t>3, 4, 5, 6, 7, 8</w:t>
            </w:r>
          </w:p>
        </w:tc>
      </w:tr>
      <w:tr>
        <w:tc>
          <w:tcPr>
            <w:tcW w:type="dxa" w:w="4320"/>
          </w:tcPr>
          <w:p>
            <w:r>
              <w:t>init</w:t>
            </w:r>
          </w:p>
        </w:tc>
        <w:tc>
          <w:tcPr>
            <w:tcW w:type="dxa" w:w="4320"/>
          </w:tcPr>
          <w:p>
            <w:r>
              <w:t>k-means++, random</w:t>
            </w:r>
          </w:p>
        </w:tc>
      </w:tr>
      <w:tr>
        <w:tc>
          <w:tcPr>
            <w:tcW w:type="dxa" w:w="4320"/>
          </w:tcPr>
          <w:p>
            <w:r>
              <w:t>n_init</w:t>
            </w:r>
          </w:p>
        </w:tc>
        <w:tc>
          <w:tcPr>
            <w:tcW w:type="dxa" w:w="4320"/>
          </w:tcPr>
          <w:p>
            <w:r>
              <w:t>10, 25</w:t>
            </w:r>
          </w:p>
        </w:tc>
      </w:tr>
      <w:tr>
        <w:tc>
          <w:tcPr>
            <w:tcW w:type="dxa" w:w="4320"/>
          </w:tcPr>
          <w:p>
            <w:r>
              <w:t>random_state</w:t>
            </w:r>
          </w:p>
        </w:tc>
        <w:tc>
          <w:tcPr>
            <w:tcW w:type="dxa" w:w="4320"/>
          </w:tcPr>
          <w:p>
            <w:r>
              <w:t>42 (reproducibilidad)</w:t>
            </w:r>
          </w:p>
        </w:tc>
      </w:tr>
    </w:tbl>
    <w:p/>
    <w:p>
      <w:r>
        <w:rPr>
          <w:b w:val="0"/>
          <w:i w:val="0"/>
        </w:rPr>
        <w:t>Configuración ganadora: k=3, init=random, n_init=10, StandardScaler. El grid completo se persiste en cluster_metadata.json bajo hyperparameter_search como evidencia auditable.</w:t>
      </w:r>
    </w:p>
    <w:p>
      <w:pPr>
        <w:pStyle w:val="Heading2"/>
      </w:pPr>
      <w:r>
        <w:t>Selección de k (mejor combinación por cada 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w:t>
            </w:r>
          </w:p>
        </w:tc>
        <w:tc>
          <w:tcPr>
            <w:tcW w:type="dxa" w:w="2880"/>
          </w:tcPr>
          <w:p>
            <w:r>
              <w:rPr>
                <w:b/>
              </w:rPr>
              <w:t>Silhouette</w:t>
            </w:r>
          </w:p>
        </w:tc>
        <w:tc>
          <w:tcPr>
            <w:tcW w:type="dxa" w:w="2880"/>
          </w:tcPr>
          <w:p>
            <w:r>
              <w:rPr>
                <w:b/>
              </w:rPr>
              <w:t>Davies-Bouldin</w:t>
            </w:r>
          </w:p>
        </w:tc>
      </w:tr>
      <w:tr>
        <w:tc>
          <w:tcPr>
            <w:tcW w:type="dxa" w:w="2880"/>
          </w:tcPr>
          <w:p>
            <w:r>
              <w:t>3 (elegido)</w:t>
            </w:r>
          </w:p>
        </w:tc>
        <w:tc>
          <w:tcPr>
            <w:tcW w:type="dxa" w:w="2880"/>
          </w:tcPr>
          <w:p>
            <w:r>
              <w:t>0.4195</w:t>
            </w:r>
          </w:p>
        </w:tc>
        <w:tc>
          <w:tcPr>
            <w:tcW w:type="dxa" w:w="2880"/>
          </w:tcPr>
          <w:p>
            <w:r>
              <w:t>0.813</w:t>
            </w:r>
          </w:p>
        </w:tc>
      </w:tr>
      <w:tr>
        <w:tc>
          <w:tcPr>
            <w:tcW w:type="dxa" w:w="2880"/>
          </w:tcPr>
          <w:p>
            <w:r>
              <w:t>4</w:t>
            </w:r>
          </w:p>
        </w:tc>
        <w:tc>
          <w:tcPr>
            <w:tcW w:type="dxa" w:w="2880"/>
          </w:tcPr>
          <w:p>
            <w:r>
              <w:t>0.3894</w:t>
            </w:r>
          </w:p>
        </w:tc>
        <w:tc>
          <w:tcPr>
            <w:tcW w:type="dxa" w:w="2880"/>
          </w:tcPr>
          <w:p>
            <w:r>
              <w:t>0.906</w:t>
            </w:r>
          </w:p>
        </w:tc>
      </w:tr>
      <w:tr>
        <w:tc>
          <w:tcPr>
            <w:tcW w:type="dxa" w:w="2880"/>
          </w:tcPr>
          <w:p>
            <w:r>
              <w:t>5</w:t>
            </w:r>
          </w:p>
        </w:tc>
        <w:tc>
          <w:tcPr>
            <w:tcW w:type="dxa" w:w="2880"/>
          </w:tcPr>
          <w:p>
            <w:r>
              <w:t>0.3760</w:t>
            </w:r>
          </w:p>
        </w:tc>
        <w:tc>
          <w:tcPr>
            <w:tcW w:type="dxa" w:w="2880"/>
          </w:tcPr>
          <w:p>
            <w:r>
              <w:t>0.820</w:t>
            </w:r>
          </w:p>
        </w:tc>
      </w:tr>
      <w:tr>
        <w:tc>
          <w:tcPr>
            <w:tcW w:type="dxa" w:w="2880"/>
          </w:tcPr>
          <w:p>
            <w:r>
              <w:t>6</w:t>
            </w:r>
          </w:p>
        </w:tc>
        <w:tc>
          <w:tcPr>
            <w:tcW w:type="dxa" w:w="2880"/>
          </w:tcPr>
          <w:p>
            <w:r>
              <w:t>0.3697</w:t>
            </w:r>
          </w:p>
        </w:tc>
        <w:tc>
          <w:tcPr>
            <w:tcW w:type="dxa" w:w="2880"/>
          </w:tcPr>
          <w:p>
            <w:r>
              <w:t>0.870</w:t>
            </w:r>
          </w:p>
        </w:tc>
      </w:tr>
      <w:tr>
        <w:tc>
          <w:tcPr>
            <w:tcW w:type="dxa" w:w="2880"/>
          </w:tcPr>
          <w:p>
            <w:r>
              <w:t>7</w:t>
            </w:r>
          </w:p>
        </w:tc>
        <w:tc>
          <w:tcPr>
            <w:tcW w:type="dxa" w:w="2880"/>
          </w:tcPr>
          <w:p>
            <w:r>
              <w:t>0.3645</w:t>
            </w:r>
          </w:p>
        </w:tc>
        <w:tc>
          <w:tcPr>
            <w:tcW w:type="dxa" w:w="2880"/>
          </w:tcPr>
          <w:p>
            <w:r>
              <w:t>0.865</w:t>
            </w:r>
          </w:p>
        </w:tc>
      </w:tr>
      <w:tr>
        <w:tc>
          <w:tcPr>
            <w:tcW w:type="dxa" w:w="2880"/>
          </w:tcPr>
          <w:p>
            <w:r>
              <w:t>8</w:t>
            </w:r>
          </w:p>
        </w:tc>
        <w:tc>
          <w:tcPr>
            <w:tcW w:type="dxa" w:w="2880"/>
          </w:tcPr>
          <w:p>
            <w:r>
              <w:t>0.3391</w:t>
            </w:r>
          </w:p>
        </w:tc>
        <w:tc>
          <w:tcPr>
            <w:tcW w:type="dxa" w:w="2880"/>
          </w:tcPr>
          <w:p>
            <w:r>
              <w:t>0.883</w:t>
            </w:r>
          </w:p>
        </w:tc>
      </w:tr>
    </w:tbl>
    <w:p/>
    <w:p>
      <w:r>
        <w:rPr>
          <w:b w:val="0"/>
          <w:i w:val="0"/>
        </w:rPr>
        <w:t>k = 3 gana en silhouette y en Davies-Bouldin, y coincide con los tres niveles de riesgo operativos (alto/medio/bajo).</w:t>
      </w:r>
    </w:p>
    <w:p>
      <w:r>
        <w:rPr>
          <w:b w:val="0"/>
          <w:i w:val="0"/>
        </w:rPr>
        <w:t>Asignación de niveles (post-hoc): los clusters se ordenan por temperatura media; el más frío es riesgo alto. Es descripción de los grupos hallados, no supervisión: no se usan etiquetas en el entrenamiento.</w:t>
      </w:r>
    </w:p>
    <w:p>
      <w:pPr>
        <w:jc w:val="center"/>
      </w:pPr>
      <w:r>
        <w:drawing>
          <wp:inline xmlns:a="http://schemas.openxmlformats.org/drawingml/2006/main" xmlns:pic="http://schemas.openxmlformats.org/drawingml/2006/picture">
            <wp:extent cx="5486400" cy="5759515"/>
            <wp:docPr id="2" name="Picture 2"/>
            <wp:cNvGraphicFramePr>
              <a:graphicFrameLocks noChangeAspect="1"/>
            </wp:cNvGraphicFramePr>
            <a:graphic>
              <a:graphicData uri="http://schemas.openxmlformats.org/drawingml/2006/picture">
                <pic:pic>
                  <pic:nvPicPr>
                    <pic:cNvPr id="0" name="03_model_metadata.png"/>
                    <pic:cNvPicPr/>
                  </pic:nvPicPr>
                  <pic:blipFill>
                    <a:blip r:embed="rId10"/>
                    <a:stretch>
                      <a:fillRect/>
                    </a:stretch>
                  </pic:blipFill>
                  <pic:spPr>
                    <a:xfrm>
                      <a:off x="0" y="0"/>
                      <a:ext cx="5486400" cy="5759515"/>
                    </a:xfrm>
                    <a:prstGeom prst="rect"/>
                  </pic:spPr>
                </pic:pic>
              </a:graphicData>
            </a:graphic>
          </wp:inline>
        </w:drawing>
      </w:r>
    </w:p>
    <w:p>
      <w:pPr>
        <w:jc w:val="center"/>
      </w:pPr>
      <w:r>
        <w:rPr>
          <w:i/>
          <w:sz w:val="18"/>
        </w:rPr>
        <w:t>Fig. 2. Metadata del modelo en el registry.</w:t>
      </w:r>
    </w:p>
    <w:p>
      <w:pPr>
        <w:pStyle w:val="Heading1"/>
      </w:pPr>
      <w:r>
        <w:t>5. Evaluación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Interpretación</w:t>
            </w:r>
          </w:p>
        </w:tc>
      </w:tr>
      <w:tr>
        <w:tc>
          <w:tcPr>
            <w:tcW w:type="dxa" w:w="2880"/>
          </w:tcPr>
          <w:p>
            <w:r>
              <w:t>Silhouette</w:t>
            </w:r>
          </w:p>
        </w:tc>
        <w:tc>
          <w:tcPr>
            <w:tcW w:type="dxa" w:w="2880"/>
          </w:tcPr>
          <w:p>
            <w:r>
              <w:t>0.4195</w:t>
            </w:r>
          </w:p>
        </w:tc>
        <w:tc>
          <w:tcPr>
            <w:tcW w:type="dxa" w:w="2880"/>
          </w:tcPr>
          <w:p>
            <w:r>
              <w:t>cohesión/separación de los grupos (mayor es mejor)</w:t>
            </w:r>
          </w:p>
        </w:tc>
      </w:tr>
      <w:tr>
        <w:tc>
          <w:tcPr>
            <w:tcW w:type="dxa" w:w="2880"/>
          </w:tcPr>
          <w:p>
            <w:r>
              <w:t>Davies-Bouldin</w:t>
            </w:r>
          </w:p>
        </w:tc>
        <w:tc>
          <w:tcPr>
            <w:tcW w:type="dxa" w:w="2880"/>
          </w:tcPr>
          <w:p>
            <w:r>
              <w:t>0.813</w:t>
            </w:r>
          </w:p>
        </w:tc>
        <w:tc>
          <w:tcPr>
            <w:tcW w:type="dxa" w:w="2880"/>
          </w:tcPr>
          <w:p>
            <w:r>
              <w:t>dispersión intra vs. inter cluster (menor es mejor)</w:t>
            </w:r>
          </w:p>
        </w:tc>
      </w:tr>
      <w:tr>
        <w:tc>
          <w:tcPr>
            <w:tcW w:type="dxa" w:w="2880"/>
          </w:tcPr>
          <w:p>
            <w:r>
              <w:t>Inercia</w:t>
            </w:r>
          </w:p>
        </w:tc>
        <w:tc>
          <w:tcPr>
            <w:tcW w:type="dxa" w:w="2880"/>
          </w:tcPr>
          <w:p>
            <w:r>
              <w:t>5 783</w:t>
            </w:r>
          </w:p>
        </w:tc>
        <w:tc>
          <w:tcPr>
            <w:tcW w:type="dxa" w:w="2880"/>
          </w:tcPr>
          <w:p>
            <w:r>
              <w:t>suma de distancias al centroide</w:t>
            </w:r>
          </w:p>
        </w:tc>
      </w:tr>
    </w:tbl>
    <w:p/>
    <w:p>
      <w:r>
        <w:rPr>
          <w:b w:val="0"/>
          <w:i w:val="0"/>
        </w:rPr>
        <w:t>Por qué no accuracy ni F1: no existen etiquetas de verdad de terreno para 'hubo helada' en estos distritos. Al ser aprendizaje no supervisado, la evaluación mide la calidad de la estructura descubierta, no el acierto contra una etiqueta.</w:t>
      </w:r>
    </w:p>
    <w:p>
      <w:pPr>
        <w:pStyle w:val="Heading2"/>
      </w:pPr>
      <w:r>
        <w:t>Perfil de los clusters encontrados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Cluster</w:t>
            </w:r>
          </w:p>
        </w:tc>
        <w:tc>
          <w:tcPr>
            <w:tcW w:type="dxa" w:w="1728"/>
          </w:tcPr>
          <w:p>
            <w:r>
              <w:rPr>
                <w:b/>
              </w:rPr>
              <w:t>Nivel</w:t>
            </w:r>
          </w:p>
        </w:tc>
        <w:tc>
          <w:tcPr>
            <w:tcW w:type="dxa" w:w="1728"/>
          </w:tcPr>
          <w:p>
            <w:r>
              <w:rPr>
                <w:b/>
              </w:rPr>
              <w:t>Temp. media</w:t>
            </w:r>
          </w:p>
        </w:tc>
        <w:tc>
          <w:tcPr>
            <w:tcW w:type="dxa" w:w="1728"/>
          </w:tcPr>
          <w:p>
            <w:r>
              <w:rPr>
                <w:b/>
              </w:rPr>
              <w:t>Altitud media</w:t>
            </w:r>
          </w:p>
        </w:tc>
        <w:tc>
          <w:tcPr>
            <w:tcW w:type="dxa" w:w="1728"/>
          </w:tcPr>
          <w:p>
            <w:r>
              <w:rPr>
                <w:b/>
              </w:rPr>
              <w:t>Observaciones</w:t>
            </w:r>
          </w:p>
        </w:tc>
      </w:tr>
      <w:tr>
        <w:tc>
          <w:tcPr>
            <w:tcW w:type="dxa" w:w="1728"/>
          </w:tcPr>
          <w:p>
            <w:r>
              <w:t>0</w:t>
            </w:r>
          </w:p>
        </w:tc>
        <w:tc>
          <w:tcPr>
            <w:tcW w:type="dxa" w:w="1728"/>
          </w:tcPr>
          <w:p>
            <w:r>
              <w:t>alto</w:t>
            </w:r>
          </w:p>
        </w:tc>
        <w:tc>
          <w:tcPr>
            <w:tcW w:type="dxa" w:w="1728"/>
          </w:tcPr>
          <w:p>
            <w:r>
              <w:t>4.0 °C</w:t>
            </w:r>
          </w:p>
        </w:tc>
        <w:tc>
          <w:tcPr>
            <w:tcW w:type="dxa" w:w="1728"/>
          </w:tcPr>
          <w:p>
            <w:r>
              <w:t>3 905 m</w:t>
            </w:r>
          </w:p>
        </w:tc>
        <w:tc>
          <w:tcPr>
            <w:tcW w:type="dxa" w:w="1728"/>
          </w:tcPr>
          <w:p>
            <w:r>
              <w:t>1 889</w:t>
            </w:r>
          </w:p>
        </w:tc>
      </w:tr>
      <w:tr>
        <w:tc>
          <w:tcPr>
            <w:tcW w:type="dxa" w:w="1728"/>
          </w:tcPr>
          <w:p>
            <w:r>
              <w:t>2</w:t>
            </w:r>
          </w:p>
        </w:tc>
        <w:tc>
          <w:tcPr>
            <w:tcW w:type="dxa" w:w="1728"/>
          </w:tcPr>
          <w:p>
            <w:r>
              <w:t>medio</w:t>
            </w:r>
          </w:p>
        </w:tc>
        <w:tc>
          <w:tcPr>
            <w:tcW w:type="dxa" w:w="1728"/>
          </w:tcPr>
          <w:p>
            <w:r>
              <w:t>11.6 °C</w:t>
            </w:r>
          </w:p>
        </w:tc>
        <w:tc>
          <w:tcPr>
            <w:tcW w:type="dxa" w:w="1728"/>
          </w:tcPr>
          <w:p>
            <w:r>
              <w:t>3 893 m</w:t>
            </w:r>
          </w:p>
        </w:tc>
        <w:tc>
          <w:tcPr>
            <w:tcW w:type="dxa" w:w="1728"/>
          </w:tcPr>
          <w:p>
            <w:r>
              <w:t>2 145</w:t>
            </w:r>
          </w:p>
        </w:tc>
      </w:tr>
      <w:tr>
        <w:tc>
          <w:tcPr>
            <w:tcW w:type="dxa" w:w="1728"/>
          </w:tcPr>
          <w:p>
            <w:r>
              <w:t>1</w:t>
            </w:r>
          </w:p>
        </w:tc>
        <w:tc>
          <w:tcPr>
            <w:tcW w:type="dxa" w:w="1728"/>
          </w:tcPr>
          <w:p>
            <w:r>
              <w:t>bajo</w:t>
            </w:r>
          </w:p>
        </w:tc>
        <w:tc>
          <w:tcPr>
            <w:tcW w:type="dxa" w:w="1728"/>
          </w:tcPr>
          <w:p>
            <w:r>
              <w:t>13.6 °C</w:t>
            </w:r>
          </w:p>
        </w:tc>
        <w:tc>
          <w:tcPr>
            <w:tcW w:type="dxa" w:w="1728"/>
          </w:tcPr>
          <w:p>
            <w:r>
              <w:t>2 170 m</w:t>
            </w:r>
          </w:p>
        </w:tc>
        <w:tc>
          <w:tcPr>
            <w:tcW w:type="dxa" w:w="1728"/>
          </w:tcPr>
          <w:p>
            <w:r>
              <w:t>334</w:t>
            </w:r>
          </w:p>
        </w:tc>
      </w:tr>
    </w:tbl>
    <w:p/>
    <w:p>
      <w:r>
        <w:rPr>
          <w:b w:val="0"/>
          <w:i w:val="0"/>
        </w:rPr>
        <w:t>Resultado interpretable: Macusani (4 315 m), Juliaca y Huancané → riesgo alto; Puno, Azángaro y Ayaviri → medio; Sandia (2 170 m, valle) → bajo. El ordenamiento surge del clustering, no de reglas escritas a mano, y coincide con el conocimiento geográfico de la región.</w:t>
      </w:r>
    </w:p>
    <w:p>
      <w:pPr>
        <w:jc w:val="center"/>
      </w:pPr>
      <w:r>
        <w:drawing>
          <wp:inline xmlns:a="http://schemas.openxmlformats.org/drawingml/2006/main" xmlns:pic="http://schemas.openxmlformats.org/drawingml/2006/picture">
            <wp:extent cx="5486400" cy="3614758"/>
            <wp:docPr id="3" name="Picture 3"/>
            <wp:cNvGraphicFramePr>
              <a:graphicFrameLocks noChangeAspect="1"/>
            </wp:cNvGraphicFramePr>
            <a:graphic>
              <a:graphicData uri="http://schemas.openxmlformats.org/drawingml/2006/picture">
                <pic:pic>
                  <pic:nvPicPr>
                    <pic:cNvPr id="0" name="30_render_model_info.png"/>
                    <pic:cNvPicPr/>
                  </pic:nvPicPr>
                  <pic:blipFill>
                    <a:blip r:embed="rId11"/>
                    <a:stretch>
                      <a:fillRect/>
                    </a:stretch>
                  </pic:blipFill>
                  <pic:spPr>
                    <a:xfrm>
                      <a:off x="0" y="0"/>
                      <a:ext cx="5486400" cy="3614758"/>
                    </a:xfrm>
                    <a:prstGeom prst="rect"/>
                  </pic:spPr>
                </pic:pic>
              </a:graphicData>
            </a:graphic>
          </wp:inline>
        </w:drawing>
      </w:r>
    </w:p>
    <w:p>
      <w:pPr>
        <w:jc w:val="center"/>
      </w:pPr>
      <w:r>
        <w:rPr>
          <w:i/>
          <w:sz w:val="18"/>
        </w:rPr>
        <w:t>Fig. 3. Endpoint /ml/model-info en producción.</w:t>
      </w:r>
    </w:p>
    <w:p>
      <w:pPr>
        <w:pStyle w:val="Heading1"/>
      </w:pPr>
      <w:r>
        <w:t>6. Organización del código fuente</w:t>
      </w:r>
    </w:p>
    <w:p>
      <w:pPr>
        <w:ind w:left="432"/>
      </w:pPr>
      <w:r>
        <w:rPr>
          <w:rFonts w:ascii="Consolas" w:hAnsi="Consolas"/>
          <w:sz w:val="18"/>
        </w:rPr>
        <w:t>ml_pipeline/        # Pipeline de ML</w:t>
        <w:br/>
        <w:t xml:space="preserve">  config.py           # fuente unica de rutas, features y constantes</w:t>
        <w:br/>
        <w:t xml:space="preserve">  data_ingestion/     # ingesta paralela Open-Meteo (ThreadPoolExecutor)</w:t>
        <w:br/>
        <w:t xml:space="preserve">  features/           # construccion del dataset (feature store)</w:t>
        <w:br/>
        <w:t xml:space="preserve">  clustering/         # train_clusters.py (K-Means) + adaptive_retrain.py</w:t>
        <w:br/>
        <w:t xml:space="preserve">  registry/           # modelo .joblib + metadata + quality gate</w:t>
        <w:br/>
        <w:t xml:space="preserve">  tests/              # pruebas de mantenimiento e IC</w:t>
        <w:br/>
        <w:t>backend_fastapi/    # API que sirve el modelo</w:t>
        <w:br/>
        <w:t xml:space="preserve">  app/api/routes/     # HTTP -&gt; services -&gt; repositories -&gt; schemas</w:t>
        <w:br/>
        <w:t>app_flutter/        # Cliente web + Android (feature-first, i18n ES/EN)</w:t>
        <w:br/>
        <w:t>data/               # datasets versionados y validados en IC</w:t>
        <w:br/>
        <w:t>.github/workflows/  # 5 pipelines de integracion continua</w:t>
      </w:r>
    </w:p>
    <w:p>
      <w:r>
        <w:rPr>
          <w:b w:val="0"/>
          <w:i w:val="0"/>
        </w:rPr>
        <w:t>Principios: configuración centralizada (nada de rutas hardcodeadas), separación estricta por capas en el backend, y el metadata del modelo como contrato entre el pipeline de ML y el servicio de inferencia.</w:t>
      </w:r>
    </w:p>
    <w:p>
      <w:pPr>
        <w:jc w:val="center"/>
      </w:pPr>
      <w:r>
        <w:drawing>
          <wp:inline xmlns:a="http://schemas.openxmlformats.org/drawingml/2006/main" xmlns:pic="http://schemas.openxmlformats.org/drawingml/2006/picture">
            <wp:extent cx="5486400" cy="25363555"/>
            <wp:docPr id="4" name="Picture 4"/>
            <wp:cNvGraphicFramePr>
              <a:graphicFrameLocks noChangeAspect="1"/>
            </wp:cNvGraphicFramePr>
            <a:graphic>
              <a:graphicData uri="http://schemas.openxmlformats.org/drawingml/2006/picture">
                <pic:pic>
                  <pic:nvPicPr>
                    <pic:cNvPr id="0" name="01_estructura_proyecto.png"/>
                    <pic:cNvPicPr/>
                  </pic:nvPicPr>
                  <pic:blipFill>
                    <a:blip r:embed="rId12"/>
                    <a:stretch>
                      <a:fillRect/>
                    </a:stretch>
                  </pic:blipFill>
                  <pic:spPr>
                    <a:xfrm>
                      <a:off x="0" y="0"/>
                      <a:ext cx="5486400" cy="25363555"/>
                    </a:xfrm>
                    <a:prstGeom prst="rect"/>
                  </pic:spPr>
                </pic:pic>
              </a:graphicData>
            </a:graphic>
          </wp:inline>
        </w:drawing>
      </w:r>
    </w:p>
    <w:p>
      <w:pPr>
        <w:jc w:val="center"/>
      </w:pPr>
      <w:r>
        <w:rPr>
          <w:i/>
          <w:sz w:val="18"/>
        </w:rPr>
        <w:t>Fig. 4. Estructura del proyecto.</w:t>
      </w:r>
    </w:p>
    <w:p>
      <w:pPr>
        <w:pStyle w:val="Heading1"/>
      </w:pPr>
      <w:r>
        <w:t>7. Herramientas y plataformas</w:t>
      </w:r>
    </w:p>
    <w:tbl>
      <w:tblPr>
        <w:tblStyle w:val="LightGrid-Accent1"/>
        <w:tblW w:type="auto" w:w="0"/>
        <w:tblLook w:firstColumn="1" w:firstRow="1" w:lastColumn="0" w:lastRow="0" w:noHBand="0" w:noVBand="1" w:val="04A0"/>
      </w:tblPr>
      <w:tblGrid>
        <w:gridCol w:w="4320"/>
        <w:gridCol w:w="4320"/>
      </w:tblGrid>
      <w:tr>
        <w:tc>
          <w:tcPr>
            <w:tcW w:type="dxa" w:w="4320"/>
          </w:tcPr>
          <w:p>
            <w:r>
              <w:rPr>
                <w:b/>
              </w:rPr>
              <w:t>Área</w:t>
            </w:r>
          </w:p>
        </w:tc>
        <w:tc>
          <w:tcPr>
            <w:tcW w:type="dxa" w:w="4320"/>
          </w:tcPr>
          <w:p>
            <w:r>
              <w:rPr>
                <w:b/>
              </w:rPr>
              <w:t>Herramienta</w:t>
            </w:r>
          </w:p>
        </w:tc>
      </w:tr>
      <w:tr>
        <w:tc>
          <w:tcPr>
            <w:tcW w:type="dxa" w:w="4320"/>
          </w:tcPr>
          <w:p>
            <w:r>
              <w:t>ML</w:t>
            </w:r>
          </w:p>
        </w:tc>
        <w:tc>
          <w:tcPr>
            <w:tcW w:type="dxa" w:w="4320"/>
          </w:tcPr>
          <w:p>
            <w:r>
              <w:t>Python 3.11, scikit-learn, pandas, joblib</w:t>
            </w:r>
          </w:p>
        </w:tc>
      </w:tr>
      <w:tr>
        <w:tc>
          <w:tcPr>
            <w:tcW w:type="dxa" w:w="4320"/>
          </w:tcPr>
          <w:p>
            <w:r>
              <w:t>Backend</w:t>
            </w:r>
          </w:p>
        </w:tc>
        <w:tc>
          <w:tcPr>
            <w:tcW w:type="dxa" w:w="4320"/>
          </w:tcPr>
          <w:p>
            <w:r>
              <w:t>FastAPI, Uvicorn, Pydantic, httpx</w:t>
            </w:r>
          </w:p>
        </w:tc>
      </w:tr>
      <w:tr>
        <w:tc>
          <w:tcPr>
            <w:tcW w:type="dxa" w:w="4320"/>
          </w:tcPr>
          <w:p>
            <w:r>
              <w:t>Cliente</w:t>
            </w:r>
          </w:p>
        </w:tc>
        <w:tc>
          <w:tcPr>
            <w:tcW w:type="dxa" w:w="4320"/>
          </w:tcPr>
          <w:p>
            <w:r>
              <w:t>Flutter (Web + Android), fl_chart, shared_preferences</w:t>
            </w:r>
          </w:p>
        </w:tc>
      </w:tr>
      <w:tr>
        <w:tc>
          <w:tcPr>
            <w:tcW w:type="dxa" w:w="4320"/>
          </w:tcPr>
          <w:p>
            <w:r>
              <w:t>Despliegue</w:t>
            </w:r>
          </w:p>
        </w:tc>
        <w:tc>
          <w:tcPr>
            <w:tcW w:type="dxa" w:w="4320"/>
          </w:tcPr>
          <w:p>
            <w:r>
              <w:t>Render (API), Vercel (web), Supabase (PostgreSQL)</w:t>
            </w:r>
          </w:p>
        </w:tc>
      </w:tr>
      <w:tr>
        <w:tc>
          <w:tcPr>
            <w:tcW w:type="dxa" w:w="4320"/>
          </w:tcPr>
          <w:p>
            <w:r>
              <w:t>CI/CD</w:t>
            </w:r>
          </w:p>
        </w:tc>
        <w:tc>
          <w:tcPr>
            <w:tcW w:type="dxa" w:w="4320"/>
          </w:tcPr>
          <w:p>
            <w:r>
              <w:t>GitHub Actions (5 workflows)</w:t>
            </w:r>
          </w:p>
        </w:tc>
      </w:tr>
      <w:tr>
        <w:tc>
          <w:tcPr>
            <w:tcW w:type="dxa" w:w="4320"/>
          </w:tcPr>
          <w:p>
            <w:r>
              <w:t>Datos</w:t>
            </w:r>
          </w:p>
        </w:tc>
        <w:tc>
          <w:tcPr>
            <w:tcW w:type="dxa" w:w="4320"/>
          </w:tcPr>
          <w:p>
            <w:r>
              <w:t>Open-Meteo API (histórico, pronóstico y archivo)</w:t>
            </w:r>
          </w:p>
        </w:tc>
      </w:tr>
    </w:tbl>
    <w:p/>
    <w:p>
      <w:pPr>
        <w:pStyle w:val="Heading1"/>
      </w:pPr>
      <w:r>
        <w:t>8. Consideraciones de despliegue inicial</w:t>
      </w:r>
    </w:p>
    <w:p>
      <w:r>
        <w:rPr>
          <w:b/>
          <w:i w:val="0"/>
        </w:rPr>
        <w:t>Backend (Render).</w:t>
      </w:r>
    </w:p>
    <w:p>
      <w:r>
        <w:rPr>
          <w:b w:val="0"/>
          <w:i w:val="0"/>
        </w:rPr>
        <w:t>Definido como infraestructura como código en render.yaml: runtime Python 3.11, buildCommand con requirements.txt, healthCheckPath /health y autoDeploy activo. Variables de entorno: MODEL_PATH, MODEL_METADATA_PATH, DISTRICT_CLUSTERS_PATH, CORS_ORIGINS, ENABLE_SUPABASE y SUPABASE_SERVICE_ROLE_KEY (marcada sync:false, nunca en el repositorio).</w:t>
      </w:r>
    </w:p>
    <w:p>
      <w:pPr>
        <w:ind w:left="504"/>
      </w:pPr>
      <w:r>
        <w:rPr>
          <w:i/>
        </w:rPr>
        <w:t>Lección aprendida en producción: las variables definidas manualmente en el panel de Render prevalecen sobre render.yaml. Tras migrar a K-Means, la API siguió sirviendo el modelo anterior hasta corregir esas variables en el panel. Punto crítico para el equipo de TI que reciba el sistema.</w:t>
      </w:r>
    </w:p>
    <w:p>
      <w:r>
        <w:rPr>
          <w:b w:val="0"/>
          <w:i w:val="0"/>
        </w:rPr>
        <w:t>Cliente web (Vercel): app_flutter/vercel.json; API_BASE_URL se inyecta con --dart-define, nunca hardcodeado. Auto-deploy desde main.</w:t>
      </w:r>
    </w:p>
    <w:p>
      <w:r>
        <w:rPr>
          <w:b/>
          <w:i w:val="0"/>
        </w:rPr>
        <w:t>APK Android:</w:t>
      </w:r>
    </w:p>
    <w:p>
      <w:pPr>
        <w:ind w:left="432"/>
      </w:pPr>
      <w:r>
        <w:rPr>
          <w:rFonts w:ascii="Consolas" w:hAnsi="Consolas"/>
          <w:sz w:val="18"/>
        </w:rPr>
        <w:t>flutter build apk --release --dart-define=API_BASE_URL=https://frost-puno.onrender.com</w:t>
      </w:r>
    </w:p>
    <w:p>
      <w:r>
        <w:rPr>
          <w:b w:val="0"/>
          <w:i w:val="0"/>
        </w:rPr>
        <w:t>Persistencia: Supabase es opcional; con ENABLE_SUPABASE=false se usa un repositorio en memoria (así corren los tests en IC).</w:t>
      </w:r>
    </w:p>
    <w:p>
      <w:r>
        <w:rPr>
          <w:b w:val="0"/>
          <w:i w:val="0"/>
        </w:rPr>
        <w:t>Orden de puesta en marcha: entrenar y publicar el modelo → desplegar API y verificar /health y /ml/model-info → desplegar cliente con la URL de la API → (opcional) activar Supabase.</w:t>
      </w:r>
    </w:p>
    <w:p>
      <w:pPr>
        <w:jc w:val="center"/>
      </w:pPr>
      <w:r>
        <w:drawing>
          <wp:inline xmlns:a="http://schemas.openxmlformats.org/drawingml/2006/main" xmlns:pic="http://schemas.openxmlformats.org/drawingml/2006/picture">
            <wp:extent cx="5486400" cy="19005596"/>
            <wp:docPr id="5" name="Picture 5"/>
            <wp:cNvGraphicFramePr>
              <a:graphicFrameLocks noChangeAspect="1"/>
            </wp:cNvGraphicFramePr>
            <a:graphic>
              <a:graphicData uri="http://schemas.openxmlformats.org/drawingml/2006/picture">
                <pic:pic>
                  <pic:nvPicPr>
                    <pic:cNvPr id="0" name="23_despliegue_render_vercel_supabase.png"/>
                    <pic:cNvPicPr/>
                  </pic:nvPicPr>
                  <pic:blipFill>
                    <a:blip r:embed="rId13"/>
                    <a:stretch>
                      <a:fillRect/>
                    </a:stretch>
                  </pic:blipFill>
                  <pic:spPr>
                    <a:xfrm>
                      <a:off x="0" y="0"/>
                      <a:ext cx="5486400" cy="19005596"/>
                    </a:xfrm>
                    <a:prstGeom prst="rect"/>
                  </pic:spPr>
                </pic:pic>
              </a:graphicData>
            </a:graphic>
          </wp:inline>
        </w:drawing>
      </w:r>
    </w:p>
    <w:p>
      <w:pPr>
        <w:jc w:val="center"/>
      </w:pPr>
      <w:r>
        <w:rPr>
          <w:i/>
          <w:sz w:val="18"/>
        </w:rPr>
        <w:t>Fig. 5. Despliegue en Render, Vercel y Supabase.</w:t>
      </w:r>
    </w:p>
    <w:p>
      <w:pPr>
        <w:jc w:val="center"/>
      </w:pPr>
      <w:r>
        <w:drawing>
          <wp:inline xmlns:a="http://schemas.openxmlformats.org/drawingml/2006/main" xmlns:pic="http://schemas.openxmlformats.org/drawingml/2006/picture">
            <wp:extent cx="5486400" cy="8558945"/>
            <wp:docPr id="6" name="Picture 6"/>
            <wp:cNvGraphicFramePr>
              <a:graphicFrameLocks noChangeAspect="1"/>
            </wp:cNvGraphicFramePr>
            <a:graphic>
              <a:graphicData uri="http://schemas.openxmlformats.org/drawingml/2006/picture">
                <pic:pic>
                  <pic:nvPicPr>
                    <pic:cNvPr id="0" name="24_android_apk_mobile.png"/>
                    <pic:cNvPicPr/>
                  </pic:nvPicPr>
                  <pic:blipFill>
                    <a:blip r:embed="rId14"/>
                    <a:stretch>
                      <a:fillRect/>
                    </a:stretch>
                  </pic:blipFill>
                  <pic:spPr>
                    <a:xfrm>
                      <a:off x="0" y="0"/>
                      <a:ext cx="5486400" cy="8558945"/>
                    </a:xfrm>
                    <a:prstGeom prst="rect"/>
                  </pic:spPr>
                </pic:pic>
              </a:graphicData>
            </a:graphic>
          </wp:inline>
        </w:drawing>
      </w:r>
    </w:p>
    <w:p>
      <w:pPr>
        <w:jc w:val="center"/>
      </w:pPr>
      <w:r>
        <w:rPr>
          <w:i/>
          <w:sz w:val="18"/>
        </w:rPr>
        <w:t>Fig. 6. Aplicación Android desde el APK release.</w:t>
      </w:r>
    </w:p>
    <w:p>
      <w:pPr>
        <w:pStyle w:val="Heading1"/>
      </w:pPr>
      <w:r>
        <w:t>9. Flujos de mantenimiento e integración continua</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Workflow</w:t>
            </w:r>
          </w:p>
        </w:tc>
        <w:tc>
          <w:tcPr>
            <w:tcW w:type="dxa" w:w="4320"/>
          </w:tcPr>
          <w:p>
            <w:r>
              <w:rPr>
                <w:b/>
              </w:rPr>
              <w:t>Función</w:t>
            </w:r>
          </w:p>
        </w:tc>
      </w:tr>
      <w:tr>
        <w:tc>
          <w:tcPr>
            <w:tcW w:type="dxa" w:w="4320"/>
          </w:tcPr>
          <w:p>
            <w:r>
              <w:t>ml-training.yml</w:t>
            </w:r>
          </w:p>
        </w:tc>
        <w:tc>
          <w:tcPr>
            <w:tcW w:type="dxa" w:w="4320"/>
          </w:tcPr>
          <w:p>
            <w:r>
              <w:t>Ingesta → features → entrenamiento → artefactos. Cron semanal.</w:t>
            </w:r>
          </w:p>
        </w:tc>
      </w:tr>
      <w:tr>
        <w:tc>
          <w:tcPr>
            <w:tcW w:type="dxa" w:w="4320"/>
          </w:tcPr>
          <w:p>
            <w:r>
              <w:t>model-quality-gate.yml</w:t>
            </w:r>
          </w:p>
        </w:tc>
        <w:tc>
          <w:tcPr>
            <w:tcW w:type="dxa" w:w="4320"/>
          </w:tcPr>
          <w:p>
            <w:r>
              <w:t>Barrera: bloquea silhouette &lt; 0.35 + pruebas de mantenimiento</w:t>
            </w:r>
          </w:p>
        </w:tc>
      </w:tr>
      <w:tr>
        <w:tc>
          <w:tcPr>
            <w:tcW w:type="dxa" w:w="4320"/>
          </w:tcPr>
          <w:p>
            <w:r>
              <w:t>backend-tests.yml</w:t>
            </w:r>
          </w:p>
        </w:tc>
        <w:tc>
          <w:tcPr>
            <w:tcW w:type="dxa" w:w="4320"/>
          </w:tcPr>
          <w:p>
            <w:r>
              <w:t>12 pruebas de la API sin Supabase</w:t>
            </w:r>
          </w:p>
        </w:tc>
      </w:tr>
      <w:tr>
        <w:tc>
          <w:tcPr>
            <w:tcW w:type="dxa" w:w="4320"/>
          </w:tcPr>
          <w:p>
            <w:r>
              <w:t>data-validation.yml</w:t>
            </w:r>
          </w:p>
        </w:tc>
        <w:tc>
          <w:tcPr>
            <w:tcW w:type="dxa" w:w="4320"/>
          </w:tcPr>
          <w:p>
            <w:r>
              <w:t>Valida datasets y agrupación de distritos</w:t>
            </w:r>
          </w:p>
        </w:tc>
      </w:tr>
      <w:tr>
        <w:tc>
          <w:tcPr>
            <w:tcW w:type="dxa" w:w="4320"/>
          </w:tcPr>
          <w:p>
            <w:r>
              <w:t>flutter-build.yml</w:t>
            </w:r>
          </w:p>
        </w:tc>
        <w:tc>
          <w:tcPr>
            <w:tcW w:type="dxa" w:w="4320"/>
          </w:tcPr>
          <w:p>
            <w:r>
              <w:t>analyze + test + build web</w:t>
            </w:r>
          </w:p>
        </w:tc>
      </w:tr>
    </w:tbl>
    <w:p/>
    <w:p>
      <w:r>
        <w:rPr>
          <w:b/>
          <w:i w:val="0"/>
        </w:rPr>
        <w:t>Mantenimiento del elemento inteligente:</w:t>
      </w:r>
    </w:p>
    <w:p>
      <w:pPr>
        <w:pStyle w:val="ListBullet"/>
      </w:pPr>
      <w:r>
        <w:t>Reentrenamiento automatizado: ml-training.yml corre por schedule (cron semanal) sin intervención humana.</w:t>
      </w:r>
    </w:p>
    <w:p>
      <w:pPr>
        <w:pStyle w:val="ListBullet"/>
      </w:pPr>
      <w:r>
        <w:t>Reentrenamiento adaptativo — el modelo sigue aprendiendo: adaptive_retrain.py reentrena con datos frescos y, si la silhouette no alcanza el objetivo (0.45), amplía la ventana de datos (14 → 29 → 44 días) y reintenta. Cada corrida se registra en registry/training_history.json.</w:t>
      </w:r>
    </w:p>
    <w:p>
      <w:pPr>
        <w:pStyle w:val="ListBullet"/>
      </w:pPr>
      <w:r>
        <w:t>Registro de modelos (registry): cada entrenamiento versiona modelo + metadata (features, métricas, hiperparámetros, limitaciones).</w:t>
      </w:r>
    </w:p>
    <w:p>
      <w:pPr>
        <w:pStyle w:val="ListBullet"/>
      </w:pPr>
      <w:r>
        <w:t>Almacenamiento de características: el dataset de features está versionado en data/processed/ y se valida en IC.</w:t>
      </w:r>
    </w:p>
    <w:p>
      <w:pPr>
        <w:pStyle w:val="ListBullet"/>
      </w:pPr>
      <w:r>
        <w:t>Quality gate: ningún modelo se promueve si silhouette &lt; 0.35.</w:t>
      </w:r>
    </w:p>
    <w:p>
      <w:pPr>
        <w:jc w:val="center"/>
      </w:pPr>
      <w:r>
        <w:drawing>
          <wp:inline xmlns:a="http://schemas.openxmlformats.org/drawingml/2006/main" xmlns:pic="http://schemas.openxmlformats.org/drawingml/2006/picture">
            <wp:extent cx="5486400" cy="7916321"/>
            <wp:docPr id="7" name="Picture 7"/>
            <wp:cNvGraphicFramePr>
              <a:graphicFrameLocks noChangeAspect="1"/>
            </wp:cNvGraphicFramePr>
            <a:graphic>
              <a:graphicData uri="http://schemas.openxmlformats.org/drawingml/2006/picture">
                <pic:pic>
                  <pic:nvPicPr>
                    <pic:cNvPr id="0" name="28_github_actions.png"/>
                    <pic:cNvPicPr/>
                  </pic:nvPicPr>
                  <pic:blipFill>
                    <a:blip r:embed="rId15"/>
                    <a:stretch>
                      <a:fillRect/>
                    </a:stretch>
                  </pic:blipFill>
                  <pic:spPr>
                    <a:xfrm>
                      <a:off x="0" y="0"/>
                      <a:ext cx="5486400" cy="7916321"/>
                    </a:xfrm>
                    <a:prstGeom prst="rect"/>
                  </pic:spPr>
                </pic:pic>
              </a:graphicData>
            </a:graphic>
          </wp:inline>
        </w:drawing>
      </w:r>
    </w:p>
    <w:p>
      <w:pPr>
        <w:jc w:val="center"/>
      </w:pPr>
      <w:r>
        <w:rPr>
          <w:i/>
          <w:sz w:val="18"/>
        </w:rPr>
        <w:t>Fig. 7. Workflows de integración continua en GitHub Actions.</w:t>
      </w:r>
    </w:p>
    <w:p>
      <w:pPr>
        <w:pStyle w:val="Heading1"/>
      </w:pPr>
      <w:r>
        <w:t>10. Pruebas de funcionamiento del mantenimiento e IC</w:t>
      </w:r>
    </w:p>
    <w:p>
      <w:r>
        <w:rPr>
          <w:b w:val="0"/>
          <w:i w:val="0"/>
        </w:rPr>
        <w:t>ml_pipeline/tests/test_maintenance_ci.py — 6 pruebas que corren en IC:</w:t>
      </w:r>
    </w:p>
    <w:p>
      <w:pPr>
        <w:pStyle w:val="ListBullet"/>
      </w:pPr>
      <w:r>
        <w:t>El reentrenamiento deja modelo, metadata y agrupación de distritos.</w:t>
      </w:r>
    </w:p>
    <w:p>
      <w:pPr>
        <w:pStyle w:val="ListBullet"/>
      </w:pPr>
      <w:r>
        <w:t>El .joblib se carga e infiere (contrato con el backend intacto).</w:t>
      </w:r>
    </w:p>
    <w:p>
      <w:pPr>
        <w:pStyle w:val="ListBullet"/>
      </w:pPr>
      <w:r>
        <w:t>Los 13 distritos quedan asignados a un tier válido.</w:t>
      </w:r>
    </w:p>
    <w:p>
      <w:pPr>
        <w:pStyle w:val="ListBullet"/>
      </w:pPr>
      <w:r>
        <w:t>La metadata documenta el grid search y la configuración elegida es la mejor del grid.</w:t>
      </w:r>
    </w:p>
    <w:p>
      <w:pPr>
        <w:pStyle w:val="ListBullet"/>
      </w:pPr>
      <w:r>
        <w:t>El quality gate aprueba el modelo en producción.</w:t>
      </w:r>
    </w:p>
    <w:p>
      <w:pPr>
        <w:pStyle w:val="ListBullet"/>
      </w:pPr>
      <w:r>
        <w:t>El quality gate BLOQUEA un modelo degradado (silhouette 0.10 → exit code 1): la integración se detiene ante una regresión del modelo.</w:t>
      </w:r>
    </w:p>
    <w:p>
      <w:r>
        <w:rPr>
          <w:b/>
          <w:i w:val="0"/>
        </w:rPr>
        <w:t>Demostración en vivo del gate:</w:t>
      </w:r>
    </w:p>
    <w:p>
      <w:pPr>
        <w:ind w:left="432"/>
      </w:pPr>
      <w:r>
        <w:rPr>
          <w:rFonts w:ascii="Consolas" w:hAnsi="Consolas"/>
          <w:sz w:val="18"/>
        </w:rPr>
        <w:t>python -m ml_pipeline.registry.check_cluster_quality --min-silhouette 0.35   # PASSED</w:t>
        <w:br/>
        <w:t>python -m ml_pipeline.registry.check_cluster_quality --min-silhouette 0.99   # FAILED, exit 1</w:t>
      </w:r>
    </w:p>
    <w:p>
      <w:r>
        <w:rPr>
          <w:b w:val="0"/>
          <w:i w:val="0"/>
        </w:rPr>
        <w:t>Otras evidencias: 12 pruebas del backend en verde, flutter analyze/test/build web en verde, APK release compilando, y el historial de corridas en la pestaña Actions. Detalle completo en docs/pruebas_mantenimiento_ic.md.</w:t>
      </w:r>
    </w:p>
    <w:p>
      <w:pPr>
        <w:jc w:val="center"/>
      </w:pPr>
      <w:r>
        <w:drawing>
          <wp:inline xmlns:a="http://schemas.openxmlformats.org/drawingml/2006/main" xmlns:pic="http://schemas.openxmlformats.org/drawingml/2006/picture">
            <wp:extent cx="5486400" cy="3614758"/>
            <wp:docPr id="8" name="Picture 8"/>
            <wp:cNvGraphicFramePr>
              <a:graphicFrameLocks noChangeAspect="1"/>
            </wp:cNvGraphicFramePr>
            <a:graphic>
              <a:graphicData uri="http://schemas.openxmlformats.org/drawingml/2006/picture">
                <pic:pic>
                  <pic:nvPicPr>
                    <pic:cNvPr id="0" name="04_quality_gate.png"/>
                    <pic:cNvPicPr/>
                  </pic:nvPicPr>
                  <pic:blipFill>
                    <a:blip r:embed="rId16"/>
                    <a:stretch>
                      <a:fillRect/>
                    </a:stretch>
                  </pic:blipFill>
                  <pic:spPr>
                    <a:xfrm>
                      <a:off x="0" y="0"/>
                      <a:ext cx="5486400" cy="3614758"/>
                    </a:xfrm>
                    <a:prstGeom prst="rect"/>
                  </pic:spPr>
                </pic:pic>
              </a:graphicData>
            </a:graphic>
          </wp:inline>
        </w:drawing>
      </w:r>
    </w:p>
    <w:p>
      <w:pPr>
        <w:jc w:val="center"/>
      </w:pPr>
      <w:r>
        <w:rPr>
          <w:i/>
          <w:sz w:val="18"/>
        </w:rPr>
        <w:t>Fig. 8. Ejecución del quality gate.</w:t>
      </w:r>
    </w:p>
    <w:p>
      <w:pPr>
        <w:jc w:val="center"/>
      </w:pPr>
      <w:r>
        <w:drawing>
          <wp:inline xmlns:a="http://schemas.openxmlformats.org/drawingml/2006/main" xmlns:pic="http://schemas.openxmlformats.org/drawingml/2006/picture">
            <wp:extent cx="5486400" cy="3614758"/>
            <wp:docPr id="9" name="Picture 9"/>
            <wp:cNvGraphicFramePr>
              <a:graphicFrameLocks noChangeAspect="1"/>
            </wp:cNvGraphicFramePr>
            <a:graphic>
              <a:graphicData uri="http://schemas.openxmlformats.org/drawingml/2006/picture">
                <pic:pic>
                  <pic:nvPicPr>
                    <pic:cNvPr id="0" name="09_tests_backend.png"/>
                    <pic:cNvPicPr/>
                  </pic:nvPicPr>
                  <pic:blipFill>
                    <a:blip r:embed="rId17"/>
                    <a:stretch>
                      <a:fillRect/>
                    </a:stretch>
                  </pic:blipFill>
                  <pic:spPr>
                    <a:xfrm>
                      <a:off x="0" y="0"/>
                      <a:ext cx="5486400" cy="3614758"/>
                    </a:xfrm>
                    <a:prstGeom prst="rect"/>
                  </pic:spPr>
                </pic:pic>
              </a:graphicData>
            </a:graphic>
          </wp:inline>
        </w:drawing>
      </w:r>
    </w:p>
    <w:p>
      <w:pPr>
        <w:jc w:val="center"/>
      </w:pPr>
      <w:r>
        <w:rPr>
          <w:i/>
          <w:sz w:val="18"/>
        </w:rPr>
        <w:t>Fig. 9. Pruebas del backend en verde.</w:t>
      </w:r>
    </w:p>
    <w:p>
      <w:pPr>
        <w:pStyle w:val="Heading1"/>
      </w:pPr>
      <w:r>
        <w:t>11. Funcionamiento de la aplicación (demo en inglés)</w:t>
      </w:r>
    </w:p>
    <w:p>
      <w:r>
        <w:rPr>
          <w:b w:val="0"/>
          <w:i w:val="0"/>
        </w:rPr>
        <w:t>La aplicación incluye modo inglés (Ajustes → Language → English): navegación, alertas, niveles de riesgo y recomendaciones se muestran en inglés. El guión palabra por palabra para la exposición está en docs/english_demo_script.md.</w:t>
      </w:r>
    </w:p>
    <w:p>
      <w:r>
        <w:rPr>
          <w:b w:val="0"/>
          <w:i w:val="0"/>
        </w:rPr>
        <w:t>Funcionalidades: alerta diaria de helada con umbral configurable, tarjeta de riesgo para ganado, detección de anomalías, zonas de riesgo por K-Means, módulo estacional de chuño, histórico climático y perfiles de usuario.</w:t>
      </w:r>
    </w:p>
    <w:p>
      <w:pPr>
        <w:jc w:val="center"/>
      </w:pPr>
      <w:r>
        <w:drawing>
          <wp:inline xmlns:a="http://schemas.openxmlformats.org/drawingml/2006/main" xmlns:pic="http://schemas.openxmlformats.org/drawingml/2006/picture">
            <wp:extent cx="5486400" cy="3614758"/>
            <wp:docPr id="10" name="Picture 10"/>
            <wp:cNvGraphicFramePr>
              <a:graphicFrameLocks noChangeAspect="1"/>
            </wp:cNvGraphicFramePr>
            <a:graphic>
              <a:graphicData uri="http://schemas.openxmlformats.org/drawingml/2006/picture">
                <pic:pic>
                  <pic:nvPicPr>
                    <pic:cNvPr id="0" name="33_vercel_flutter_desktop.png"/>
                    <pic:cNvPicPr/>
                  </pic:nvPicPr>
                  <pic:blipFill>
                    <a:blip r:embed="rId18"/>
                    <a:stretch>
                      <a:fillRect/>
                    </a:stretch>
                  </pic:blipFill>
                  <pic:spPr>
                    <a:xfrm>
                      <a:off x="0" y="0"/>
                      <a:ext cx="5486400" cy="3614758"/>
                    </a:xfrm>
                    <a:prstGeom prst="rect"/>
                  </pic:spPr>
                </pic:pic>
              </a:graphicData>
            </a:graphic>
          </wp:inline>
        </w:drawing>
      </w:r>
    </w:p>
    <w:p>
      <w:pPr>
        <w:jc w:val="center"/>
      </w:pPr>
      <w:r>
        <w:rPr>
          <w:i/>
          <w:sz w:val="18"/>
        </w:rPr>
        <w:t>Fig. 10. Aplicación desplegada en Vercel.</w:t>
      </w:r>
    </w:p>
    <w:p>
      <w:pPr>
        <w:pStyle w:val="Heading1"/>
      </w:pPr>
      <w:r>
        <w:t>12. Limitaciones</w:t>
      </w:r>
    </w:p>
    <w:p>
      <w:pPr>
        <w:pStyle w:val="ListBullet"/>
      </w:pPr>
      <w:r>
        <w:t>Los niveles de riesgo derivan del perfil térmico de cada cluster, no de etiquetas oficiales de heladas observadas.</w:t>
      </w:r>
    </w:p>
    <w:p>
      <w:pPr>
        <w:pStyle w:val="ListBullet"/>
      </w:pPr>
      <w:r>
        <w:t>SENAMHI no expone API pública estable; Open-Meteo es la fuente operativa real.</w:t>
      </w:r>
    </w:p>
    <w:p>
      <w:pPr>
        <w:pStyle w:val="ListBullet"/>
      </w:pPr>
      <w:r>
        <w:t>La semilla de distritos es un MVP y debe reemplazarse por exportes oficiales del INEI.</w:t>
      </w:r>
    </w:p>
    <w:p>
      <w:pPr>
        <w:pStyle w:val="ListBullet"/>
      </w:pPr>
      <w:r>
        <w:t>Los umbrales de chuño y ganado son diseño MVP documentado (docs/chuno_criteria.md, docs/livestock_criteria.md).</w:t>
      </w:r>
    </w:p>
    <w:p>
      <w:pPr>
        <w:pStyle w:val="ListBullet"/>
      </w:pPr>
      <w:r>
        <w:t>La detección de anomalías usa climatología reciente (30 días), no serie multianual.</w:t>
      </w:r>
    </w:p>
    <w:p>
      <w:pPr>
        <w:pStyle w:val="ListBullet"/>
      </w:pPr>
      <w:r>
        <w:t>Render Free tiene arranque en frío (primera petición lenta).</w:t>
      </w:r>
    </w:p>
    <w:p>
      <w:pPr>
        <w:pStyle w:val="Heading1"/>
      </w:pPr>
      <w:r>
        <w:t>13. Conclusiones</w:t>
      </w:r>
    </w:p>
    <w:p>
      <w:r>
        <w:rPr>
          <w:b w:val="0"/>
          <w:i w:val="0"/>
        </w:rPr>
        <w:t>FrostPuno cumple el objetivo de la unidad: una aplicación con elementos inteligentes basados en aprendizaje no supervisado, desplegada en producción y con procesos de mantenimiento e integración continua automatizados y probados. El modelo K-Means alcanza silhouette 0.419 tras selección de características y optimización de hiperparámetros; el sistema se reentrena solo, registra su historial de calidad y se protege con un quality gate verificado por pruebas.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