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Métadonnées du document</w:t>
      </w:r>
    </w:p>
    <w:p>
      <w:r>
        <w:t>Auteur : Jane Doe (équipe Knowledge Management)</w:t>
      </w:r>
    </w:p>
    <w:p>
      <w:r>
        <w:t>Sensibilité : Public</w:t>
      </w:r>
    </w:p>
    <w:p>
      <w:pPr>
        <w:pStyle w:val="Heading1"/>
      </w:pPr>
      <w:r>
        <w:t>Objectif du document</w:t>
      </w:r>
    </w:p>
    <w:p>
      <w:r>
        <w:t>Ce document présente les bonnes pratiques applicables à la rédaction de notes documentaires destinées à un traitement automatique.</w:t>
      </w:r>
    </w:p>
    <w:p>
      <w:pPr>
        <w:pStyle w:val="Heading2"/>
      </w:pPr>
      <w:r>
        <w:t>Public cible</w:t>
      </w:r>
    </w:p>
    <w:p>
      <w:r>
        <w:t>Le public cible regroupe les contributeurs internes et les relecteurs qualité de la base documentaire.</w:t>
      </w:r>
    </w:p>
    <w:p>
      <w:pPr>
        <w:pStyle w:val="Heading2"/>
      </w:pPr>
      <w:r>
        <w:t>Périmètre fonctionnel</w:t>
      </w:r>
    </w:p>
    <w:p>
      <w:r>
        <w:t>Le périmètre couvre la rédaction, la structuration et la publication de notes documentaires courtes.</w:t>
      </w:r>
    </w:p>
    <w:p>
      <w:pPr>
        <w:pStyle w:val="Heading1"/>
      </w:pPr>
      <w:r>
        <w:t>Bonnes pratiques de structuration</w:t>
      </w:r>
    </w:p>
    <w:p>
      <w:r>
        <w:t>Les pratiques décrites favorisent la lisibilité humaine et l'intelligibilité par des outils automatiques.</w:t>
      </w:r>
    </w:p>
    <w:p>
      <w:pPr>
        <w:pStyle w:val="Heading2"/>
      </w:pPr>
      <w:r>
        <w:t>Hiérarchie des titres</w:t>
      </w:r>
    </w:p>
    <w:p>
      <w:r>
        <w:t>Chaque section utilise un titre descriptif et hiérarchisé avec des niveaux cohérents tout au long du document.</w:t>
      </w:r>
    </w:p>
    <w:p>
      <w:pPr>
        <w:pStyle w:val="Heading2"/>
      </w:pPr>
      <w:r>
        <w:t>Concision des phrases</w:t>
      </w:r>
    </w:p>
    <w:p>
      <w:r>
        <w:t>Les phrases restent courtes et claires pour faciliter la lecture et la reformulation par les outils KM.</w:t>
      </w:r>
    </w:p>
    <w:p>
      <w:pPr>
        <w:pStyle w:val="Heading1"/>
      </w:pPr>
      <w:r>
        <w:t>Glossaire des acronymes</w:t>
      </w:r>
    </w:p>
    <w:p>
      <w:r>
        <w:t>Les acronymes utilisés dans ce document sont définis ci-dessous pour assurer leur compréhension.</w:t>
      </w:r>
    </w:p>
    <w:p>
      <w:r>
        <w:t>KM (Knowledge Management) : gestion de la connaissance organisationnelle.</w:t>
      </w:r>
    </w:p>
    <w:p>
      <w:r>
        <w:t>IA (Intelligence Artificielle) : ensemble de modèles automatiques de traitement.</w:t>
      </w:r>
    </w:p>
    <w:p>
      <w:pPr>
        <w:pStyle w:val="Heading1"/>
      </w:pPr>
      <w:r>
        <w:t>Synthèse et recommandations</w:t>
      </w:r>
    </w:p>
    <w:p>
      <w:r>
        <w:t>Une rédaction structurée et lisible reste la meilleure garantie d'une bonne intégration dans les outils KM et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