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AFADC1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26504">
        <w:rPr>
          <w:rFonts w:ascii="Arial" w:hAnsi="Arial" w:cs="Arial"/>
          <w:lang w:val="en"/>
        </w:rPr>
        <w:t>JOSEPH GUDURI</w:t>
      </w:r>
    </w:p>
    <w:p w14:paraId="677DC39A" w14:textId="5ABE532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A26504">
        <w:rPr>
          <w:rFonts w:ascii="Arial" w:hAnsi="Arial" w:cs="Arial"/>
          <w:lang w:val="en"/>
        </w:rPr>
        <w:t xml:space="preserve"> josephgcollege@gmail.com</w:t>
      </w:r>
      <w:r>
        <w:rPr>
          <w:rFonts w:ascii="Arial" w:hAnsi="Arial" w:cs="Arial"/>
          <w:lang w:val="en"/>
        </w:rPr>
        <w:t xml:space="preserve"> </w:t>
      </w:r>
    </w:p>
    <w:p w14:paraId="573F77F6" w14:textId="56D6380D" w:rsidR="00A26504" w:rsidRPr="00A26504" w:rsidRDefault="00000000" w:rsidP="00A26504">
      <w:pPr>
        <w:pStyle w:val="NormalWeb"/>
        <w:divId w:val="465317432"/>
        <w:rPr>
          <w:rFonts w:ascii="Arial" w:hAnsi="Arial" w:cs="Arial"/>
          <w:lang w:val="en-US"/>
        </w:rPr>
      </w:pPr>
      <w:r>
        <w:rPr>
          <w:rStyle w:val="Strong"/>
          <w:rFonts w:ascii="Arial" w:hAnsi="Arial" w:cs="Arial"/>
          <w:lang w:val="en"/>
        </w:rPr>
        <w:t>Topic</w:t>
      </w:r>
      <w:r>
        <w:rPr>
          <w:rFonts w:ascii="Arial" w:hAnsi="Arial" w:cs="Arial"/>
          <w:lang w:val="en"/>
        </w:rPr>
        <w:t>:</w:t>
      </w:r>
      <w:r w:rsidR="00A26504">
        <w:rPr>
          <w:rFonts w:ascii="Arial" w:hAnsi="Arial" w:cs="Arial"/>
          <w:lang w:val="en"/>
        </w:rPr>
        <w:t xml:space="preserve"> </w:t>
      </w:r>
      <w:r w:rsidR="001A65D1">
        <w:rPr>
          <w:rFonts w:ascii="Arial" w:hAnsi="Arial" w:cs="Arial"/>
          <w:lang w:val="en"/>
        </w:rPr>
        <w:br/>
      </w:r>
      <w:r w:rsidR="00A26504" w:rsidRPr="00A26504">
        <w:rPr>
          <w:rFonts w:ascii="Arial" w:hAnsi="Arial" w:cs="Arial"/>
          <w:b/>
          <w:bCs/>
          <w:lang w:val="en"/>
        </w:rPr>
        <w:t>Agricultural Science</w:t>
      </w:r>
      <w:r w:rsidR="00A26504" w:rsidRPr="00A26504">
        <w:rPr>
          <w:rFonts w:ascii="Arial" w:hAnsi="Arial" w:cs="Arial"/>
          <w:lang w:val="en"/>
        </w:rPr>
        <w:t>: Summarize and analyze research on sustainable farming practices.</w:t>
      </w:r>
    </w:p>
    <w:p w14:paraId="5E991484" w14:textId="733125AF" w:rsidR="00130CC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130CC9" w:rsidRPr="00341C8B">
          <w:rPr>
            <w:rStyle w:val="Hyperlink"/>
            <w:rFonts w:ascii="Arial" w:hAnsi="Arial" w:cs="Arial"/>
            <w:lang w:val="en"/>
          </w:rPr>
          <w:t>https://www.researchgate.net/publication/380999465_Chapter_-13_Sustainable_Farming_Practices_Principle_and_practices_of_Sustainable_Farming</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78758E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E09D3" w:rsidRPr="00BE09D3">
        <w:rPr>
          <w:rFonts w:ascii="Arial" w:hAnsi="Arial" w:cs="Arial"/>
        </w:rPr>
        <w:t>This is a research paper on the topic 'Sustainable Farming Practices: Principles and Practices of Sustainable Farming'. Provide a summary of the paper in not more than 100 words</w:t>
      </w:r>
    </w:p>
    <w:p w14:paraId="0E376871" w14:textId="15107B9C" w:rsidR="00BE09D3" w:rsidRDefault="00000000" w:rsidP="00BE09D3">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BE09D3" w:rsidRPr="00BE09D3">
        <w:rPr>
          <w:rFonts w:ascii="Arial" w:hAnsi="Arial" w:cs="Arial"/>
        </w:rPr>
        <w:t xml:space="preserve">The paper "Sustainable Farming Practices: Principles and Practices of Sustainable Farming" by </w:t>
      </w:r>
      <w:proofErr w:type="spellStart"/>
      <w:r w:rsidR="00BE09D3" w:rsidRPr="00BE09D3">
        <w:rPr>
          <w:rFonts w:ascii="Arial" w:hAnsi="Arial" w:cs="Arial"/>
        </w:rPr>
        <w:t>Nishigandha</w:t>
      </w:r>
      <w:proofErr w:type="spellEnd"/>
      <w:r w:rsidR="00BE09D3" w:rsidRPr="00BE09D3">
        <w:rPr>
          <w:rFonts w:ascii="Arial" w:hAnsi="Arial" w:cs="Arial"/>
        </w:rPr>
        <w:t xml:space="preserve"> </w:t>
      </w:r>
      <w:proofErr w:type="spellStart"/>
      <w:r w:rsidR="00BE09D3" w:rsidRPr="00BE09D3">
        <w:rPr>
          <w:rFonts w:ascii="Arial" w:hAnsi="Arial" w:cs="Arial"/>
        </w:rPr>
        <w:t>Ranasingh</w:t>
      </w:r>
      <w:proofErr w:type="spellEnd"/>
      <w:r w:rsidR="00BE09D3" w:rsidRPr="00BE09D3">
        <w:rPr>
          <w:rFonts w:ascii="Arial" w:hAnsi="Arial" w:cs="Arial"/>
        </w:rPr>
        <w:t xml:space="preserve"> explores key principles of sustainable farming, including soil health, water conservation, biodiversity, and integrated pest management. It emphasizes environmentally friendly practices that maintain productivity while reducing negative impacts on ecosystems. The paper highlights methods such as crop rotation, agroforestry, organic farming, and reduced tillage, which contribute to long-term agricultural sustainability and resilience to climate change. These practices aim to balance economic viability with environmental stewardship to ensure food security for future generations</w:t>
      </w:r>
      <w:r w:rsidR="00BE09D3">
        <w:rPr>
          <w:rFonts w:ascii="Arial" w:hAnsi="Arial" w:cs="Arial"/>
        </w:rPr>
        <w:t xml:space="preserve"> (</w:t>
      </w:r>
      <w:hyperlink r:id="rId6" w:history="1">
        <w:r w:rsidR="00130CC9" w:rsidRPr="00341C8B">
          <w:rPr>
            <w:rStyle w:val="Hyperlink"/>
            <w:rFonts w:ascii="Arial" w:hAnsi="Arial" w:cs="Arial"/>
            <w:lang w:val="en"/>
          </w:rPr>
          <w:t>https://www.researchgate.net/publication/380999465_Chapter_-13_Sustainable_Farming_Practices_Principle_and_practices_of_Sustainable_Farming</w:t>
        </w:r>
      </w:hyperlink>
      <w:r w:rsidR="00BE09D3">
        <w:rPr>
          <w:rFonts w:ascii="Arial" w:hAnsi="Arial" w:cs="Arial"/>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7B4E5A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E09D3" w:rsidRPr="00BE09D3">
        <w:rPr>
          <w:rFonts w:ascii="Arial" w:hAnsi="Arial" w:cs="Arial"/>
        </w:rPr>
        <w:t>generate a more comprehensive summary in not more than 100 words</w:t>
      </w:r>
    </w:p>
    <w:p w14:paraId="3E7B3821" w14:textId="74A6E2C7" w:rsidR="00234B39"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BE09D3" w:rsidRPr="00BE09D3">
        <w:rPr>
          <w:rFonts w:ascii="Arial" w:hAnsi="Arial" w:cs="Arial"/>
        </w:rPr>
        <w:t xml:space="preserve">The paper "Sustainable Farming Practices: Principles and Practices of Sustainable Farming" outlines strategies to enhance agricultural sustainability by focusing on soil health, water management, biodiversity, and pest control. It advocates for techniques like </w:t>
      </w:r>
      <w:r w:rsidR="00BE09D3" w:rsidRPr="00BE09D3">
        <w:rPr>
          <w:rFonts w:ascii="Arial" w:hAnsi="Arial" w:cs="Arial"/>
        </w:rPr>
        <w:lastRenderedPageBreak/>
        <w:t>crop rotation, agroforestry, organic farming, and reduced tillage to boost soil fertility and minimize environmental impact. Emphasizing ecosystem-based approaches, the paper discusses integrating livestock, conserving water resources, and utilizing natural pest predators. It highlights the balance between economic viability and ecological preservation, promoting practices that ensure long-term food security and resilience against climate change challenges​</w:t>
      </w:r>
      <w:r w:rsidR="007E4F39">
        <w:rPr>
          <w:rFonts w:ascii="Arial" w:hAnsi="Arial" w:cs="Arial"/>
        </w:rPr>
        <w:t xml:space="preserve"> (</w:t>
      </w:r>
      <w:hyperlink r:id="rId7" w:history="1">
        <w:r w:rsidR="00130CC9" w:rsidRPr="00341C8B">
          <w:rPr>
            <w:rStyle w:val="Hyperlink"/>
            <w:rFonts w:ascii="Arial" w:hAnsi="Arial" w:cs="Arial"/>
            <w:lang w:val="en"/>
          </w:rPr>
          <w:t>https://www.researchgate.net/publication/380999465_Chapter_-13_Sustainable_Farming_Practices_Principle_and_practices_of_Sustainable_Farming</w:t>
        </w:r>
      </w:hyperlink>
      <w:r w:rsidR="007E4F39">
        <w:rPr>
          <w:rFonts w:ascii="Arial" w:hAnsi="Arial" w:cs="Arial"/>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1330D5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E09D3" w:rsidRPr="00BE09D3">
        <w:rPr>
          <w:rFonts w:ascii="Arial" w:hAnsi="Arial" w:cs="Arial"/>
        </w:rPr>
        <w:t>generate a more comprehensive and informative summary highlighting the key elements in the paper in about 100 words</w:t>
      </w:r>
    </w:p>
    <w:p w14:paraId="139DC931" w14:textId="15CE00C3" w:rsidR="00BE09D3" w:rsidRDefault="00000000" w:rsidP="00BE09D3">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7E4F39" w:rsidRPr="007E4F39">
        <w:rPr>
          <w:rFonts w:ascii="Arial" w:hAnsi="Arial" w:cs="Arial"/>
        </w:rPr>
        <w:t>The paper "Sustainable Farming Practices: Principles and Practices of Sustainable Farming" emphasizes sustainable agriculture through principles like soil health, water conservation, biodiversity, and integrated pest management. It advocates practices such as crop rotation, organic farming, agroforestry, and reduced tillage to enhance soil fertility, control pests, and conserve water. The paper also highlights the importance of integrated farming systems, such as combining crops and livestock to optimize resource use. It discusses the role of sustainable practices in mitigating climate change, maintaining ecosystem balance, and achieving long-term food security, while balancing environmental sustainability with economic profitability​</w:t>
      </w:r>
      <w:r w:rsidR="007E4F39">
        <w:rPr>
          <w:rFonts w:ascii="Arial" w:hAnsi="Arial" w:cs="Arial"/>
        </w:rPr>
        <w:t xml:space="preserve"> (</w:t>
      </w:r>
      <w:hyperlink r:id="rId8" w:history="1">
        <w:r w:rsidR="00130CC9" w:rsidRPr="00341C8B">
          <w:rPr>
            <w:rStyle w:val="Hyperlink"/>
            <w:rFonts w:ascii="Arial" w:hAnsi="Arial" w:cs="Arial"/>
            <w:lang w:val="en"/>
          </w:rPr>
          <w:t>https://www.researchgate.net/publication/380999465_Chapter_-13_Sustainable_Farming_Practices_Principle_and_practices_of_Sustainable_Farming</w:t>
        </w:r>
      </w:hyperlink>
      <w:r w:rsidR="007E4F39">
        <w:rPr>
          <w:rFonts w:ascii="Arial" w:hAnsi="Arial" w:cs="Arial"/>
        </w:rPr>
        <w:t>)</w:t>
      </w:r>
    </w:p>
    <w:p w14:paraId="3890D885" w14:textId="77777777" w:rsidR="007E4F39" w:rsidRDefault="007E4F39" w:rsidP="007E4F3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F0E146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E4F39" w:rsidRPr="00BE09D3">
        <w:rPr>
          <w:rFonts w:ascii="Arial" w:hAnsi="Arial" w:cs="Arial"/>
        </w:rPr>
        <w:t>generate a more comprehensive and informative summary highlighting the key elements in the paper in about 100 words</w:t>
      </w:r>
    </w:p>
    <w:p w14:paraId="124541CD" w14:textId="7C5A41EA" w:rsidR="007E4F39" w:rsidRPr="007E4F39" w:rsidRDefault="00000000" w:rsidP="007E4F3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7E4F39">
        <w:rPr>
          <w:rFonts w:ascii="Arial" w:hAnsi="Arial" w:cs="Arial"/>
          <w:lang w:val="en"/>
        </w:rPr>
        <w:t xml:space="preserve"> </w:t>
      </w:r>
      <w:r w:rsidR="007E4F39" w:rsidRPr="007E4F39">
        <w:rPr>
          <w:rFonts w:ascii="Arial" w:hAnsi="Arial" w:cs="Arial"/>
        </w:rPr>
        <w:t>The paper "Sustainable Farming Practices: Principles and Practices of Sustainable Farming" emphasizes sustainable agriculture through principles like soil health, water conservation, biodiversity, and integrated pest management. It advocates practices such as crop rotation, organic farming, agroforestry, and reduced tillage to enhance soil fertility, control pests, and conserve water. The paper also highlights the importance of integrated farming systems, such as combining crops and livestock to optimize resource use. It discusses the role of sustainable practices in mitigating climate change, maintaining ecosystem balance, and achieving long-term food security, while balancing environmental sustainability with economic profitability​</w:t>
      </w:r>
      <w:r w:rsidR="007E4F39">
        <w:rPr>
          <w:rFonts w:ascii="Arial" w:hAnsi="Arial" w:cs="Arial"/>
        </w:rPr>
        <w:t xml:space="preserve"> </w:t>
      </w:r>
      <w:bookmarkStart w:id="0" w:name="_Hlk175736315"/>
      <w:r w:rsidR="007E4F39">
        <w:rPr>
          <w:rFonts w:ascii="Arial" w:hAnsi="Arial" w:cs="Arial"/>
        </w:rPr>
        <w:t>(</w:t>
      </w:r>
      <w:hyperlink r:id="rId9" w:history="1">
        <w:r w:rsidR="007E4F39" w:rsidRPr="00341C8B">
          <w:rPr>
            <w:rStyle w:val="Hyperlink"/>
            <w:rFonts w:ascii="Arial" w:hAnsi="Arial" w:cs="Arial"/>
            <w:lang w:val="en"/>
          </w:rPr>
          <w:t>https://www.researchgate.net/publication/380999465_Chapter_-</w:t>
        </w:r>
        <w:r w:rsidR="007E4F39" w:rsidRPr="00341C8B">
          <w:rPr>
            <w:rStyle w:val="Hyperlink"/>
            <w:rFonts w:ascii="Arial" w:hAnsi="Arial" w:cs="Arial"/>
            <w:lang w:val="en"/>
          </w:rPr>
          <w:lastRenderedPageBreak/>
          <w:t>13_Sustainable_Farming_Practices_Principle_and_practices_of_Sustainable_Farming</w:t>
        </w:r>
      </w:hyperlink>
      <w:r w:rsidR="007E4F39">
        <w:rPr>
          <w:rFonts w:ascii="Arial" w:hAnsi="Arial" w:cs="Arial"/>
        </w:rPr>
        <w:t>)</w:t>
      </w:r>
      <w:bookmarkEnd w:id="0"/>
    </w:p>
    <w:p w14:paraId="58ADBAD7" w14:textId="77777777" w:rsidR="007E4F39" w:rsidRDefault="007E4F39" w:rsidP="007E4F39">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C621DF2" w14:textId="27832699" w:rsidR="007E4F39" w:rsidRDefault="00000000" w:rsidP="007E4F39">
      <w:pPr>
        <w:pStyle w:val="NormalWeb"/>
        <w:divId w:val="465317432"/>
        <w:rPr>
          <w:rFonts w:ascii="Arial" w:hAnsi="Arial" w:cs="Arial"/>
          <w:lang w:val="en-US"/>
        </w:rPr>
      </w:pPr>
      <w:r>
        <w:rPr>
          <w:rStyle w:val="Strong"/>
          <w:rFonts w:ascii="Arial" w:hAnsi="Arial" w:cs="Arial"/>
          <w:lang w:val="en"/>
        </w:rPr>
        <w:t>Key Insights (150 words max)</w:t>
      </w:r>
      <w:r>
        <w:rPr>
          <w:rFonts w:ascii="Arial" w:hAnsi="Arial" w:cs="Arial"/>
          <w:lang w:val="en"/>
        </w:rPr>
        <w:t>:</w:t>
      </w:r>
    </w:p>
    <w:p w14:paraId="29895002" w14:textId="1B239B71"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Soil Health</w:t>
      </w:r>
      <w:r w:rsidRPr="007E4F39">
        <w:rPr>
          <w:rFonts w:ascii="Arial" w:hAnsi="Arial" w:cs="Arial"/>
          <w:lang w:val="en-US"/>
        </w:rPr>
        <w:t>: Emphasizes maintaining soil fertility through organic matter management, reduced tillage, and crop rotation to improve soil structure and nutrient cycling.</w:t>
      </w:r>
    </w:p>
    <w:p w14:paraId="13CF1FA4" w14:textId="404C54C8"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Water Conservation</w:t>
      </w:r>
      <w:r w:rsidRPr="007E4F39">
        <w:rPr>
          <w:rFonts w:ascii="Arial" w:hAnsi="Arial" w:cs="Arial"/>
          <w:lang w:val="en-US"/>
        </w:rPr>
        <w:t>: Advocates efficient irrigation techniques like drip and sprinkler systems to conserve water and prevent overuse.</w:t>
      </w:r>
    </w:p>
    <w:p w14:paraId="0BFD91ED" w14:textId="1ECCB0D8"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Integrated Pest Management (IPM)</w:t>
      </w:r>
      <w:r w:rsidRPr="007E4F39">
        <w:rPr>
          <w:rFonts w:ascii="Arial" w:hAnsi="Arial" w:cs="Arial"/>
          <w:lang w:val="en-US"/>
        </w:rPr>
        <w:t>: Promotes reducing chemical pesticide use by integrating biological, mechanical, and cultural pest control methods.</w:t>
      </w:r>
    </w:p>
    <w:p w14:paraId="19D3DF2E" w14:textId="5079B451"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Biodiversity</w:t>
      </w:r>
      <w:r w:rsidRPr="007E4F39">
        <w:rPr>
          <w:rFonts w:ascii="Arial" w:hAnsi="Arial" w:cs="Arial"/>
          <w:lang w:val="en-US"/>
        </w:rPr>
        <w:t>: Highlights the role of agroforestry, polyculture, and crop rotation in enhancing ecosystem diversity and resilience.</w:t>
      </w:r>
    </w:p>
    <w:p w14:paraId="7025B662" w14:textId="771F0BAD"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Integrated Farming Systems</w:t>
      </w:r>
      <w:r w:rsidRPr="007E4F39">
        <w:rPr>
          <w:rFonts w:ascii="Arial" w:hAnsi="Arial" w:cs="Arial"/>
          <w:lang w:val="en-US"/>
        </w:rPr>
        <w:t>: Suggests combining crops and livestock to optimize resource use and improve farm productivity.</w:t>
      </w:r>
    </w:p>
    <w:p w14:paraId="71D2C329" w14:textId="01343933"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Climate Change Mitigation</w:t>
      </w:r>
      <w:r w:rsidRPr="007E4F39">
        <w:rPr>
          <w:rFonts w:ascii="Arial" w:hAnsi="Arial" w:cs="Arial"/>
          <w:lang w:val="en-US"/>
        </w:rPr>
        <w:t>: Stresses sustainable practices' potential to reduce greenhouse gas emissions and adapt to climate variability.</w:t>
      </w:r>
    </w:p>
    <w:p w14:paraId="3D95FBF3" w14:textId="45608498"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Economic Viability</w:t>
      </w:r>
      <w:r w:rsidRPr="007E4F39">
        <w:rPr>
          <w:rFonts w:ascii="Arial" w:hAnsi="Arial" w:cs="Arial"/>
          <w:lang w:val="en-US"/>
        </w:rPr>
        <w:t>: Points out that sustainable practices can reduce input costs, diversify income, and increase profitability.</w:t>
      </w:r>
    </w:p>
    <w:p w14:paraId="64353C1E" w14:textId="77777777" w:rsidR="007E4F39" w:rsidRPr="007E4F39" w:rsidRDefault="007E4F39" w:rsidP="007E4F39">
      <w:pPr>
        <w:pStyle w:val="NormalWeb"/>
        <w:numPr>
          <w:ilvl w:val="0"/>
          <w:numId w:val="16"/>
        </w:numPr>
        <w:divId w:val="465317432"/>
        <w:rPr>
          <w:rFonts w:ascii="Arial" w:hAnsi="Arial" w:cs="Arial"/>
          <w:lang w:val="en"/>
        </w:rPr>
      </w:pPr>
      <w:r w:rsidRPr="007E4F39">
        <w:rPr>
          <w:rFonts w:ascii="Arial" w:hAnsi="Arial" w:cs="Arial"/>
          <w:b/>
          <w:bCs/>
          <w:lang w:val="en-US"/>
        </w:rPr>
        <w:t>Long-Term Food Security</w:t>
      </w:r>
      <w:r w:rsidRPr="007E4F39">
        <w:rPr>
          <w:rFonts w:ascii="Arial" w:hAnsi="Arial" w:cs="Arial"/>
          <w:lang w:val="en-US"/>
        </w:rPr>
        <w:t>: Positions sustainable farming as crucial for ensuring a stable food supply while preserving natural resources​</w:t>
      </w:r>
    </w:p>
    <w:p w14:paraId="112EDBB6" w14:textId="764F92D6" w:rsidR="00234B39" w:rsidRDefault="00000000" w:rsidP="007E4F39">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436F1384" w14:textId="0727995B"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Policy Development</w:t>
      </w:r>
      <w:r w:rsidRPr="007E4F39">
        <w:rPr>
          <w:rFonts w:ascii="Arial" w:hAnsi="Arial" w:cs="Arial"/>
          <w:lang w:val="en-US"/>
        </w:rPr>
        <w:t>: Insights can inform agricultural policies promoting sustainable practices, such as subsidies for organic farming and incentives for water-efficient irrigation.</w:t>
      </w:r>
    </w:p>
    <w:p w14:paraId="174C9289" w14:textId="416157FE"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Farmer Training Programs</w:t>
      </w:r>
      <w:r w:rsidRPr="007E4F39">
        <w:rPr>
          <w:rFonts w:ascii="Arial" w:hAnsi="Arial" w:cs="Arial"/>
          <w:lang w:val="en-US"/>
        </w:rPr>
        <w:t>: Findings can be used to develop educational programs that teach farmers about crop rotation, integrated pest management, and agroforestry techniques.</w:t>
      </w:r>
    </w:p>
    <w:p w14:paraId="6F9E549A" w14:textId="35F032BE"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Agroecological Practices</w:t>
      </w:r>
      <w:r w:rsidRPr="007E4F39">
        <w:rPr>
          <w:rFonts w:ascii="Arial" w:hAnsi="Arial" w:cs="Arial"/>
          <w:lang w:val="en-US"/>
        </w:rPr>
        <w:t>: Encourages the adoption of agroecological methods that maintain biodiversity and soil health, which can enhance farm resilience to climate change.</w:t>
      </w:r>
    </w:p>
    <w:p w14:paraId="2820990C" w14:textId="50B54538"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Sustainable Agribusiness Models</w:t>
      </w:r>
      <w:r w:rsidRPr="007E4F39">
        <w:rPr>
          <w:rFonts w:ascii="Arial" w:hAnsi="Arial" w:cs="Arial"/>
          <w:lang w:val="en-US"/>
        </w:rPr>
        <w:t>: Supports the creation of business models that focus on long-term profitability through reduced input costs and diversified crop-livestock systems.</w:t>
      </w:r>
    </w:p>
    <w:p w14:paraId="059C3A01" w14:textId="49A1FBD7"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Climate Action Strategies</w:t>
      </w:r>
      <w:r w:rsidRPr="007E4F39">
        <w:rPr>
          <w:rFonts w:ascii="Arial" w:hAnsi="Arial" w:cs="Arial"/>
          <w:lang w:val="en-US"/>
        </w:rPr>
        <w:t>: Provides a foundation for climate-smart agriculture initiatives aimed at reducing carbon footprints and enhancing adaptive capacities in farming communities.</w:t>
      </w:r>
    </w:p>
    <w:p w14:paraId="5569E744" w14:textId="051FEA7C" w:rsidR="007E4F39" w:rsidRPr="007E4F39" w:rsidRDefault="007E4F39" w:rsidP="007E4F39">
      <w:pPr>
        <w:pStyle w:val="NormalWeb"/>
        <w:numPr>
          <w:ilvl w:val="0"/>
          <w:numId w:val="16"/>
        </w:numPr>
        <w:divId w:val="465317432"/>
        <w:rPr>
          <w:rFonts w:ascii="Arial" w:hAnsi="Arial" w:cs="Arial"/>
          <w:lang w:val="en-US"/>
        </w:rPr>
      </w:pPr>
      <w:r w:rsidRPr="007E4F39">
        <w:rPr>
          <w:rFonts w:ascii="Arial" w:hAnsi="Arial" w:cs="Arial"/>
          <w:b/>
          <w:bCs/>
          <w:lang w:val="en-US"/>
        </w:rPr>
        <w:t>Research and Development</w:t>
      </w:r>
      <w:r w:rsidRPr="007E4F39">
        <w:rPr>
          <w:rFonts w:ascii="Arial" w:hAnsi="Arial" w:cs="Arial"/>
          <w:lang w:val="en-US"/>
        </w:rPr>
        <w:t>: Promotes further research into region-specific sustainable practices that align with local ecosystems and socio-economic conditions.</w:t>
      </w:r>
    </w:p>
    <w:p w14:paraId="3D56D948" w14:textId="022A7401" w:rsidR="007E4F39" w:rsidRPr="007E4F39" w:rsidRDefault="007E4F39" w:rsidP="007E4F39">
      <w:pPr>
        <w:pStyle w:val="NormalWeb"/>
        <w:numPr>
          <w:ilvl w:val="0"/>
          <w:numId w:val="16"/>
        </w:numPr>
        <w:divId w:val="465317432"/>
        <w:rPr>
          <w:rFonts w:ascii="Arial" w:hAnsi="Arial" w:cs="Arial"/>
          <w:lang w:val="en"/>
        </w:rPr>
      </w:pPr>
      <w:r w:rsidRPr="007E4F39">
        <w:rPr>
          <w:rFonts w:ascii="Arial" w:hAnsi="Arial" w:cs="Arial"/>
          <w:b/>
          <w:bCs/>
          <w:lang w:val="en-US"/>
        </w:rPr>
        <w:t>Food Security Initiatives</w:t>
      </w:r>
      <w:r w:rsidRPr="007E4F39">
        <w:rPr>
          <w:rFonts w:ascii="Arial" w:hAnsi="Arial" w:cs="Arial"/>
          <w:lang w:val="en-US"/>
        </w:rPr>
        <w:t>: Findings can guide global and local food security programs to ensure sustainable food production systems.</w:t>
      </w:r>
    </w:p>
    <w:p w14:paraId="2C6D2E03" w14:textId="77777777" w:rsidR="007E4F39" w:rsidRDefault="007E4F39" w:rsidP="007E4F39">
      <w:pPr>
        <w:pStyle w:val="NormalWeb"/>
        <w:divId w:val="465317432"/>
        <w:rPr>
          <w:rFonts w:ascii="Arial" w:hAnsi="Arial" w:cs="Arial"/>
          <w:lang w:val="en"/>
        </w:rPr>
      </w:pPr>
    </w:p>
    <w:p w14:paraId="354749CB" w14:textId="77777777" w:rsidR="007E4F39" w:rsidRDefault="007E4F39" w:rsidP="007E4F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BC42D68"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bookmarkStart w:id="1" w:name="_Hlk175736680"/>
      <w:r w:rsidR="00784428">
        <w:rPr>
          <w:rFonts w:ascii="Arial" w:hAnsi="Arial" w:cs="Arial"/>
          <w:lang w:val="en"/>
        </w:rPr>
        <w:t>In terms of clarity, based on the prompts given to the model, it has given clear outputs which anyone going through the generated content could clearly understand.</w:t>
      </w:r>
    </w:p>
    <w:bookmarkEnd w:id="1"/>
    <w:p w14:paraId="2C98F647" w14:textId="7AB6EDAF"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bookmarkStart w:id="2" w:name="_Hlk175736816"/>
      <w:r w:rsidR="00784428">
        <w:rPr>
          <w:rFonts w:ascii="Arial" w:hAnsi="Arial" w:cs="Arial"/>
          <w:lang w:val="en"/>
        </w:rPr>
        <w:t>In the aspect of accuracy, since the model was limited to summarizing or generating content in the word limits of either 100 or 150, the factor of accuracy is a little blurred, although taking away such limitations could significantly improve the accuracy of the generated content.</w:t>
      </w:r>
      <w:bookmarkEnd w:id="2"/>
    </w:p>
    <w:p w14:paraId="032CD3EB" w14:textId="46E33317"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bookmarkStart w:id="3" w:name="_Hlk175737071"/>
      <w:r w:rsidR="00784428">
        <w:rPr>
          <w:rFonts w:ascii="Arial" w:hAnsi="Arial" w:cs="Arial"/>
          <w:lang w:val="en"/>
        </w:rPr>
        <w:t>The generated output is significantly relevant to the real world wherein the insights could be materialized and put into action as the building blocks of the applications provided. The major task after getting relevant output finally would be to ‘initiate’.</w:t>
      </w:r>
      <w:bookmarkEnd w:id="3"/>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6FB25C8B" w:rsidR="0046607C" w:rsidRDefault="00000000" w:rsidP="00130CC9">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bookmarkStart w:id="4" w:name="_Hlk175737695"/>
      <w:r w:rsidR="00784428">
        <w:rPr>
          <w:rFonts w:ascii="Arial" w:hAnsi="Arial" w:cs="Arial"/>
          <w:lang w:val="en"/>
        </w:rPr>
        <w:t xml:space="preserve">The learning experience from module 1 to 6 has been a great, and a more informative one. </w:t>
      </w:r>
      <w:r w:rsidR="00130CC9">
        <w:rPr>
          <w:rFonts w:ascii="Arial" w:hAnsi="Arial" w:cs="Arial"/>
          <w:lang w:val="en"/>
        </w:rPr>
        <w:t>Each module and its subtopics were beautifully arranged where it flowed as a continuous learning path. The video explanations of using different AI tools for different needs in module 4 &amp; 5 would seemingly be the most important and helpful experience.</w:t>
      </w:r>
    </w:p>
    <w:p w14:paraId="1D9E5D31" w14:textId="07E2BE53" w:rsidR="00130CC9" w:rsidRDefault="00130CC9" w:rsidP="00130CC9">
      <w:pPr>
        <w:pStyle w:val="NormalWeb"/>
        <w:divId w:val="465317432"/>
        <w:rPr>
          <w:rFonts w:ascii="Arial" w:hAnsi="Arial" w:cs="Arial"/>
          <w:lang w:val="en"/>
        </w:rPr>
      </w:pPr>
      <w:r>
        <w:rPr>
          <w:rFonts w:ascii="Arial" w:hAnsi="Arial" w:cs="Arial"/>
          <w:lang w:val="en"/>
        </w:rPr>
        <w:t>Personally put forth I haven’t faced any significant challenges during the course’s learning period as I really appreciated the course content and rather it was more interesting to go through and understand, and learn.</w:t>
      </w:r>
    </w:p>
    <w:p w14:paraId="362B229E" w14:textId="1C7A2EE6" w:rsidR="00130CC9" w:rsidRDefault="00130CC9" w:rsidP="00130CC9">
      <w:pPr>
        <w:pStyle w:val="NormalWeb"/>
        <w:divId w:val="465317432"/>
        <w:rPr>
          <w:rFonts w:ascii="Arial" w:hAnsi="Arial" w:cs="Arial"/>
          <w:lang w:val="en"/>
        </w:rPr>
      </w:pPr>
      <w:r>
        <w:rPr>
          <w:rFonts w:ascii="Arial" w:hAnsi="Arial" w:cs="Arial"/>
          <w:lang w:val="en"/>
        </w:rPr>
        <w:t>The course modules were curated perfectly, clearly understandable by anyone who has taken it I believe. There were much valuable insights to be taken on and start applying in the real-world, pushing me into the world of Gen AI perfectly equipped with relevant skills to start the journey and continue my learning journey thereon.</w:t>
      </w:r>
    </w:p>
    <w:p w14:paraId="2AA8F506" w14:textId="435A2C4C" w:rsidR="00130CC9" w:rsidRDefault="00130CC9" w:rsidP="00130CC9">
      <w:pPr>
        <w:pStyle w:val="NormalWeb"/>
        <w:divId w:val="465317432"/>
        <w:rPr>
          <w:rFonts w:ascii="Arial" w:hAnsi="Arial" w:cs="Arial"/>
          <w:lang w:val="en"/>
        </w:rPr>
      </w:pPr>
      <w:r>
        <w:rPr>
          <w:rFonts w:ascii="Arial" w:hAnsi="Arial" w:cs="Arial"/>
          <w:lang w:val="en"/>
        </w:rPr>
        <w:t xml:space="preserve">Thank </w:t>
      </w:r>
      <w:proofErr w:type="gramStart"/>
      <w:r>
        <w:rPr>
          <w:rFonts w:ascii="Arial" w:hAnsi="Arial" w:cs="Arial"/>
          <w:lang w:val="en"/>
        </w:rPr>
        <w:t xml:space="preserve">you team </w:t>
      </w:r>
      <w:proofErr w:type="spellStart"/>
      <w:r>
        <w:rPr>
          <w:rFonts w:ascii="Arial" w:hAnsi="Arial" w:cs="Arial"/>
          <w:lang w:val="en"/>
        </w:rPr>
        <w:t>Skillible</w:t>
      </w:r>
      <w:proofErr w:type="spellEnd"/>
      <w:proofErr w:type="gramEnd"/>
      <w:r>
        <w:rPr>
          <w:rFonts w:ascii="Arial" w:hAnsi="Arial" w:cs="Arial"/>
          <w:lang w:val="en"/>
        </w:rPr>
        <w:t xml:space="preserve"> and really appreciate you for your efforts and for this opportunity. Good </w:t>
      </w:r>
      <w:proofErr w:type="gramStart"/>
      <w:r>
        <w:rPr>
          <w:rFonts w:ascii="Arial" w:hAnsi="Arial" w:cs="Arial"/>
          <w:lang w:val="en"/>
        </w:rPr>
        <w:t>Day</w:t>
      </w:r>
      <w:proofErr w:type="gramEnd"/>
      <w:r>
        <w:rPr>
          <w:rFonts w:ascii="Arial" w:hAnsi="Arial" w:cs="Arial"/>
          <w:lang w:val="en"/>
        </w:rPr>
        <w:t>!</w:t>
      </w:r>
      <w:bookmarkEnd w:id="4"/>
    </w:p>
    <w:sectPr w:rsidR="0013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B09E2"/>
    <w:multiLevelType w:val="multilevel"/>
    <w:tmpl w:val="A95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D5B7A"/>
    <w:multiLevelType w:val="multilevel"/>
    <w:tmpl w:val="253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62F2B"/>
    <w:multiLevelType w:val="hybridMultilevel"/>
    <w:tmpl w:val="75DC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62D80"/>
    <w:multiLevelType w:val="multilevel"/>
    <w:tmpl w:val="7B04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D7781"/>
    <w:multiLevelType w:val="multilevel"/>
    <w:tmpl w:val="DF1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5433D"/>
    <w:multiLevelType w:val="multilevel"/>
    <w:tmpl w:val="9B6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245A7"/>
    <w:multiLevelType w:val="multilevel"/>
    <w:tmpl w:val="91B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8E11CA"/>
    <w:multiLevelType w:val="hybridMultilevel"/>
    <w:tmpl w:val="BA7E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E24BE"/>
    <w:multiLevelType w:val="multilevel"/>
    <w:tmpl w:val="92B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4"/>
  </w:num>
  <w:num w:numId="2" w16cid:durableId="93328788">
    <w:abstractNumId w:val="13"/>
  </w:num>
  <w:num w:numId="3" w16cid:durableId="1505900044">
    <w:abstractNumId w:val="9"/>
  </w:num>
  <w:num w:numId="4" w16cid:durableId="1600867095">
    <w:abstractNumId w:val="5"/>
  </w:num>
  <w:num w:numId="5" w16cid:durableId="1401555978">
    <w:abstractNumId w:val="1"/>
  </w:num>
  <w:num w:numId="6" w16cid:durableId="1352875109">
    <w:abstractNumId w:val="11"/>
  </w:num>
  <w:num w:numId="7" w16cid:durableId="913197430">
    <w:abstractNumId w:val="10"/>
  </w:num>
  <w:num w:numId="8" w16cid:durableId="847720461">
    <w:abstractNumId w:val="0"/>
  </w:num>
  <w:num w:numId="9" w16cid:durableId="2134975500">
    <w:abstractNumId w:val="16"/>
  </w:num>
  <w:num w:numId="10" w16cid:durableId="2094740839">
    <w:abstractNumId w:val="6"/>
  </w:num>
  <w:num w:numId="11" w16cid:durableId="1930234116">
    <w:abstractNumId w:val="3"/>
  </w:num>
  <w:num w:numId="12" w16cid:durableId="451245282">
    <w:abstractNumId w:val="8"/>
  </w:num>
  <w:num w:numId="13" w16cid:durableId="827939935">
    <w:abstractNumId w:val="12"/>
  </w:num>
  <w:num w:numId="14" w16cid:durableId="432865660">
    <w:abstractNumId w:val="2"/>
  </w:num>
  <w:num w:numId="15" w16cid:durableId="306710406">
    <w:abstractNumId w:val="7"/>
  </w:num>
  <w:num w:numId="16" w16cid:durableId="1850749210">
    <w:abstractNumId w:val="15"/>
  </w:num>
  <w:num w:numId="17" w16cid:durableId="1893544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0CC9"/>
    <w:rsid w:val="001A65D1"/>
    <w:rsid w:val="00212E07"/>
    <w:rsid w:val="00234B39"/>
    <w:rsid w:val="0046607C"/>
    <w:rsid w:val="005244B8"/>
    <w:rsid w:val="00784428"/>
    <w:rsid w:val="007E4F39"/>
    <w:rsid w:val="00A26504"/>
    <w:rsid w:val="00A958D5"/>
    <w:rsid w:val="00B45D63"/>
    <w:rsid w:val="00BE09D3"/>
    <w:rsid w:val="00D05434"/>
    <w:rsid w:val="00DB45DE"/>
    <w:rsid w:val="00DD5008"/>
    <w:rsid w:val="00EB2D84"/>
    <w:rsid w:val="00EB63BE"/>
    <w:rsid w:val="00FF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E0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23602990">
                  <w:marLeft w:val="0"/>
                  <w:marRight w:val="0"/>
                  <w:marTop w:val="0"/>
                  <w:marBottom w:val="0"/>
                  <w:divBdr>
                    <w:top w:val="none" w:sz="0" w:space="0" w:color="auto"/>
                    <w:left w:val="none" w:sz="0" w:space="0" w:color="auto"/>
                    <w:bottom w:val="none" w:sz="0" w:space="0" w:color="auto"/>
                    <w:right w:val="none" w:sz="0" w:space="0" w:color="auto"/>
                  </w:divBdr>
                </w:div>
                <w:div w:id="295453091">
                  <w:marLeft w:val="0"/>
                  <w:marRight w:val="0"/>
                  <w:marTop w:val="0"/>
                  <w:marBottom w:val="0"/>
                  <w:divBdr>
                    <w:top w:val="none" w:sz="0" w:space="0" w:color="auto"/>
                    <w:left w:val="none" w:sz="0" w:space="0" w:color="auto"/>
                    <w:bottom w:val="none" w:sz="0" w:space="0" w:color="auto"/>
                    <w:right w:val="none" w:sz="0" w:space="0" w:color="auto"/>
                  </w:divBdr>
                </w:div>
                <w:div w:id="2031485201">
                  <w:marLeft w:val="0"/>
                  <w:marRight w:val="0"/>
                  <w:marTop w:val="0"/>
                  <w:marBottom w:val="0"/>
                  <w:divBdr>
                    <w:top w:val="none" w:sz="0" w:space="0" w:color="auto"/>
                    <w:left w:val="none" w:sz="0" w:space="0" w:color="auto"/>
                    <w:bottom w:val="none" w:sz="0" w:space="0" w:color="auto"/>
                    <w:right w:val="none" w:sz="0" w:space="0" w:color="auto"/>
                  </w:divBdr>
                </w:div>
                <w:div w:id="2002927136">
                  <w:marLeft w:val="0"/>
                  <w:marRight w:val="0"/>
                  <w:marTop w:val="0"/>
                  <w:marBottom w:val="0"/>
                  <w:divBdr>
                    <w:top w:val="none" w:sz="0" w:space="0" w:color="auto"/>
                    <w:left w:val="none" w:sz="0" w:space="0" w:color="auto"/>
                    <w:bottom w:val="none" w:sz="0" w:space="0" w:color="auto"/>
                    <w:right w:val="none" w:sz="0" w:space="0" w:color="auto"/>
                  </w:divBdr>
                </w:div>
                <w:div w:id="1795126951">
                  <w:marLeft w:val="0"/>
                  <w:marRight w:val="0"/>
                  <w:marTop w:val="0"/>
                  <w:marBottom w:val="0"/>
                  <w:divBdr>
                    <w:top w:val="none" w:sz="0" w:space="0" w:color="auto"/>
                    <w:left w:val="none" w:sz="0" w:space="0" w:color="auto"/>
                    <w:bottom w:val="none" w:sz="0" w:space="0" w:color="auto"/>
                    <w:right w:val="none" w:sz="0" w:space="0" w:color="auto"/>
                  </w:divBdr>
                </w:div>
                <w:div w:id="1361777381">
                  <w:marLeft w:val="0"/>
                  <w:marRight w:val="0"/>
                  <w:marTop w:val="0"/>
                  <w:marBottom w:val="0"/>
                  <w:divBdr>
                    <w:top w:val="none" w:sz="0" w:space="0" w:color="auto"/>
                    <w:left w:val="none" w:sz="0" w:space="0" w:color="auto"/>
                    <w:bottom w:val="none" w:sz="0" w:space="0" w:color="auto"/>
                    <w:right w:val="none" w:sz="0" w:space="0" w:color="auto"/>
                  </w:divBdr>
                </w:div>
                <w:div w:id="2115512856">
                  <w:marLeft w:val="0"/>
                  <w:marRight w:val="0"/>
                  <w:marTop w:val="0"/>
                  <w:marBottom w:val="0"/>
                  <w:divBdr>
                    <w:top w:val="none" w:sz="0" w:space="0" w:color="auto"/>
                    <w:left w:val="none" w:sz="0" w:space="0" w:color="auto"/>
                    <w:bottom w:val="none" w:sz="0" w:space="0" w:color="auto"/>
                    <w:right w:val="none" w:sz="0" w:space="0" w:color="auto"/>
                  </w:divBdr>
                </w:div>
                <w:div w:id="158011849">
                  <w:marLeft w:val="0"/>
                  <w:marRight w:val="0"/>
                  <w:marTop w:val="0"/>
                  <w:marBottom w:val="0"/>
                  <w:divBdr>
                    <w:top w:val="none" w:sz="0" w:space="0" w:color="auto"/>
                    <w:left w:val="none" w:sz="0" w:space="0" w:color="auto"/>
                    <w:bottom w:val="none" w:sz="0" w:space="0" w:color="auto"/>
                    <w:right w:val="none" w:sz="0" w:space="0" w:color="auto"/>
                  </w:divBdr>
                </w:div>
                <w:div w:id="1460681708">
                  <w:marLeft w:val="0"/>
                  <w:marRight w:val="0"/>
                  <w:marTop w:val="0"/>
                  <w:marBottom w:val="0"/>
                  <w:divBdr>
                    <w:top w:val="none" w:sz="0" w:space="0" w:color="auto"/>
                    <w:left w:val="none" w:sz="0" w:space="0" w:color="auto"/>
                    <w:bottom w:val="none" w:sz="0" w:space="0" w:color="auto"/>
                    <w:right w:val="none" w:sz="0" w:space="0" w:color="auto"/>
                  </w:divBdr>
                </w:div>
                <w:div w:id="212395667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0999465_Chapter_-13_Sustainable_Farming_Practices_Principle_and_practices_of_Sustainable_Farming" TargetMode="External"/><Relationship Id="rId3" Type="http://schemas.openxmlformats.org/officeDocument/2006/relationships/settings" Target="settings.xml"/><Relationship Id="rId7" Type="http://schemas.openxmlformats.org/officeDocument/2006/relationships/hyperlink" Target="https://www.researchgate.net/publication/380999465_Chapter_-13_Sustainable_Farming_Practices_Principle_and_practices_of_Sustainable_Fa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80999465_Chapter_-13_Sustainable_Farming_Practices_Principle_and_practices_of_Sustainable_Farming" TargetMode="External"/><Relationship Id="rId11" Type="http://schemas.openxmlformats.org/officeDocument/2006/relationships/theme" Target="theme/theme1.xml"/><Relationship Id="rId5" Type="http://schemas.openxmlformats.org/officeDocument/2006/relationships/hyperlink" Target="https://www.researchgate.net/publication/380999465_Chapter_-13_Sustainable_Farming_Practices_Principle_and_practices_of_Sustainable_Far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80999465_Chapter_-13_Sustainable_Farming_Practices_Principle_and_practices_of_Sustainable_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1437</Words>
  <Characters>8192</Characters>
  <Application>Microsoft Office Word</Application>
  <DocSecurity>2</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Joseph G</cp:lastModifiedBy>
  <cp:revision>5</cp:revision>
  <cp:lastPrinted>2024-08-28T06:22:00Z</cp:lastPrinted>
  <dcterms:created xsi:type="dcterms:W3CDTF">2024-08-28T05:41:00Z</dcterms:created>
  <dcterms:modified xsi:type="dcterms:W3CDTF">2024-08-28T06:28:00Z</dcterms:modified>
</cp:coreProperties>
</file>