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5A15" w14:textId="77777777" w:rsidR="005B158B" w:rsidRDefault="005B158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4629C7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 | JavaScript | TypeScript | C++ | C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MSSQL | Node | Express | React | Vue | Redux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Azure | Cloud Computing | CI/CD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 Cucumber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Lambda | OOP | Unity 2D | Game Development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 | English, Korean, Japanese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561A3E7A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5B158B" w14:paraId="05A7A1C9" w14:textId="77777777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AAB5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YouTuber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BA2B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EA59" w14:textId="77777777" w:rsidR="005B158B" w:rsidRDefault="0008467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6">
              <w:r w:rsidR="0019766A">
                <w:rPr>
                  <w:rFonts w:ascii="Nunito" w:eastAsia="Nunito" w:hAnsi="Nunito" w:cs="Nunito"/>
                  <w:b/>
                  <w:color w:val="45818E"/>
                  <w:sz w:val="20"/>
                  <w:szCs w:val="20"/>
                  <w:u w:val="single"/>
                </w:rPr>
                <w:t>YouTube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334B" w14:textId="77777777" w:rsidR="005B158B" w:rsidRDefault="005B158B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B1B6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07/2021 - Current</w:t>
            </w:r>
          </w:p>
        </w:tc>
      </w:tr>
    </w:tbl>
    <w:p w14:paraId="0AF64981" w14:textId="77777777" w:rsidR="005B158B" w:rsidRDefault="0019766A">
      <w:pPr>
        <w:spacing w:line="240" w:lineRule="auto"/>
        <w:ind w:left="-270"/>
        <w:rPr>
          <w:rFonts w:ascii="Montserrat Thin" w:eastAsia="Montserrat Thin" w:hAnsi="Montserrat Thin" w:cs="Montserrat Thin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PIRATE 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Software Engineering, SWE Skits &amp; Entertainment, Tech Life, Coding, Career Advice,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LeetCode</w:t>
      </w:r>
      <w:proofErr w:type="spellEnd"/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5B158B" w14:paraId="68F9CF29" w14:textId="77777777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9728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A357" w14:textId="77777777" w:rsidR="005B158B" w:rsidRDefault="005B1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F0DB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Microsoft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00DD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Redmond, WA,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E924" w14:textId="77777777" w:rsidR="005B158B" w:rsidRDefault="0019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05/2018 - 04/2022</w:t>
            </w:r>
          </w:p>
        </w:tc>
      </w:tr>
    </w:tbl>
    <w:p w14:paraId="528D43D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design and development of multiple enterprise-level microservice applications of Commerce Experience Group, driving $35.3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billion of revenue every year using the latest technologies of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Azure, C#, .NET, Cosmos DB,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Key Vault,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MS Graph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implemented scalable APIs and background workers for managing first- and third-party proprietary licenses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.net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  <w:t xml:space="preserve">     Core,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and other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 cloud technologies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that serve millions of license requests daily.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Led the development of several products E2E, from identifying system requirements and partner dependencies to workload balancing,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software implementation, engineering, testing, and configuring metrics, alarms, monitors, and dashboards.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Enriched system metrics by integrating the platforms with telemetry; facilitated in-depth logging by correlating APIs with vector contexts.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Continuous Integration/Deployment Pipeline Integration, pull requests, code reviews, load/stress testing, unit/integration/e2e testing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5B158B" w14:paraId="744F48F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6BAD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Development Engineer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7F05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E558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Amazon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247B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Seattle, WA, USA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4F68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04/2017 - 04/2018</w:t>
            </w:r>
          </w:p>
        </w:tc>
      </w:tr>
    </w:tbl>
    <w:p w14:paraId="20AFBD4C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Implemented enterprise applications of Prime's Content Experiment Platforms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Java, React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AngularJS, AWS, and DynamoDB. </w:t>
      </w:r>
    </w:p>
    <w:p w14:paraId="10FDC6AF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developed systems facilitating marketers to perform various optimization experiments within the Prime ecosphere.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Automated and optimized business logic for the core marketing experiments, including A/B, Auto-Targeting, and Multivariate Testing.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Completely automated the marketing platforms' user-experience testing process by integrating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Selenium.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2"/>
        <w:tblW w:w="1129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71"/>
        <w:gridCol w:w="1467"/>
        <w:gridCol w:w="2268"/>
        <w:gridCol w:w="2259"/>
        <w:gridCol w:w="2030"/>
      </w:tblGrid>
      <w:tr w:rsidR="005B158B" w14:paraId="2689084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D248" w14:textId="77777777" w:rsidR="005B158B" w:rsidRDefault="0019766A">
            <w:pPr>
              <w:widowControl w:val="0"/>
              <w:spacing w:line="180" w:lineRule="auto"/>
              <w:ind w:left="-270" w:firstLine="27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0287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BDF2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ebay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E2FF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5B07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12/2014 - 03/2017</w:t>
            </w:r>
          </w:p>
        </w:tc>
      </w:tr>
    </w:tbl>
    <w:p w14:paraId="720EE1A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enterprise fintech applications of South Korea's largest e-commerce platforms (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Gmarket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Auction,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SmilePay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),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driving monthly revenue of $1 billion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C# .NET, MVC, MSSQL</w:t>
      </w:r>
      <w:r>
        <w:rPr>
          <w:rFonts w:ascii="Nunito" w:eastAsia="Nunito" w:hAnsi="Nunito" w:cs="Nunito"/>
          <w:color w:val="0F0F0F"/>
          <w:sz w:val="18"/>
          <w:szCs w:val="18"/>
        </w:rPr>
        <w:t>, node, react, redux, and jQuery.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i/>
          <w:color w:val="0F0F0F"/>
          <w:sz w:val="18"/>
          <w:szCs w:val="18"/>
        </w:rPr>
        <w:t xml:space="preserve">Reported directly to CPO: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Engineering lead for designing and developing the fintech transaction dashboard that provides a rich visual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summary of daily user purchase patterns powered by </w:t>
      </w:r>
      <w:hyperlink r:id="rId7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Google Chart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>. Used by the board of directors in the decision-making process.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Engineering owner of the E2E experience of the commerce platform's cancel, return, and exchange systems (PC/Mobile).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Integrated multiple third-party systems with the escrow platform, including Alipay, increasing global revenue by 23% in the first quarter.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3"/>
        <w:tblW w:w="1133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63"/>
        <w:gridCol w:w="1490"/>
        <w:gridCol w:w="2259"/>
        <w:gridCol w:w="2274"/>
        <w:gridCol w:w="2045"/>
      </w:tblGrid>
      <w:tr w:rsidR="005B158B" w14:paraId="13F49C97" w14:textId="77777777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CD44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Intern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89B0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F290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NCSoft</w:t>
            </w:r>
            <w:proofErr w:type="spellEnd"/>
          </w:p>
        </w:tc>
        <w:tc>
          <w:tcPr>
            <w:tcW w:w="2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F0B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15F0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07/2014 - 08/2014</w:t>
            </w:r>
          </w:p>
        </w:tc>
      </w:tr>
    </w:tbl>
    <w:p w14:paraId="2A27FED6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Fashion Street: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Mobile social game application development (Cocos2D/C++) 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5B158B" w14:paraId="148A1D76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1123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Contract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4ACD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6134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Cyberstep</w:t>
            </w:r>
            <w:proofErr w:type="spellEnd"/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F3B6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Tokyo, Japan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7591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06/2013 - 12/2013</w:t>
            </w:r>
          </w:p>
        </w:tc>
      </w:tr>
    </w:tbl>
    <w:p w14:paraId="1198ECFF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Combat Bots Cosmic Commander: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Mobile RTS game client and server development (ActionScript3 &amp; Java)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32C89DCC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5B158B" w14:paraId="3374800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6690" w14:textId="77777777" w:rsidR="005B158B" w:rsidRDefault="001976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78C9" w14:textId="77777777" w:rsidR="005B158B" w:rsidRDefault="005B158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5BA8" w14:textId="77777777" w:rsidR="005B158B" w:rsidRDefault="0019766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Carnegie Mellon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3569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Pittsburgh, PA, USA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073D" w14:textId="77777777" w:rsidR="005B158B" w:rsidRDefault="0019766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08/2007 - 12/2010</w:t>
            </w:r>
          </w:p>
        </w:tc>
      </w:tr>
    </w:tbl>
    <w:p w14:paraId="175FA632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Electrical and Computer Engineering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4B777AFE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C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O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L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O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R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M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A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2D mobile strategy puzzle game (Unity 2D, C#, Android, iOS). Link to </w:t>
      </w:r>
      <w:hyperlink r:id="rId8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YouTube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Gameplay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(07/2020)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S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P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I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K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an award-winning action puzzle game </w:t>
      </w:r>
      <w:hyperlink r:id="rId9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a Game Development Competition in Japan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41B65045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Mentorship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hyperlink r:id="rId10">
        <w:r>
          <w:rPr>
            <w:rFonts w:ascii="Nunito" w:eastAsia="Nunito" w:hAnsi="Nunito" w:cs="Nunito"/>
            <w:b/>
            <w:color w:val="45818E"/>
            <w:sz w:val="18"/>
            <w:szCs w:val="18"/>
            <w:u w:val="single"/>
          </w:rPr>
          <w:t>Springboard</w:t>
        </w:r>
      </w:hyperlink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Coding Bootcamp Mentor responsible for mentoring and giving career advice to SWE students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(01/2021 - 04/2022)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Computer Science Tutor: </w:t>
      </w:r>
      <w:r>
        <w:rPr>
          <w:rFonts w:ascii="Nunito" w:eastAsia="Nunito" w:hAnsi="Nunito" w:cs="Nunito"/>
          <w:color w:val="0F0F0F"/>
          <w:sz w:val="18"/>
          <w:szCs w:val="18"/>
        </w:rPr>
        <w:t>Programming | Data Structure and Algorithms | career advice | coding interview prep | professional portfolio</w:t>
      </w:r>
      <w:r>
        <w:rPr>
          <w:rFonts w:ascii="Nunito" w:eastAsia="Nunito" w:hAnsi="Nunito" w:cs="Nunito"/>
          <w:sz w:val="16"/>
          <w:szCs w:val="16"/>
        </w:rPr>
        <w:br/>
      </w:r>
    </w:p>
    <w:p w14:paraId="0A32336C" w14:textId="77777777" w:rsidR="005B158B" w:rsidRDefault="0019766A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Bronze Award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Won 4th prize for the development of action game </w:t>
      </w:r>
      <w:hyperlink r:id="rId11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HAL Game Development Competition in Tokyo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Certificate of Japanese Language Proficiency N1</w:t>
      </w:r>
      <w:r>
        <w:rPr>
          <w:rFonts w:ascii="Nunito" w:eastAsia="Nunito" w:hAnsi="Nunito" w:cs="Nunito"/>
          <w:color w:val="0F0F0F"/>
          <w:sz w:val="18"/>
          <w:szCs w:val="18"/>
        </w:rPr>
        <w:t>: The highest-level certificate of Japanese proficiency (</w:t>
      </w:r>
      <w:hyperlink r:id="rId12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24.1%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Pass Rate)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(02/2014)</w:t>
      </w:r>
    </w:p>
    <w:sectPr w:rsidR="005B158B">
      <w:headerReference w:type="default" r:id="rId13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C31A" w14:textId="77777777" w:rsidR="0019766A" w:rsidRDefault="0019766A">
      <w:pPr>
        <w:spacing w:line="240" w:lineRule="auto"/>
      </w:pPr>
      <w:r>
        <w:separator/>
      </w:r>
    </w:p>
  </w:endnote>
  <w:endnote w:type="continuationSeparator" w:id="0">
    <w:p w14:paraId="45BFC2B9" w14:textId="77777777" w:rsidR="0019766A" w:rsidRDefault="00197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56B6" w14:textId="77777777" w:rsidR="0019766A" w:rsidRDefault="0019766A">
      <w:pPr>
        <w:spacing w:line="240" w:lineRule="auto"/>
      </w:pPr>
      <w:r>
        <w:separator/>
      </w:r>
    </w:p>
  </w:footnote>
  <w:footnote w:type="continuationSeparator" w:id="0">
    <w:p w14:paraId="536135AF" w14:textId="77777777" w:rsidR="0019766A" w:rsidRDefault="00197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8CE4" w14:textId="77777777" w:rsidR="005B158B" w:rsidRDefault="0019766A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P</w:t>
    </w:r>
    <w:r>
      <w:rPr>
        <w:rFonts w:ascii="Spectral Medium" w:eastAsia="Spectral Medium" w:hAnsi="Spectral Medium" w:cs="Spectral Medium"/>
        <w:sz w:val="28"/>
        <w:szCs w:val="28"/>
      </w:rPr>
      <w:t xml:space="preserve">IRATE </w:t>
    </w:r>
    <w:r>
      <w:rPr>
        <w:rFonts w:ascii="Spectral Medium" w:eastAsia="Spectral Medium" w:hAnsi="Spectral Medium" w:cs="Spectral Medium"/>
        <w:sz w:val="32"/>
        <w:szCs w:val="32"/>
      </w:rPr>
      <w:t>K</w:t>
    </w:r>
    <w:r>
      <w:rPr>
        <w:rFonts w:ascii="Spectral Medium" w:eastAsia="Spectral Medium" w:hAnsi="Spectral Medium" w:cs="Spectral Medium"/>
        <w:sz w:val="28"/>
        <w:szCs w:val="28"/>
      </w:rPr>
      <w:t>ING</w:t>
    </w:r>
  </w:p>
  <w:p w14:paraId="5506BFC6" w14:textId="77777777" w:rsidR="005B158B" w:rsidRDefault="0019766A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7E8AE13" wp14:editId="646AF40E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6219F2A" wp14:editId="02E4058C">
          <wp:extent cx="91440" cy="9144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color w:val="0F0F0F"/>
        <w:sz w:val="20"/>
        <w:szCs w:val="20"/>
      </w:rPr>
      <w:t>123-456-7890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00B585EF" wp14:editId="4EDFCC89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piratekingdom.com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AB682C5" wp14:editId="46C3B8F3">
          <wp:extent cx="91440" cy="91440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0F0F0F"/>
        <w:sz w:val="20"/>
        <w:szCs w:val="20"/>
      </w:rPr>
      <w:t>pirateking@gmail.com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D9B2601" wp14:editId="240DEB80">
          <wp:extent cx="100584" cy="1005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8B"/>
    <w:rsid w:val="0008467A"/>
    <w:rsid w:val="0019766A"/>
    <w:rsid w:val="00267728"/>
    <w:rsid w:val="005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3F92F4"/>
  <w15:docId w15:val="{0EA4303E-DD97-44F1-B0E6-32FA9C7B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72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28"/>
  </w:style>
  <w:style w:type="paragraph" w:styleId="Footer">
    <w:name w:val="footer"/>
    <w:basedOn w:val="Normal"/>
    <w:link w:val="FooterChar"/>
    <w:uiPriority w:val="99"/>
    <w:unhideWhenUsed/>
    <w:rsid w:val="0026772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cmrRloeSEw?t=829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hart/" TargetMode="External"/><Relationship Id="rId12" Type="http://schemas.openxmlformats.org/officeDocument/2006/relationships/hyperlink" Target="http://www.jlpt.jp/e/statistics/archive/20120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iratekingdom" TargetMode="External"/><Relationship Id="rId11" Type="http://schemas.openxmlformats.org/officeDocument/2006/relationships/hyperlink" Target="https://youtu.be/XcmrRloeSEw?t=92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piratekingdom.com/dea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XcmrRloeSEw?t=92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piratekingdom.com/githu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piratekingdom.com/linkedin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piratekingdom.com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4212</Characters>
  <Application>Microsoft Office Word</Application>
  <DocSecurity>0</DocSecurity>
  <Lines>89</Lines>
  <Paragraphs>41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MARTINEZ SALCEDO, JOSEPH</cp:lastModifiedBy>
  <cp:revision>3</cp:revision>
  <dcterms:created xsi:type="dcterms:W3CDTF">2023-10-06T19:08:00Z</dcterms:created>
  <dcterms:modified xsi:type="dcterms:W3CDTF">2023-11-08T13:03:00Z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5da19120e0d53aee2df8d9e68790c9e2f53b18811863d6ae4607a22ea970fd53</vt:lpwstr>
  </property>
</Properties>
</file>