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CONN-DOC-SF-01</w:t>
      </w:r>
    </w:p>
    <w:p>
      <w:pPr>
        <w:jc w:val="left"/>
        <w:pBdr>
          <w:bottom w:val="single" w:sz="18" w:space="4" w:color="2E5496"/>
        </w:pBdr>
      </w:pPr>
      <w:r>
        <w:rPr>
          <w:b/>
          <w:color w:val="1F3864"/>
          <w:sz w:val="60"/>
        </w:rPr>
        <w:t>Salesforce Connector</w:t>
      </w:r>
    </w:p>
    <w:p>
      <w:pPr>
        <w:spacing w:after="480"/>
      </w:pPr>
      <w:r>
        <w:rPr>
          <w:color w:val="2E5496"/>
          <w:sz w:val="28"/>
        </w:rPr>
        <w:t>Microsoft 365 Copilot Graph connector — operator's guide</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Connector platform team</w:t>
            </w:r>
          </w:p>
        </w:tc>
      </w:tr>
      <w:tr>
        <w:tc>
          <w:tcPr>
            <w:tcW w:type="dxa" w:w="2600"/>
            <w:shd w:val="clear" w:color="auto" w:fill="EEF2F8"/>
          </w:tcPr>
          <w:p>
            <w:r>
              <w:rPr>
                <w:b/>
                <w:color w:val="1F3864"/>
                <w:sz w:val="20"/>
              </w:rPr>
              <w:t>Prepared for</w:t>
            </w:r>
          </w:p>
        </w:tc>
        <w:tc>
          <w:tcPr>
            <w:tcW w:type="dxa" w:w="6760"/>
          </w:tcPr>
          <w:p>
            <w:r>
              <w:rPr>
                <w:color w:val="202020"/>
                <w:sz w:val="20"/>
              </w:rPr>
              <w:t>IT operations, monitoring &amp; support</w:t>
            </w:r>
          </w:p>
        </w:tc>
      </w:tr>
      <w:tr>
        <w:tc>
          <w:tcPr>
            <w:tcW w:type="dxa" w:w="2600"/>
            <w:shd w:val="clear" w:color="auto" w:fill="EEF2F8"/>
          </w:tcPr>
          <w:p>
            <w:r>
              <w:rPr>
                <w:b/>
                <w:color w:val="1F3864"/>
                <w:sz w:val="20"/>
              </w:rPr>
              <w:t>Version</w:t>
            </w:r>
          </w:p>
        </w:tc>
        <w:tc>
          <w:tcPr>
            <w:tcW w:type="dxa" w:w="6760"/>
          </w:tcPr>
          <w:p>
            <w:r>
              <w:rPr>
                <w:color w:val="202020"/>
                <w:sz w:val="20"/>
              </w:rPr>
              <w:t>1.2</w:t>
            </w:r>
          </w:p>
        </w:tc>
      </w:tr>
      <w:tr>
        <w:tc>
          <w:tcPr>
            <w:tcW w:type="dxa" w:w="2600"/>
            <w:shd w:val="clear" w:color="auto" w:fill="EEF2F8"/>
          </w:tcPr>
          <w:p>
            <w:r>
              <w:rPr>
                <w:b/>
                <w:color w:val="1F3864"/>
                <w:sz w:val="20"/>
              </w:rPr>
              <w:t>Date</w:t>
            </w:r>
          </w:p>
        </w:tc>
        <w:tc>
          <w:tcPr>
            <w:tcW w:type="dxa" w:w="6760"/>
          </w:tcPr>
          <w:p>
            <w:r>
              <w:rPr>
                <w:color w:val="202020"/>
                <w:sz w:val="20"/>
              </w:rPr>
              <w:t>20 July 2026 (adversarial hardening release)</w:t>
            </w:r>
          </w:p>
        </w:tc>
      </w:tr>
      <w:tr>
        <w:tc>
          <w:tcPr>
            <w:tcW w:type="dxa" w:w="2600"/>
            <w:shd w:val="clear" w:color="auto" w:fill="EEF2F8"/>
          </w:tcPr>
          <w:p>
            <w:r>
              <w:rPr>
                <w:b/>
                <w:color w:val="1F3864"/>
                <w:sz w:val="20"/>
              </w:rPr>
              <w:t>Source system</w:t>
            </w:r>
          </w:p>
        </w:tc>
        <w:tc>
          <w:tcPr>
            <w:tcW w:type="dxa" w:w="6760"/>
          </w:tcPr>
          <w:p>
            <w:r>
              <w:rPr>
                <w:color w:val="202020"/>
                <w:sz w:val="20"/>
              </w:rPr>
              <w:t>Salesforce CRM</w:t>
            </w:r>
          </w:p>
        </w:tc>
      </w:tr>
      <w:tr>
        <w:tc>
          <w:tcPr>
            <w:tcW w:type="dxa" w:w="2600"/>
            <w:shd w:val="clear" w:color="auto" w:fill="EEF2F8"/>
          </w:tcPr>
          <w:p>
            <w:r>
              <w:rPr>
                <w:b/>
                <w:color w:val="1F3864"/>
                <w:sz w:val="20"/>
              </w:rPr>
              <w:t>Read this first</w:t>
            </w:r>
          </w:p>
        </w:tc>
        <w:tc>
          <w:tcPr>
            <w:tcW w:type="dxa" w:w="6760"/>
          </w:tcPr>
          <w:p>
            <w:r>
              <w:rPr>
                <w:color w:val="202020"/>
                <w:sz w:val="20"/>
              </w:rPr>
              <w:t>Tenant &amp; Common Concepts Guide (CONN-DOC-COMMON-01)</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About this guide</w:t>
      </w:r>
    </w:p>
    <w:p>
      <w:pPr>
        <w:spacing w:after="200"/>
      </w:pPr>
      <w:r>
        <w:rPr>
          <w:color w:val="595959"/>
          <w:sz w:val="23"/>
        </w:rPr>
        <w:t>This guide tells you how to set up, run, monitor, troubleshoot and support the Salesforce connector for Microsoft 365 Copilot. It is written for an IT operator who has not worked with this connector before and who needs to know exactly what to do and what to ask other teams for.</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What changed in this release — adversarial hardening: </w:t>
            </w:r>
            <w:r>
              <w:rPr>
                <w:color w:val="202020"/>
                <w:sz w:val="20"/>
              </w:rPr>
              <w:t xml:space="preserve">This </w:t>
            </w:r>
            <w:r>
              <w:rPr>
                <w:b/>
                <w:color w:val="202020"/>
                <w:sz w:val="20"/>
              </w:rPr>
              <w:t>1.2</w:t>
            </w:r>
            <w:r>
              <w:rPr>
                <w:color w:val="202020"/>
                <w:sz w:val="20"/>
              </w:rPr>
              <w:t xml:space="preserve"> release is the adversarial hardening pass (rounds 7-10). For this connector the headline is </w:t>
            </w:r>
            <w:r>
              <w:rPr>
                <w:b/>
                <w:color w:val="202020"/>
                <w:sz w:val="20"/>
              </w:rPr>
              <w:t>field-level security (FLS)</w:t>
            </w:r>
            <w:r>
              <w:rPr>
                <w:color w:val="202020"/>
                <w:sz w:val="20"/>
              </w:rPr>
              <w:t xml:space="preserve">, new since 1.1 and enforced </w:t>
            </w:r>
            <w:r>
              <w:rPr>
                <w:b/>
                <w:color w:val="202020"/>
                <w:sz w:val="20"/>
              </w:rPr>
              <w:t>by default</w:t>
            </w:r>
            <w:r>
              <w:rPr>
                <w:color w:val="202020"/>
                <w:sz w:val="20"/>
              </w:rPr>
              <w:t xml:space="preserve">: the connector now fetches field read permissions from Salesforce and drops, from both the Graph properties </w:t>
            </w:r>
            <w:r>
              <w:rPr>
                <w:b/>
                <w:color w:val="202020"/>
                <w:sz w:val="20"/>
              </w:rPr>
              <w:t>and</w:t>
            </w:r>
            <w:r>
              <w:rPr>
                <w:color w:val="202020"/>
                <w:sz w:val="20"/>
              </w:rPr>
              <w:t xml:space="preserve"> the searchable content body, any field not readable by every principal in scope (§5.7, §12.7). As part of closing the FLS work, </w:t>
            </w:r>
            <w:r>
              <w:rPr>
                <w:b/>
                <w:color w:val="202020"/>
                <w:sz w:val="20"/>
              </w:rPr>
              <w:t>compound fields (BillingAddress and friends) are no longer queried at all</w:t>
            </w:r>
            <w:r>
              <w:rPr>
                <w:color w:val="202020"/>
                <w:sz w:val="20"/>
              </w:rPr>
              <w:t xml:space="preserve"> — address components are selected individually, each gated by its own FieldPermissions under its literal name, and reassembled per the schema's </w:t>
            </w:r>
            <w:r>
              <w:rPr>
                <w:rFonts w:ascii="Consolas" w:hAnsi="Consolas"/>
                <w:color w:val="202020"/>
                <w:sz w:val="19"/>
              </w:rPr>
              <w:t>addressFields</w:t>
            </w:r>
            <w:r>
              <w:rPr>
                <w:color w:val="202020"/>
                <w:sz w:val="20"/>
              </w:rPr>
              <w:t xml:space="preserve"> map; an earlier name-inferring compound fix was </w:t>
            </w:r>
            <w:r>
              <w:rPr>
                <w:b/>
                <w:color w:val="202020"/>
                <w:sz w:val="20"/>
              </w:rPr>
              <w:t>deleted as unsound</w:t>
            </w:r>
            <w:r>
              <w:rPr>
                <w:color w:val="202020"/>
                <w:sz w:val="20"/>
              </w:rPr>
              <w:t xml:space="preserve"> rather than patched, after it was shown to cause data loss on Person-Accounts orgs while still leaking. The manual </w:t>
            </w:r>
            <w:r>
              <w:rPr>
                <w:rFonts w:ascii="Consolas" w:hAnsi="Consolas"/>
                <w:color w:val="202020"/>
                <w:sz w:val="19"/>
              </w:rPr>
              <w:t>flsFields</w:t>
            </w:r>
            <w:r>
              <w:rPr>
                <w:color w:val="202020"/>
                <w:sz w:val="20"/>
              </w:rPr>
              <w:t xml:space="preserve"> lever now matches </w:t>
            </w:r>
            <w:r>
              <w:rPr>
                <w:b/>
                <w:color w:val="202020"/>
                <w:sz w:val="20"/>
              </w:rPr>
              <w:t>case-insensitively</w:t>
            </w:r>
            <w:r>
              <w:rPr>
                <w:color w:val="202020"/>
                <w:sz w:val="20"/>
              </w:rPr>
              <w:t xml:space="preserve"> (a casing typo used to be a silent no-op that leaked the field in full) and no longer emits undeclared null properties to Graph. The test suite now stands at </w:t>
            </w:r>
            <w:r>
              <w:rPr>
                <w:b/>
                <w:color w:val="202020"/>
                <w:sz w:val="20"/>
              </w:rPr>
              <w:t>1,206 tests</w:t>
            </w:r>
            <w:r>
              <w:rPr>
                <w:color w:val="202020"/>
                <w:sz w:val="20"/>
              </w:rPr>
              <w:t xml:space="preserve">. Full details, including what was tried and reverted across the fleet, are in the </w:t>
            </w:r>
            <w:r>
              <w:rPr>
                <w:b/>
                <w:color w:val="202020"/>
                <w:sz w:val="20"/>
              </w:rPr>
              <w:t>Release Notes — Hardening Programme (CONN-DOC-REL-01, v2.0)</w:t>
            </w:r>
            <w:r>
              <w:rPr>
                <w:color w:val="202020"/>
                <w:sz w:val="20"/>
              </w:rPr>
              <w: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Carried forward from 1.1 — safe defaults: </w:t>
            </w:r>
            <w:r>
              <w:rPr>
                <w:color w:val="202020"/>
                <w:sz w:val="20"/>
              </w:rPr>
              <w:t xml:space="preserve">Carried forward from </w:t>
            </w:r>
            <w:r>
              <w:rPr>
                <w:b/>
                <w:color w:val="202020"/>
                <w:sz w:val="20"/>
              </w:rPr>
              <w:t>1.1</w:t>
            </w:r>
            <w:r>
              <w:rPr>
                <w:color w:val="202020"/>
                <w:sz w:val="20"/>
              </w:rPr>
              <w:t xml:space="preserve"> (bank-grade hardening): two behaviour-changing </w:t>
            </w:r>
            <w:r>
              <w:rPr>
                <w:b/>
                <w:color w:val="202020"/>
                <w:sz w:val="20"/>
              </w:rPr>
              <w:t>safe-default flips</w:t>
            </w:r>
            <w:r>
              <w:rPr>
                <w:color w:val="202020"/>
                <w:sz w:val="20"/>
              </w:rPr>
              <w:t xml:space="preserve"> affect this connector. </w:t>
            </w:r>
            <w:r>
              <w:rPr>
                <w:b/>
                <w:color w:val="202020"/>
                <w:sz w:val="20"/>
              </w:rPr>
              <w:t>(1) Dead-letter records are now redacted by default</w:t>
            </w:r>
            <w:r>
              <w:rPr>
                <w:color w:val="202020"/>
                <w:sz w:val="20"/>
              </w:rPr>
              <w:t xml:space="preserve"> — </w:t>
            </w:r>
            <w:r>
              <w:rPr>
                <w:rFonts w:ascii="Consolas" w:hAnsi="Consolas"/>
                <w:color w:val="202020"/>
                <w:sz w:val="19"/>
              </w:rPr>
              <w:t>DEADLETTER_PAYLOAD_MODE</w:t>
            </w:r>
            <w:r>
              <w:rPr>
                <w:color w:val="202020"/>
                <w:sz w:val="20"/>
              </w:rPr>
              <w:t xml:space="preserve"> defaults to </w:t>
            </w:r>
            <w:r>
              <w:rPr>
                <w:rFonts w:ascii="Consolas" w:hAnsi="Consolas"/>
                <w:color w:val="202020"/>
                <w:sz w:val="19"/>
              </w:rPr>
              <w:t>redacted</w:t>
            </w:r>
            <w:r>
              <w:rPr>
                <w:color w:val="202020"/>
                <w:sz w:val="20"/>
              </w:rPr>
              <w:t xml:space="preserve"> (was </w:t>
            </w:r>
            <w:r>
              <w:rPr>
                <w:rFonts w:ascii="Consolas" w:hAnsi="Consolas"/>
                <w:color w:val="202020"/>
                <w:sz w:val="19"/>
              </w:rPr>
              <w:t>full</w:t>
            </w:r>
            <w:r>
              <w:rPr>
                <w:color w:val="202020"/>
                <w:sz w:val="20"/>
              </w:rPr>
              <w:t xml:space="preserve">), so raw CRM field values and PII no longer land on disk unless you deliberately set </w:t>
            </w:r>
            <w:r>
              <w:rPr>
                <w:rFonts w:ascii="Consolas" w:hAnsi="Consolas"/>
                <w:color w:val="202020"/>
                <w:sz w:val="19"/>
              </w:rPr>
              <w:t>full</w:t>
            </w:r>
            <w:r>
              <w:rPr>
                <w:color w:val="202020"/>
                <w:sz w:val="20"/>
              </w:rPr>
              <w:t xml:space="preserve">; a typo in this setting now fails startup rather than silently keeping data. </w:t>
            </w:r>
            <w:r>
              <w:rPr>
                <w:b/>
                <w:color w:val="202020"/>
                <w:sz w:val="20"/>
              </w:rPr>
              <w:t>(2) Entitlements now re-sync on every incremental crawl</w:t>
            </w:r>
            <w:r>
              <w:rPr>
                <w:color w:val="202020"/>
                <w:sz w:val="20"/>
              </w:rPr>
              <w:t xml:space="preserve"> — </w:t>
            </w:r>
            <w:r>
              <w:rPr>
                <w:rFonts w:ascii="Consolas" w:hAnsi="Consolas"/>
                <w:color w:val="202020"/>
                <w:sz w:val="19"/>
              </w:rPr>
              <w:t>IDENTITY_SYNC_ON_INCREMENTAL</w:t>
            </w:r>
            <w:r>
              <w:rPr>
                <w:color w:val="202020"/>
                <w:sz w:val="20"/>
              </w:rPr>
              <w:t xml:space="preserve"> defaults to </w:t>
            </w:r>
            <w:r>
              <w:rPr>
                <w:rFonts w:ascii="Consolas" w:hAnsi="Consolas"/>
                <w:color w:val="202020"/>
                <w:sz w:val="19"/>
              </w:rPr>
              <w:t>true</w:t>
            </w:r>
            <w:r>
              <w:rPr>
                <w:color w:val="202020"/>
                <w:sz w:val="20"/>
              </w:rPr>
              <w:t xml:space="preserve"> (opt-out), shrinking ACL-staleness lag from the full-crawl cadence to the incremental cadence (this only takes effect when </w:t>
            </w:r>
            <w:r>
              <w:rPr>
                <w:rFonts w:ascii="Consolas" w:hAnsi="Consolas"/>
                <w:color w:val="202020"/>
                <w:sz w:val="19"/>
              </w:rPr>
              <w:t>USE_GROUP_ACL=true</w:t>
            </w:r>
            <w:r>
              <w:rPr>
                <w:color w:val="202020"/>
                <w:sz w:val="20"/>
              </w:rPr>
              <w:t xml:space="preserve">, which is the default). In addition, new </w:t>
            </w:r>
            <w:r>
              <w:rPr>
                <w:b/>
                <w:color w:val="202020"/>
                <w:sz w:val="20"/>
              </w:rPr>
              <w:t>opt-in</w:t>
            </w:r>
            <w:r>
              <w:rPr>
                <w:color w:val="202020"/>
                <w:sz w:val="20"/>
              </w:rPr>
              <w:t xml:space="preserve"> governance controls — classification-tag ACL enforcement, stale-index item TTL, the large-group ACL scale guard, and a tamper-evident decision ledger — are documented in §12.5, and the connector now creates its state, log and dead-letter directories owner-only at startup. Salesforce remains poll-only: there is still no inbound webhook and no circuit breaker.</w:t>
            </w:r>
          </w:p>
        </w:tc>
      </w:tr>
    </w:tbl>
    <w:p>
      <w:pPr>
        <w:spacing w:after="40"/>
      </w:pPr>
    </w:p>
    <w:p>
      <w:pPr>
        <w:pStyle w:val="Heading2"/>
      </w:pPr>
      <w:r>
        <w:rPr>
          <w:color w:val="2E5496"/>
        </w:rPr>
        <w:t>1.1 Who this is for</w:t>
      </w:r>
    </w:p>
    <w:p>
      <w:pPr>
        <w:spacing w:after="120"/>
      </w:pPr>
      <w:r>
        <w:rPr>
          <w:color w:val="202020"/>
        </w:rPr>
        <w:t xml:space="preserve">You do not need to be a Salesforce developer or a Microsoft Graph specialist to run this connector. You do need to be comfortable editing configuration files, running a command-line tool or a Windows service, and reading logs and dashboards. Wherever a value has to come from another team (the Salesforce administrators, the Microsoft Entra tenant admins, or the network/firewall team), this guide flags it with an </w:t>
      </w:r>
      <w:r>
        <w:rPr>
          <w:b/>
          <w:color w:val="202020"/>
        </w:rPr>
        <w:t>Information to request</w:t>
      </w:r>
      <w:r>
        <w:rPr>
          <w:color w:val="202020"/>
        </w:rPr>
        <w:t xml:space="preserve"> box so you know precisely what to ask for and who owns it.</w:t>
      </w:r>
    </w:p>
    <w:p>
      <w:pPr>
        <w:pStyle w:val="Heading2"/>
      </w:pPr>
      <w:r>
        <w:rPr>
          <w:color w:val="2E5496"/>
        </w:rPr>
        <w:t>1.2 Read the Common Guide first</w:t>
      </w:r>
    </w:p>
    <w:p>
      <w:pPr>
        <w:spacing w:after="120"/>
      </w:pPr>
      <w:r>
        <w:rPr>
          <w:color w:val="202020"/>
        </w:rPr>
        <w:t xml:space="preserve">This connector is one of a family that all share the same underlying engine — the same crawl loop, checkpointing, dead-letter queue, retry behaviour, sharding, high availability, security and deployment model. Those shared concepts are documented once, in the </w:t>
      </w:r>
      <w:r>
        <w:rPr>
          <w:b/>
          <w:color w:val="202020"/>
        </w:rPr>
        <w:t>Tenant &amp; Common Concepts Guide (CONN-DOC-COMMON-01)</w:t>
      </w:r>
      <w:r>
        <w:rPr>
          <w:color w:val="202020"/>
        </w:rPr>
        <w:t xml:space="preserve">, and are </w:t>
      </w:r>
      <w:r>
        <w:rPr>
          <w:b/>
          <w:color w:val="202020"/>
        </w:rPr>
        <w:t>not</w:t>
      </w:r>
      <w:r>
        <w:rPr>
          <w:color w:val="202020"/>
        </w:rPr>
        <w:t xml:space="preserve"> repeated here. This document covers only what is specific to Salesforce.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If a term such as </w:t>
            </w:r>
            <w:r>
              <w:rPr>
                <w:b/>
                <w:color w:val="202020"/>
                <w:sz w:val="20"/>
              </w:rPr>
              <w:t>external connection</w:t>
            </w:r>
            <w:r>
              <w:rPr>
                <w:color w:val="202020"/>
                <w:sz w:val="20"/>
              </w:rPr>
              <w:t xml:space="preserve">, </w:t>
            </w:r>
            <w:r>
              <w:rPr>
                <w:b/>
                <w:color w:val="202020"/>
                <w:sz w:val="20"/>
              </w:rPr>
              <w:t>external item</w:t>
            </w:r>
            <w:r>
              <w:rPr>
                <w:color w:val="202020"/>
                <w:sz w:val="20"/>
              </w:rPr>
              <w:t xml:space="preserve">, </w:t>
            </w:r>
            <w:r>
              <w:rPr>
                <w:b/>
                <w:color w:val="202020"/>
                <w:sz w:val="20"/>
              </w:rPr>
              <w:t>ACL</w:t>
            </w:r>
            <w:r>
              <w:rPr>
                <w:color w:val="202020"/>
                <w:sz w:val="20"/>
              </w:rPr>
              <w:t xml:space="preserve">, </w:t>
            </w:r>
            <w:r>
              <w:rPr>
                <w:b/>
                <w:color w:val="202020"/>
                <w:sz w:val="20"/>
              </w:rPr>
              <w:t>checkpoint</w:t>
            </w:r>
            <w:r>
              <w:rPr>
                <w:color w:val="202020"/>
                <w:sz w:val="20"/>
              </w:rPr>
              <w:t xml:space="preserve">, </w:t>
            </w:r>
            <w:r>
              <w:rPr>
                <w:b/>
                <w:color w:val="202020"/>
                <w:sz w:val="20"/>
              </w:rPr>
              <w:t>dead-letter queue</w:t>
            </w:r>
            <w:r>
              <w:rPr>
                <w:color w:val="202020"/>
                <w:sz w:val="20"/>
              </w:rPr>
              <w:t xml:space="preserve">, </w:t>
            </w:r>
            <w:r>
              <w:rPr>
                <w:b/>
                <w:color w:val="202020"/>
                <w:sz w:val="20"/>
              </w:rPr>
              <w:t>adaptive concurrency</w:t>
            </w:r>
            <w:r>
              <w:rPr>
                <w:color w:val="202020"/>
                <w:sz w:val="20"/>
              </w:rPr>
              <w:t xml:space="preserve">, </w:t>
            </w:r>
            <w:r>
              <w:rPr>
                <w:b/>
                <w:color w:val="202020"/>
                <w:sz w:val="20"/>
              </w:rPr>
              <w:t>sharding</w:t>
            </w:r>
            <w:r>
              <w:rPr>
                <w:color w:val="202020"/>
                <w:sz w:val="20"/>
              </w:rPr>
              <w:t xml:space="preserve"> or </w:t>
            </w:r>
            <w:r>
              <w:rPr>
                <w:b/>
                <w:color w:val="202020"/>
                <w:sz w:val="20"/>
              </w:rPr>
              <w:t>high availability</w:t>
            </w:r>
            <w:r>
              <w:rPr>
                <w:color w:val="202020"/>
                <w:sz w:val="20"/>
              </w:rPr>
              <w:t xml:space="preserve"> is new to you, read the Common Guide before continuing. In particular: the Common Guide </w:t>
            </w:r>
            <w:r>
              <w:rPr>
                <w:b/>
                <w:color w:val="202020"/>
                <w:sz w:val="20"/>
              </w:rPr>
              <w:t>§6 The shared connector architecture</w:t>
            </w:r>
            <w:r>
              <w:rPr>
                <w:color w:val="202020"/>
                <w:sz w:val="20"/>
              </w:rPr>
              <w:t xml:space="preserve">, </w:t>
            </w:r>
            <w:r>
              <w:rPr>
                <w:b/>
                <w:color w:val="202020"/>
                <w:sz w:val="20"/>
              </w:rPr>
              <w:t>§5 Identity and access</w:t>
            </w:r>
            <w:r>
              <w:rPr>
                <w:color w:val="202020"/>
                <w:sz w:val="20"/>
              </w:rPr>
              <w:t xml:space="preserve">, and </w:t>
            </w:r>
            <w:r>
              <w:rPr>
                <w:b/>
                <w:color w:val="202020"/>
                <w:sz w:val="20"/>
              </w:rPr>
              <w:t>§13 Master glossary</w:t>
            </w:r>
            <w:r>
              <w:rPr>
                <w:color w:val="202020"/>
                <w:sz w:val="20"/>
              </w:rPr>
              <w:t>.</w:t>
            </w:r>
          </w:p>
        </w:tc>
      </w:tr>
    </w:tbl>
    <w:p>
      <w:pPr>
        <w:spacing w:after="40"/>
      </w:pPr>
    </w:p>
    <w:p>
      <w:pPr>
        <w:pStyle w:val="Heading2"/>
      </w:pPr>
      <w:r>
        <w:rPr>
          <w:color w:val="2E5496"/>
        </w:rPr>
        <w:t>1.3 How to use this document</w:t>
      </w:r>
    </w:p>
    <w:p>
      <w:pPr>
        <w:pStyle w:val="ListBullet"/>
        <w:spacing w:after="40"/>
      </w:pPr>
      <w:r>
        <w:rPr>
          <w:b/>
          <w:color w:val="202020"/>
        </w:rPr>
        <w:t>Setting it up for the first time?</w:t>
      </w:r>
      <w:r>
        <w:rPr>
          <w:color w:val="202020"/>
        </w:rPr>
        <w:t xml:space="preserve"> Work through §7 (intake checklist) then §8 (step-by-step setup). Collect every value in §7 before you start §8.</w:t>
      </w:r>
    </w:p>
    <w:p>
      <w:pPr>
        <w:pStyle w:val="ListBullet"/>
        <w:spacing w:after="40"/>
      </w:pPr>
      <w:r>
        <w:rPr>
          <w:b/>
          <w:color w:val="202020"/>
        </w:rPr>
        <w:t>Running it day to day?</w:t>
      </w:r>
      <w:r>
        <w:rPr>
          <w:color w:val="202020"/>
        </w:rPr>
        <w:t xml:space="preserve"> §9 (daily operation) and §10 (monitoring) are your reference.</w:t>
      </w:r>
    </w:p>
    <w:p>
      <w:pPr>
        <w:pStyle w:val="ListBullet"/>
        <w:spacing w:after="40"/>
      </w:pPr>
      <w:r>
        <w:rPr>
          <w:b/>
          <w:color w:val="202020"/>
        </w:rPr>
        <w:t>Something is wrong?</w:t>
      </w:r>
      <w:r>
        <w:rPr>
          <w:color w:val="202020"/>
        </w:rPr>
        <w:t xml:space="preserve"> Go straight to §11 (troubleshooting) — it maps a symptom to a likely cause and a fix.</w:t>
      </w:r>
    </w:p>
    <w:p>
      <w:pPr>
        <w:pStyle w:val="ListBullet"/>
        <w:spacing w:after="40"/>
      </w:pPr>
      <w:r>
        <w:rPr>
          <w:b/>
          <w:color w:val="202020"/>
        </w:rPr>
        <w:t>Need to look up a setting or a term?</w:t>
      </w:r>
      <w:r>
        <w:rPr>
          <w:color w:val="202020"/>
        </w:rPr>
        <w:t xml:space="preserve"> §12 is the full configuration reference; §13 is the Salesforce-specific glossary.</w:t>
      </w:r>
    </w:p>
    <w:p>
      <w:pPr>
        <w:spacing w:after="120"/>
      </w:pPr>
      <w:r>
        <w:rPr>
          <w:color w:val="202020"/>
        </w:rPr>
        <w:t>Keep this document open while you work. It is a reference, not a tutorial — you are not expected to memorise it.</w:t>
      </w:r>
    </w:p>
    <w:p>
      <w:pPr>
        <w:pStyle w:val="Heading1"/>
      </w:pPr>
      <w:r>
        <w:rPr>
          <w:color w:val="1F3864"/>
        </w:rPr>
        <w:t>2. What is Salesforce, and what data will this connector index?</w:t>
      </w:r>
    </w:p>
    <w:p>
      <w:pPr>
        <w:pStyle w:val="Heading2"/>
      </w:pPr>
      <w:r>
        <w:rPr>
          <w:color w:val="2E5496"/>
        </w:rPr>
        <w:t>2.1 Salesforce in plain language</w:t>
      </w:r>
    </w:p>
    <w:p>
      <w:pPr>
        <w:spacing w:after="120"/>
      </w:pPr>
      <w:r>
        <w:rPr>
          <w:color w:val="202020"/>
        </w:rPr>
        <w:t xml:space="preserve">Salesforce is the bank's </w:t>
      </w:r>
      <w:r>
        <w:rPr>
          <w:b/>
          <w:color w:val="202020"/>
        </w:rPr>
        <w:t>CRM</w:t>
      </w:r>
      <w:r>
        <w:rPr>
          <w:color w:val="202020"/>
        </w:rPr>
        <w:t xml:space="preserve"> — Customer Relationship Management — system. It is the system of record for who the customers and prospects are, who owns each relationship, what deals are in the pipeline, and what support issues are open. Relationship managers, sales staff, support agents and marketing teams live in it every day.</w:t>
      </w:r>
    </w:p>
    <w:p>
      <w:pPr>
        <w:spacing w:after="120"/>
      </w:pPr>
      <w:r>
        <w:rPr>
          <w:color w:val="202020"/>
        </w:rPr>
        <w:t xml:space="preserve">Salesforce stores data as </w:t>
      </w:r>
      <w:r>
        <w:rPr>
          <w:b/>
          <w:color w:val="202020"/>
        </w:rPr>
        <w:t>records</w:t>
      </w:r>
      <w:r>
        <w:rPr>
          <w:color w:val="202020"/>
        </w:rPr>
        <w:t xml:space="preserve"> grouped into </w:t>
      </w:r>
      <w:r>
        <w:rPr>
          <w:b/>
          <w:color w:val="202020"/>
        </w:rPr>
        <w:t>objects</w:t>
      </w:r>
      <w:r>
        <w:rPr>
          <w:color w:val="202020"/>
        </w:rPr>
        <w:t xml:space="preserve">. An object is like a table; a record is a row. Salesforce ships with </w:t>
      </w:r>
      <w:r>
        <w:rPr>
          <w:b/>
          <w:color w:val="202020"/>
        </w:rPr>
        <w:t>standard objects</w:t>
      </w:r>
      <w:r>
        <w:rPr>
          <w:color w:val="202020"/>
        </w:rPr>
        <w:t xml:space="preserve"> (Account, Contact, Opportunity, Case, Lead and so on) and lets each organisation add </w:t>
      </w:r>
      <w:r>
        <w:rPr>
          <w:b/>
          <w:color w:val="202020"/>
        </w:rPr>
        <w:t>custom objects</w:t>
      </w:r>
      <w:r>
        <w:rPr>
          <w:color w:val="202020"/>
        </w:rPr>
        <w:t xml:space="preserve"> and </w:t>
      </w:r>
      <w:r>
        <w:rPr>
          <w:b/>
          <w:color w:val="202020"/>
        </w:rPr>
        <w:t>custom fields</w:t>
      </w:r>
      <w:r>
        <w:rPr>
          <w:color w:val="202020"/>
        </w:rPr>
        <w:t xml:space="preserve"> (their API names end in </w:t>
      </w:r>
      <w:r>
        <w:rPr>
          <w:rFonts w:ascii="Consolas" w:hAnsi="Consolas"/>
          <w:color w:val="202020"/>
          <w:sz w:val="19"/>
        </w:rPr>
        <w:t>__c</w:t>
      </w:r>
      <w:r>
        <w:rPr>
          <w:color w:val="202020"/>
        </w:rPr>
        <w:t xml:space="preserve">, for example </w:t>
      </w:r>
      <w:r>
        <w:rPr>
          <w:rFonts w:ascii="Consolas" w:hAnsi="Consolas"/>
          <w:color w:val="202020"/>
          <w:sz w:val="19"/>
        </w:rPr>
        <w:t>PotentialLiability__c</w:t>
      </w:r>
      <w:r>
        <w:rPr>
          <w:color w:val="202020"/>
        </w:rPr>
        <w:t xml:space="preserve">). Every record has an 18-character </w:t>
      </w:r>
      <w:r>
        <w:rPr>
          <w:b/>
          <w:color w:val="202020"/>
        </w:rPr>
        <w:t>record Id</w:t>
      </w:r>
      <w:r>
        <w:rPr>
          <w:color w:val="202020"/>
        </w:rPr>
        <w:t xml:space="preserve"> that uniquely identifies it.</w:t>
      </w:r>
    </w:p>
    <w:p>
      <w:pPr>
        <w:pStyle w:val="Heading2"/>
      </w:pPr>
      <w:r>
        <w:rPr>
          <w:color w:val="2E5496"/>
        </w:rPr>
        <w:t>2.2 The objects this connector indexes</w:t>
      </w:r>
    </w:p>
    <w:p>
      <w:pPr>
        <w:spacing w:after="120"/>
      </w:pPr>
      <w:r>
        <w:rPr>
          <w:color w:val="202020"/>
        </w:rPr>
        <w:t xml:space="preserve">Out of the box this connector reads the following Salesforce objects, in this order. The exact list, the fields, and any filter are defined in </w:t>
      </w:r>
      <w:r>
        <w:rPr>
          <w:rFonts w:ascii="Consolas" w:hAnsi="Consolas"/>
          <w:color w:val="202020"/>
          <w:sz w:val="19"/>
        </w:rPr>
        <w:t>config/schema.json</w:t>
      </w:r>
      <w:r>
        <w:rPr>
          <w:color w:val="202020"/>
        </w:rPr>
        <w:t xml:space="preserve"> — your Salesforce administrator confirms which of these are actually in scope for the bank.</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6760"/>
      </w:tblGrid>
      <w:tr>
        <w:tc>
          <w:tcPr>
            <w:tcW w:type="dxa" w:w="2600"/>
            <w:shd w:val="clear" w:color="auto" w:fill="2E5496"/>
          </w:tcPr>
          <w:p>
            <w:r>
              <w:rPr>
                <w:b/>
                <w:color w:val="FFFFFF"/>
                <w:sz w:val="19"/>
              </w:rPr>
              <w:t>Salesforce object</w:t>
            </w:r>
          </w:p>
        </w:tc>
        <w:tc>
          <w:tcPr>
            <w:tcW w:type="dxa" w:w="6760"/>
            <w:shd w:val="clear" w:color="auto" w:fill="2E5496"/>
          </w:tcPr>
          <w:p>
            <w:r>
              <w:rPr>
                <w:b/>
                <w:color w:val="FFFFFF"/>
                <w:sz w:val="19"/>
              </w:rPr>
              <w:t>What it holds</w:t>
            </w:r>
          </w:p>
        </w:tc>
      </w:tr>
      <w:tr>
        <w:tc>
          <w:tcPr>
            <w:tcW w:type="dxa" w:w="2600"/>
          </w:tcPr>
          <w:p>
            <w:r>
              <w:rPr>
                <w:color w:val="202020"/>
                <w:sz w:val="19"/>
              </w:rPr>
              <w:t>Account</w:t>
            </w:r>
          </w:p>
        </w:tc>
        <w:tc>
          <w:tcPr>
            <w:tcW w:type="dxa" w:w="6760"/>
          </w:tcPr>
          <w:p>
            <w:r>
              <w:rPr>
                <w:color w:val="202020"/>
                <w:sz w:val="19"/>
              </w:rPr>
              <w:t>Companies / organisations the bank does business with. Carries the org-wide default DefaultAccountAccess.</w:t>
            </w:r>
          </w:p>
        </w:tc>
      </w:tr>
      <w:tr>
        <w:tc>
          <w:tcPr>
            <w:tcW w:type="dxa" w:w="2600"/>
            <w:shd w:val="clear" w:color="auto" w:fill="F7F9FC"/>
          </w:tcPr>
          <w:p>
            <w:r>
              <w:rPr>
                <w:color w:val="202020"/>
                <w:sz w:val="19"/>
              </w:rPr>
              <w:t>Contact</w:t>
            </w:r>
          </w:p>
        </w:tc>
        <w:tc>
          <w:tcPr>
            <w:tcW w:type="dxa" w:w="6760"/>
            <w:shd w:val="clear" w:color="auto" w:fill="F7F9FC"/>
          </w:tcPr>
          <w:p>
            <w:r>
              <w:rPr>
                <w:color w:val="202020"/>
                <w:sz w:val="19"/>
              </w:rPr>
              <w:t>People at an Account (child of Account). DefaultContactAccess.</w:t>
            </w:r>
          </w:p>
        </w:tc>
      </w:tr>
      <w:tr>
        <w:tc>
          <w:tcPr>
            <w:tcW w:type="dxa" w:w="2600"/>
          </w:tcPr>
          <w:p>
            <w:r>
              <w:rPr>
                <w:color w:val="202020"/>
                <w:sz w:val="19"/>
              </w:rPr>
              <w:t>Lead</w:t>
            </w:r>
          </w:p>
        </w:tc>
        <w:tc>
          <w:tcPr>
            <w:tcW w:type="dxa" w:w="6760"/>
          </w:tcPr>
          <w:p>
            <w:r>
              <w:rPr>
                <w:color w:val="202020"/>
                <w:sz w:val="19"/>
              </w:rPr>
              <w:t>Unqualified prospects not yet converted. DefaultLeadAccess.</w:t>
            </w:r>
          </w:p>
        </w:tc>
      </w:tr>
      <w:tr>
        <w:tc>
          <w:tcPr>
            <w:tcW w:type="dxa" w:w="2600"/>
            <w:shd w:val="clear" w:color="auto" w:fill="F7F9FC"/>
          </w:tcPr>
          <w:p>
            <w:r>
              <w:rPr>
                <w:color w:val="202020"/>
                <w:sz w:val="19"/>
              </w:rPr>
              <w:t>Opportunity</w:t>
            </w:r>
          </w:p>
        </w:tc>
        <w:tc>
          <w:tcPr>
            <w:tcW w:type="dxa" w:w="6760"/>
            <w:shd w:val="clear" w:color="auto" w:fill="F7F9FC"/>
          </w:tcPr>
          <w:p>
            <w:r>
              <w:rPr>
                <w:color w:val="202020"/>
                <w:sz w:val="19"/>
              </w:rPr>
              <w:t>Deals in the sales pipeline, with amount and stage. DefaultOpportunityAccess.</w:t>
            </w:r>
          </w:p>
        </w:tc>
      </w:tr>
      <w:tr>
        <w:tc>
          <w:tcPr>
            <w:tcW w:type="dxa" w:w="2600"/>
          </w:tcPr>
          <w:p>
            <w:r>
              <w:rPr>
                <w:color w:val="202020"/>
                <w:sz w:val="19"/>
              </w:rPr>
              <w:t>Case</w:t>
            </w:r>
          </w:p>
        </w:tc>
        <w:tc>
          <w:tcPr>
            <w:tcW w:type="dxa" w:w="6760"/>
          </w:tcPr>
          <w:p>
            <w:r>
              <w:rPr>
                <w:color w:val="202020"/>
                <w:sz w:val="19"/>
              </w:rPr>
              <w:t>Customer support / service issues. DefaultCaseAccess.</w:t>
            </w:r>
          </w:p>
        </w:tc>
      </w:tr>
      <w:tr>
        <w:tc>
          <w:tcPr>
            <w:tcW w:type="dxa" w:w="2600"/>
            <w:shd w:val="clear" w:color="auto" w:fill="F7F9FC"/>
          </w:tcPr>
          <w:p>
            <w:r>
              <w:rPr>
                <w:color w:val="202020"/>
                <w:sz w:val="19"/>
              </w:rPr>
              <w:t>Campaign</w:t>
            </w:r>
          </w:p>
        </w:tc>
        <w:tc>
          <w:tcPr>
            <w:tcW w:type="dxa" w:w="6760"/>
            <w:shd w:val="clear" w:color="auto" w:fill="F7F9FC"/>
          </w:tcPr>
          <w:p>
            <w:r>
              <w:rPr>
                <w:color w:val="202020"/>
                <w:sz w:val="19"/>
              </w:rPr>
              <w:t>Marketing campaigns. DefaultCampaignAccess.</w:t>
            </w:r>
          </w:p>
        </w:tc>
      </w:tr>
      <w:tr>
        <w:tc>
          <w:tcPr>
            <w:tcW w:type="dxa" w:w="2600"/>
          </w:tcPr>
          <w:p>
            <w:r>
              <w:rPr>
                <w:color w:val="202020"/>
                <w:sz w:val="19"/>
              </w:rPr>
              <w:t>Task, Event</w:t>
            </w:r>
          </w:p>
        </w:tc>
        <w:tc>
          <w:tcPr>
            <w:tcW w:type="dxa" w:w="6760"/>
          </w:tcPr>
          <w:p>
            <w:r>
              <w:rPr>
                <w:color w:val="202020"/>
                <w:sz w:val="19"/>
              </w:rPr>
              <w:t>Activities (calls, meetings, to-dos) linked to other records.</w:t>
            </w:r>
          </w:p>
        </w:tc>
      </w:tr>
      <w:tr>
        <w:tc>
          <w:tcPr>
            <w:tcW w:type="dxa" w:w="2600"/>
            <w:shd w:val="clear" w:color="auto" w:fill="F7F9FC"/>
          </w:tcPr>
          <w:p>
            <w:r>
              <w:rPr>
                <w:color w:val="202020"/>
                <w:sz w:val="19"/>
              </w:rPr>
              <w:t>CampaignMember, FeedItem</w:t>
            </w:r>
          </w:p>
        </w:tc>
        <w:tc>
          <w:tcPr>
            <w:tcW w:type="dxa" w:w="6760"/>
            <w:shd w:val="clear" w:color="auto" w:fill="F7F9FC"/>
          </w:tcPr>
          <w:p>
            <w:r>
              <w:rPr>
                <w:color w:val="202020"/>
                <w:sz w:val="19"/>
              </w:rPr>
              <w:t>Campaign membership; Chatter feed posts.</w:t>
            </w:r>
          </w:p>
        </w:tc>
      </w:tr>
      <w:tr>
        <w:tc>
          <w:tcPr>
            <w:tcW w:type="dxa" w:w="2600"/>
          </w:tcPr>
          <w:p>
            <w:r>
              <w:rPr>
                <w:color w:val="202020"/>
                <w:sz w:val="19"/>
              </w:rPr>
              <w:t>Product2, OpportunityLineItem</w:t>
            </w:r>
          </w:p>
        </w:tc>
        <w:tc>
          <w:tcPr>
            <w:tcW w:type="dxa" w:w="6760"/>
          </w:tcPr>
          <w:p>
            <w:r>
              <w:rPr>
                <w:color w:val="202020"/>
                <w:sz w:val="19"/>
              </w:rPr>
              <w:t>Product catalogue; products on an opportunity.</w:t>
            </w:r>
          </w:p>
        </w:tc>
      </w:tr>
      <w:tr>
        <w:tc>
          <w:tcPr>
            <w:tcW w:type="dxa" w:w="2600"/>
            <w:shd w:val="clear" w:color="auto" w:fill="F7F9FC"/>
          </w:tcPr>
          <w:p>
            <w:r>
              <w:rPr>
                <w:color w:val="202020"/>
                <w:sz w:val="19"/>
              </w:rPr>
              <w:t>Order, OrderItem</w:t>
            </w:r>
          </w:p>
        </w:tc>
        <w:tc>
          <w:tcPr>
            <w:tcW w:type="dxa" w:w="6760"/>
            <w:shd w:val="clear" w:color="auto" w:fill="F7F9FC"/>
          </w:tcPr>
          <w:p>
            <w:r>
              <w:rPr>
                <w:color w:val="202020"/>
                <w:sz w:val="19"/>
              </w:rPr>
              <w:t>Orders and order line items.</w:t>
            </w:r>
          </w:p>
        </w:tc>
      </w:tr>
      <w:tr>
        <w:tc>
          <w:tcPr>
            <w:tcW w:type="dxa" w:w="2600"/>
          </w:tcPr>
          <w:p>
            <w:r>
              <w:rPr>
                <w:color w:val="202020"/>
                <w:sz w:val="19"/>
              </w:rPr>
              <w:t>Quote, QuoteLineItem</w:t>
            </w:r>
          </w:p>
        </w:tc>
        <w:tc>
          <w:tcPr>
            <w:tcW w:type="dxa" w:w="6760"/>
          </w:tcPr>
          <w:p>
            <w:r>
              <w:rPr>
                <w:color w:val="202020"/>
                <w:sz w:val="19"/>
              </w:rPr>
              <w:t>Quotes and quote line items.</w:t>
            </w:r>
          </w:p>
        </w:tc>
      </w:tr>
      <w:tr>
        <w:tc>
          <w:tcPr>
            <w:tcW w:type="dxa" w:w="2600"/>
            <w:shd w:val="clear" w:color="auto" w:fill="F7F9FC"/>
          </w:tcPr>
          <w:p>
            <w:r>
              <w:rPr>
                <w:color w:val="202020"/>
                <w:sz w:val="19"/>
              </w:rPr>
              <w:t>CaseComment, CollaborationGroup</w:t>
            </w:r>
          </w:p>
        </w:tc>
        <w:tc>
          <w:tcPr>
            <w:tcW w:type="dxa" w:w="6760"/>
            <w:shd w:val="clear" w:color="auto" w:fill="F7F9FC"/>
          </w:tcPr>
          <w:p>
            <w:r>
              <w:rPr>
                <w:color w:val="202020"/>
                <w:sz w:val="19"/>
              </w:rPr>
              <w:t>Case notes; Chatter groups.</w:t>
            </w:r>
          </w:p>
        </w:tc>
      </w:tr>
    </w:tbl>
    <w:p>
      <w:pPr>
        <w:spacing w:after="40"/>
      </w:pPr>
    </w:p>
    <w:p>
      <w:pPr>
        <w:spacing w:after="120"/>
      </w:pPr>
      <w:r>
        <w:rPr>
          <w:color w:val="202020"/>
        </w:rPr>
        <w:t xml:space="preserve">The four objects that carry a record-level sharing model — </w:t>
      </w:r>
      <w:r>
        <w:rPr>
          <w:b/>
          <w:color w:val="202020"/>
        </w:rPr>
        <w:t>Account, Contact, Opportunity, Case</w:t>
      </w:r>
      <w:r>
        <w:rPr>
          <w:color w:val="202020"/>
        </w:rPr>
        <w:t xml:space="preserve"> (and Lead and Campaign) — are the ones where the access-trimming engine in §5 and §6 does its most important work.</w:t>
      </w:r>
    </w:p>
    <w:p>
      <w:pPr>
        <w:pStyle w:val="Heading2"/>
      </w:pPr>
      <w:r>
        <w:rPr>
          <w:color w:val="2E5496"/>
        </w:rPr>
        <w:t>2.3 Why the bank wants this in Copilot</w:t>
      </w:r>
    </w:p>
    <w:p>
      <w:pPr>
        <w:spacing w:after="120"/>
      </w:pPr>
      <w:r>
        <w:rPr>
          <w:color w:val="202020"/>
        </w:rPr>
        <w:t xml:space="preserve">The goal is to let staff ask Microsoft 365 Copilot natural questions and get answers drawn from live CRM data — for example "what open high-priority cases do we have for Acme Corp?" or "show my opportunities closing this quarter" — </w:t>
      </w:r>
      <w:r>
        <w:rPr>
          <w:b/>
          <w:color w:val="202020"/>
        </w:rPr>
        <w:t>without</w:t>
      </w:r>
      <w:r>
        <w:rPr>
          <w:color w:val="202020"/>
        </w:rPr>
        <w:t xml:space="preserve"> each person having to open Salesforce and search. The critical requirement, because this is a bank, is that Copilot must show each user only the records that person is already allowed to see in Salesforce. Replicating Salesforce's access rules into Copilot is exactly what this connector's sharing-model engine does (see §5 and §6).</w:t>
      </w:r>
    </w:p>
    <w:p>
      <w:pPr>
        <w:pStyle w:val="Heading1"/>
      </w:pPr>
      <w:r>
        <w:rPr>
          <w:color w:val="1F3864"/>
        </w:rPr>
        <w:t>3. What this connector does</w:t>
      </w:r>
    </w:p>
    <w:p>
      <w:pPr>
        <w:spacing w:after="200"/>
      </w:pPr>
      <w:r>
        <w:rPr>
          <w:color w:val="595959"/>
          <w:sz w:val="23"/>
        </w:rPr>
        <w:t>The connector is a background service that copies Salesforce records into the Microsoft 365 Copilot search index, keeps them up to date, and stamps each one with the list of people allowed to see it.</w:t>
      </w:r>
    </w:p>
    <w:p>
      <w:pPr>
        <w:pStyle w:val="Heading2"/>
      </w:pPr>
      <w:r>
        <w:rPr>
          <w:color w:val="2E5496"/>
        </w:rPr>
        <w:t>3.1 The end-to-end flow</w:t>
      </w:r>
    </w:p>
    <w:p>
      <w:pPr>
        <w:spacing w:after="120"/>
      </w:pPr>
      <w:r>
        <w:rPr>
          <w:color w:val="202020"/>
        </w:rPr>
        <w:t>At a high level, data moves in one direction — from Salesforce, through the connector, into Microsoft Graph, and then into the Copilot index:</w:t>
      </w:r>
    </w:p>
    <w:p>
      <w:pPr>
        <w:pStyle w:val="ListBullet"/>
        <w:spacing w:after="40"/>
      </w:pPr>
      <w:r>
        <w:rPr>
          <w:b/>
          <w:color w:val="202020"/>
        </w:rPr>
        <w:t>1. Read from Salesforce.</w:t>
      </w:r>
      <w:r>
        <w:rPr>
          <w:color w:val="202020"/>
        </w:rPr>
        <w:t xml:space="preserve"> The connector signs in to your Salesforce org and runs SOQL queries (Salesforce's query language) to pull records for each object in scope, a page at a time.</w:t>
      </w:r>
    </w:p>
    <w:p>
      <w:pPr>
        <w:pStyle w:val="ListBullet"/>
        <w:spacing w:after="40"/>
      </w:pPr>
      <w:r>
        <w:rPr>
          <w:b/>
          <w:color w:val="202020"/>
        </w:rPr>
        <w:t>2. Work out who can see each record.</w:t>
      </w:r>
      <w:r>
        <w:rPr>
          <w:color w:val="202020"/>
        </w:rPr>
        <w:t xml:space="preserve"> For every record it resolves the Salesforce sharing model (owner, role hierarchy, sharing rules, groups, queues, territories, parent records) into a concrete list of users — this becomes the record's </w:t>
      </w:r>
      <w:r>
        <w:rPr>
          <w:b/>
          <w:color w:val="202020"/>
        </w:rPr>
        <w:t>ACL</w:t>
      </w:r>
      <w:r>
        <w:rPr>
          <w:color w:val="202020"/>
        </w:rPr>
        <w:t xml:space="preserve"> (access control list).</w:t>
      </w:r>
    </w:p>
    <w:p>
      <w:pPr>
        <w:pStyle w:val="ListBullet"/>
        <w:spacing w:after="40"/>
      </w:pPr>
      <w:r>
        <w:rPr>
          <w:b/>
          <w:color w:val="202020"/>
        </w:rPr>
        <w:t>3. Convert to an external item.</w:t>
      </w:r>
      <w:r>
        <w:rPr>
          <w:color w:val="202020"/>
        </w:rPr>
        <w:t xml:space="preserve"> Each Salesforce record is turned into a Microsoft Graph </w:t>
      </w:r>
      <w:r>
        <w:rPr>
          <w:b/>
          <w:color w:val="202020"/>
        </w:rPr>
        <w:t>external item</w:t>
      </w:r>
      <w:r>
        <w:rPr>
          <w:color w:val="202020"/>
        </w:rPr>
        <w:t>: a set of properties (Name, Status, Amount, …), a text body for full-text search, and the ACL from step 2.</w:t>
      </w:r>
    </w:p>
    <w:p>
      <w:pPr>
        <w:pStyle w:val="ListBullet"/>
        <w:spacing w:after="40"/>
      </w:pPr>
      <w:r>
        <w:rPr>
          <w:b/>
          <w:color w:val="202020"/>
        </w:rPr>
        <w:t>4. Write to Microsoft Graph.</w:t>
      </w:r>
      <w:r>
        <w:rPr>
          <w:color w:val="202020"/>
        </w:rPr>
        <w:t xml:space="preserve"> The items are pushed into the connector's </w:t>
      </w:r>
      <w:r>
        <w:rPr>
          <w:b/>
          <w:color w:val="202020"/>
        </w:rPr>
        <w:t>external connection</w:t>
      </w:r>
      <w:r>
        <w:rPr>
          <w:color w:val="202020"/>
        </w:rPr>
        <w:t xml:space="preserve"> in Microsoft Graph, in batches, respecting Graph's rate limits.</w:t>
      </w:r>
    </w:p>
    <w:p>
      <w:pPr>
        <w:pStyle w:val="ListBullet"/>
        <w:spacing w:after="40"/>
      </w:pPr>
      <w:r>
        <w:rPr>
          <w:b/>
          <w:color w:val="202020"/>
        </w:rPr>
        <w:t>5. Copilot indexes and trims.</w:t>
      </w:r>
      <w:r>
        <w:rPr>
          <w:color w:val="202020"/>
        </w:rPr>
        <w:t xml:space="preserve"> Microsoft 365 Copilot indexes the items and, at query time, only returns each item to users on that item's ACL — so Copilot's answers respect Salesforce access.</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The connector only ever </w:t>
            </w:r>
            <w:r>
              <w:rPr>
                <w:b/>
                <w:color w:val="202020"/>
                <w:sz w:val="20"/>
              </w:rPr>
              <w:t>reads</w:t>
            </w:r>
            <w:r>
              <w:rPr>
                <w:color w:val="202020"/>
                <w:sz w:val="20"/>
              </w:rPr>
              <w:t xml:space="preserve"> from Salesforce and </w:t>
            </w:r>
            <w:r>
              <w:rPr>
                <w:b/>
                <w:color w:val="202020"/>
                <w:sz w:val="20"/>
              </w:rPr>
              <w:t>writes</w:t>
            </w:r>
            <w:r>
              <w:rPr>
                <w:color w:val="202020"/>
                <w:sz w:val="20"/>
              </w:rPr>
              <w:t xml:space="preserve"> to its own Graph connection. It never changes Salesforce data, and it never writes anywhere in Graph except the one connection it owns. It listens on nothing except an optional local health endpoint (§10) — there is no inbound webhook to secure.</w:t>
            </w:r>
          </w:p>
        </w:tc>
      </w:tr>
    </w:tbl>
    <w:p>
      <w:pPr>
        <w:spacing w:after="40"/>
      </w:pPr>
    </w:p>
    <w:p>
      <w:pPr>
        <w:pStyle w:val="Heading2"/>
      </w:pPr>
      <w:r>
        <w:rPr>
          <w:color w:val="2E5496"/>
        </w:rPr>
        <w:t>3.2 How it runs</w:t>
      </w:r>
    </w:p>
    <w:p>
      <w:pPr>
        <w:spacing w:after="120"/>
      </w:pPr>
      <w:r>
        <w:rPr>
          <w:color w:val="202020"/>
        </w:rPr>
        <w:t>The connector is a single command-line program that also installs as a Windows service. In production it runs continuously (</w:t>
      </w:r>
      <w:r>
        <w:rPr>
          <w:rFonts w:ascii="Consolas" w:hAnsi="Consolas"/>
          <w:color w:val="202020"/>
          <w:sz w:val="19"/>
        </w:rPr>
        <w:t>full-deployment --continuous</w:t>
      </w:r>
      <w:r>
        <w:rPr>
          <w:color w:val="202020"/>
        </w:rPr>
        <w:t xml:space="preserve">), performing a periodic </w:t>
      </w:r>
      <w:r>
        <w:rPr>
          <w:b/>
          <w:color w:val="202020"/>
        </w:rPr>
        <w:t>full crawl</w:t>
      </w:r>
      <w:r>
        <w:rPr>
          <w:color w:val="202020"/>
        </w:rPr>
        <w:t xml:space="preserve"> (default every 24 hours, re-reads everything) and more frequent </w:t>
      </w:r>
      <w:r>
        <w:rPr>
          <w:b/>
          <w:color w:val="202020"/>
        </w:rPr>
        <w:t>incremental crawls</w:t>
      </w:r>
      <w:r>
        <w:rPr>
          <w:color w:val="202020"/>
        </w:rPr>
        <w:t xml:space="preserve"> (default every 4 hours, only records changed since the last run). The shared mechanics of the crawl loop, checkpointing and continuous scheduling are described in the Common Guide §6; the Salesforce specifics are in §8 and §9 of this guide.</w:t>
      </w:r>
    </w:p>
    <w:p>
      <w:pPr>
        <w:spacing w:after="120"/>
      </w:pPr>
      <w:r>
        <w:rPr>
          <w:color w:val="202020"/>
        </w:rPr>
        <w:t>This is the largest and most heavily tested connector in the family (</w:t>
      </w:r>
      <w:r>
        <w:rPr>
          <w:b/>
          <w:color w:val="202020"/>
        </w:rPr>
        <w:t>1,206 automated tests</w:t>
      </w:r>
      <w:r>
        <w:rPr>
          <w:color w:val="202020"/>
        </w:rPr>
        <w:t>, all green as of 20 July 2026), and its defining feature is the Salesforce sharing-model to ACL engine covered next.</w:t>
      </w:r>
    </w:p>
    <w:p>
      <w:pPr>
        <w:pStyle w:val="Heading1"/>
      </w:pPr>
      <w:r>
        <w:rPr>
          <w:color w:val="1F3864"/>
        </w:rPr>
        <w:t>4. How the connector connects to Salesforce (the target system)</w:t>
      </w:r>
    </w:p>
    <w:p>
      <w:pPr>
        <w:spacing w:after="200"/>
      </w:pPr>
      <w:r>
        <w:rPr>
          <w:color w:val="595959"/>
          <w:sz w:val="23"/>
        </w:rPr>
        <w:t>This section describes exactly how the connector authenticates to and reads from Salesforce, what network paths it needs, and which values you must obtain from the Salesforce administrator.</w:t>
      </w:r>
    </w:p>
    <w:p>
      <w:pPr>
        <w:pStyle w:val="Heading2"/>
      </w:pPr>
      <w:r>
        <w:rPr>
          <w:color w:val="2E5496"/>
        </w:rPr>
        <w:t>4.1 The API it uses</w:t>
      </w:r>
    </w:p>
    <w:p>
      <w:pPr>
        <w:spacing w:after="120"/>
      </w:pPr>
      <w:r>
        <w:rPr>
          <w:color w:val="202020"/>
        </w:rPr>
        <w:t xml:space="preserve">The connector talks to the </w:t>
      </w:r>
      <w:r>
        <w:rPr>
          <w:b/>
          <w:color w:val="202020"/>
        </w:rPr>
        <w:t>Salesforce REST API</w:t>
      </w:r>
      <w:r>
        <w:rPr>
          <w:color w:val="202020"/>
        </w:rPr>
        <w:t xml:space="preserve"> over HTTPS. It runs read-only </w:t>
      </w:r>
      <w:r>
        <w:rPr>
          <w:b/>
          <w:color w:val="202020"/>
        </w:rPr>
        <w:t>SOQL</w:t>
      </w:r>
      <w:r>
        <w:rPr>
          <w:color w:val="202020"/>
        </w:rPr>
        <w:t xml:space="preserve"> (Salesforce Object Query Language) queries against the </w:t>
      </w:r>
      <w:r>
        <w:rPr>
          <w:rFonts w:ascii="Consolas" w:hAnsi="Consolas"/>
          <w:color w:val="202020"/>
          <w:sz w:val="19"/>
        </w:rPr>
        <w:t>/services/data/{version}/query</w:t>
      </w:r>
      <w:r>
        <w:rPr>
          <w:color w:val="202020"/>
        </w:rPr>
        <w:t xml:space="preserve"> endpoint, for example </w:t>
      </w:r>
      <w:r>
        <w:rPr>
          <w:rFonts w:ascii="Consolas" w:hAnsi="Consolas"/>
          <w:color w:val="202020"/>
          <w:sz w:val="19"/>
        </w:rPr>
        <w:t>SELECT Id, Name, ... FROM Account</w:t>
      </w:r>
      <w:r>
        <w:rPr>
          <w:color w:val="202020"/>
        </w:rPr>
        <w:t xml:space="preserve">. Large result sets are paged automatically at </w:t>
      </w:r>
      <w:r>
        <w:rPr>
          <w:b/>
          <w:color w:val="202020"/>
        </w:rPr>
        <w:t>2,000 records per page</w:t>
      </w:r>
      <w:r>
        <w:rPr>
          <w:color w:val="202020"/>
        </w:rPr>
        <w:t xml:space="preserve"> using the </w:t>
      </w:r>
      <w:r>
        <w:rPr>
          <w:rFonts w:ascii="Consolas" w:hAnsi="Consolas"/>
          <w:color w:val="202020"/>
          <w:sz w:val="19"/>
        </w:rPr>
        <w:t>nextRecordsUrl</w:t>
      </w:r>
      <w:r>
        <w:rPr>
          <w:color w:val="202020"/>
        </w:rPr>
        <w:t xml:space="preserve"> Salesforce returns; the connector keeps following pages until the object is exhausted. For the deletion safety-net it also uses the </w:t>
      </w:r>
      <w:r>
        <w:rPr>
          <w:rFonts w:ascii="Consolas" w:hAnsi="Consolas"/>
          <w:color w:val="202020"/>
          <w:sz w:val="19"/>
        </w:rPr>
        <w:t>/queryAll</w:t>
      </w:r>
      <w:r>
        <w:rPr>
          <w:color w:val="202020"/>
        </w:rPr>
        <w:t xml:space="preserve"> endpoint (which includes recently deleted records).</w:t>
      </w:r>
    </w:p>
    <w:p>
      <w:pPr>
        <w:spacing w:after="120"/>
      </w:pPr>
      <w:r>
        <w:rPr>
          <w:color w:val="202020"/>
        </w:rPr>
        <w:t xml:space="preserve">The set of fields requested per object comes from </w:t>
      </w:r>
      <w:r>
        <w:rPr>
          <w:rFonts w:ascii="Consolas" w:hAnsi="Consolas"/>
          <w:color w:val="202020"/>
          <w:sz w:val="19"/>
        </w:rPr>
        <w:t>config/schema.json</w:t>
      </w:r>
      <w:r>
        <w:rPr>
          <w:color w:val="202020"/>
        </w:rPr>
        <w:t xml:space="preserve">. If the org does not have a particular field, Salesforce returns an </w:t>
      </w:r>
      <w:r>
        <w:rPr>
          <w:rFonts w:ascii="Consolas" w:hAnsi="Consolas"/>
          <w:color w:val="202020"/>
          <w:sz w:val="19"/>
        </w:rPr>
        <w:t>INVALID_FIELD</w:t>
      </w:r>
      <w:r>
        <w:rPr>
          <w:color w:val="202020"/>
        </w:rPr>
        <w:t xml:space="preserve"> error; the connector automatically drops that one field and retries, then remembers the working field list in its local state store so later runs skip the retry. If a whole object type does not exist in the org (</w:t>
      </w:r>
      <w:r>
        <w:rPr>
          <w:rFonts w:ascii="Consolas" w:hAnsi="Consolas"/>
          <w:color w:val="202020"/>
          <w:sz w:val="19"/>
        </w:rPr>
        <w:t>INVALID_TYPE</w:t>
      </w:r>
      <w:r>
        <w:rPr>
          <w:color w:val="202020"/>
        </w:rPr>
        <w:t>), that object is skipped with a warning rather than failing the crawl.</w:t>
      </w:r>
    </w:p>
    <w:p>
      <w:pPr>
        <w:pStyle w:val="Heading2"/>
      </w:pPr>
      <w:r>
        <w:rPr>
          <w:color w:val="2E5496"/>
        </w:rPr>
        <w:t>4.2 How it authenticates to Salesforce</w:t>
      </w:r>
    </w:p>
    <w:p>
      <w:pPr>
        <w:spacing w:after="120"/>
      </w:pPr>
      <w:r>
        <w:rPr>
          <w:color w:val="202020"/>
        </w:rPr>
        <w:t xml:space="preserve">Authentication uses the </w:t>
      </w:r>
      <w:r>
        <w:rPr>
          <w:b/>
          <w:color w:val="202020"/>
        </w:rPr>
        <w:t>OAuth 2.0 client-credentials flow</w:t>
      </w:r>
      <w:r>
        <w:rPr>
          <w:color w:val="202020"/>
        </w:rPr>
        <w:t xml:space="preserve"> against a Salesforce </w:t>
      </w:r>
      <w:r>
        <w:rPr>
          <w:b/>
          <w:color w:val="202020"/>
        </w:rPr>
        <w:t>Connected App</w:t>
      </w:r>
      <w:r>
        <w:rPr>
          <w:color w:val="202020"/>
        </w:rPr>
        <w:t xml:space="preserve">. The connector POSTs to </w:t>
      </w:r>
      <w:r>
        <w:rPr>
          <w:rFonts w:ascii="Consolas" w:hAnsi="Consolas"/>
          <w:color w:val="202020"/>
          <w:sz w:val="19"/>
        </w:rPr>
        <w:t>{instance}/services/oauth2/token</w:t>
      </w:r>
      <w:r>
        <w:rPr>
          <w:color w:val="202020"/>
        </w:rPr>
        <w:t xml:space="preserve"> with </w:t>
      </w:r>
      <w:r>
        <w:rPr>
          <w:rFonts w:ascii="Consolas" w:hAnsi="Consolas"/>
          <w:color w:val="202020"/>
          <w:sz w:val="19"/>
        </w:rPr>
        <w:t>grant_type=client_credentials</w:t>
      </w:r>
      <w:r>
        <w:rPr>
          <w:color w:val="202020"/>
        </w:rPr>
        <w:t xml:space="preserve">, the Connected App's </w:t>
      </w:r>
      <w:r>
        <w:rPr>
          <w:b/>
          <w:color w:val="202020"/>
        </w:rPr>
        <w:t>consumer key</w:t>
      </w:r>
      <w:r>
        <w:rPr>
          <w:color w:val="202020"/>
        </w:rPr>
        <w:t xml:space="preserve"> (</w:t>
      </w:r>
      <w:r>
        <w:rPr>
          <w:rFonts w:ascii="Consolas" w:hAnsi="Consolas"/>
          <w:color w:val="202020"/>
          <w:sz w:val="19"/>
        </w:rPr>
        <w:t>SALESFORCE_CLIENT_ID</w:t>
      </w:r>
      <w:r>
        <w:rPr>
          <w:color w:val="202020"/>
        </w:rPr>
        <w:t xml:space="preserve">) and </w:t>
      </w:r>
      <w:r>
        <w:rPr>
          <w:b/>
          <w:color w:val="202020"/>
        </w:rPr>
        <w:t>consumer secret</w:t>
      </w:r>
      <w:r>
        <w:rPr>
          <w:color w:val="202020"/>
        </w:rPr>
        <w:t xml:space="preserve"> (</w:t>
      </w:r>
      <w:r>
        <w:rPr>
          <w:rFonts w:ascii="Consolas" w:hAnsi="Consolas"/>
          <w:color w:val="202020"/>
          <w:sz w:val="19"/>
        </w:rPr>
        <w:t>SECRET_SALESFORCE_CLIENT_SECRET</w:t>
      </w:r>
      <w:r>
        <w:rPr>
          <w:color w:val="202020"/>
        </w:rPr>
        <w:t>), and receives a short-lived access token used as a Bearer token on every query. There is no interactive login and no user password anywhere.</w:t>
      </w:r>
    </w:p>
    <w:p>
      <w:pPr>
        <w:pStyle w:val="ListBullet"/>
        <w:spacing w:after="40"/>
      </w:pPr>
      <w:r>
        <w:rPr>
          <w:color w:val="202020"/>
        </w:rPr>
        <w:t xml:space="preserve">The client-credentials flow runs as a specific </w:t>
      </w:r>
      <w:r>
        <w:rPr>
          <w:b/>
          <w:color w:val="202020"/>
        </w:rPr>
        <w:t>integration user</w:t>
      </w:r>
      <w:r>
        <w:rPr>
          <w:color w:val="202020"/>
        </w:rPr>
        <w:t xml:space="preserve"> (the "run-as" user configured on the Connected App). Everything the connector can read is exactly what that user can read — so this user should be a dedicated, </w:t>
      </w:r>
      <w:r>
        <w:rPr>
          <w:b/>
          <w:color w:val="202020"/>
        </w:rPr>
        <w:t>read-only</w:t>
      </w:r>
      <w:r>
        <w:rPr>
          <w:color w:val="202020"/>
        </w:rPr>
        <w:t xml:space="preserve"> integration account scoped to the objects and fields you intend to index.</w:t>
      </w:r>
    </w:p>
    <w:p>
      <w:pPr>
        <w:pStyle w:val="ListBullet"/>
        <w:spacing w:after="40"/>
      </w:pPr>
      <w:r>
        <w:rPr>
          <w:color w:val="202020"/>
        </w:rPr>
        <w:t xml:space="preserve">If the token expires mid-crawl, a </w:t>
      </w:r>
      <w:r>
        <w:rPr>
          <w:rFonts w:ascii="Consolas" w:hAnsi="Consolas"/>
          <w:color w:val="202020"/>
          <w:sz w:val="19"/>
        </w:rPr>
        <w:t>401</w:t>
      </w:r>
      <w:r>
        <w:rPr>
          <w:color w:val="202020"/>
        </w:rPr>
        <w:t xml:space="preserve"> triggers a single automatic token refresh and the query is retried.</w:t>
      </w:r>
    </w:p>
    <w:p>
      <w:pPr>
        <w:pStyle w:val="ListBullet"/>
        <w:spacing w:after="40"/>
      </w:pPr>
      <w:r>
        <w:rPr>
          <w:color w:val="202020"/>
        </w:rPr>
        <w:t>On transient Salesforce gateway errors (</w:t>
      </w:r>
      <w:r>
        <w:rPr>
          <w:rFonts w:ascii="Consolas" w:hAnsi="Consolas"/>
          <w:color w:val="202020"/>
          <w:sz w:val="19"/>
        </w:rPr>
        <w:t>502</w:t>
      </w:r>
      <w:r>
        <w:rPr>
          <w:color w:val="202020"/>
        </w:rPr>
        <w:t xml:space="preserve">, </w:t>
      </w:r>
      <w:r>
        <w:rPr>
          <w:rFonts w:ascii="Consolas" w:hAnsi="Consolas"/>
          <w:color w:val="202020"/>
          <w:sz w:val="19"/>
        </w:rPr>
        <w:t>503</w:t>
      </w:r>
      <w:r>
        <w:rPr>
          <w:color w:val="202020"/>
        </w:rPr>
        <w:t xml:space="preserve">, </w:t>
      </w:r>
      <w:r>
        <w:rPr>
          <w:rFonts w:ascii="Consolas" w:hAnsi="Consolas"/>
          <w:color w:val="202020"/>
          <w:sz w:val="19"/>
        </w:rPr>
        <w:t>504</w:t>
      </w:r>
      <w:r>
        <w:rPr>
          <w:color w:val="202020"/>
        </w:rPr>
        <w:t>) the connector retries up to 3 times with a short exponential back-off before failing that object.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The consumer secret is a credential. It belongs only in </w:t>
            </w:r>
            <w:r>
              <w:rPr>
                <w:rFonts w:ascii="Consolas" w:hAnsi="Consolas"/>
                <w:color w:val="202020"/>
                <w:sz w:val="19"/>
              </w:rPr>
              <w:t>env/.env.local.user</w:t>
            </w:r>
            <w:r>
              <w:rPr>
                <w:color w:val="202020"/>
                <w:sz w:val="20"/>
              </w:rPr>
              <w:t xml:space="preserve"> (never in </w:t>
            </w:r>
            <w:r>
              <w:rPr>
                <w:rFonts w:ascii="Consolas" w:hAnsi="Consolas"/>
                <w:color w:val="202020"/>
                <w:sz w:val="19"/>
              </w:rPr>
              <w:t>.env.local</w:t>
            </w:r>
            <w:r>
              <w:rPr>
                <w:color w:val="202020"/>
                <w:sz w:val="20"/>
              </w:rPr>
              <w:t xml:space="preserve">, never committed) or in Azure Key Vault when </w:t>
            </w:r>
            <w:r>
              <w:rPr>
                <w:rFonts w:ascii="Consolas" w:hAnsi="Consolas"/>
                <w:color w:val="202020"/>
                <w:sz w:val="19"/>
              </w:rPr>
              <w:t>USE_KEY_VAULT=true</w:t>
            </w:r>
            <w:r>
              <w:rPr>
                <w:color w:val="202020"/>
                <w:sz w:val="20"/>
              </w:rPr>
              <w:t>. It is never written to logs. See the Common Guide §5 for the shared secret-handling model.</w:t>
            </w:r>
          </w:p>
        </w:tc>
      </w:tr>
    </w:tbl>
    <w:p>
      <w:pPr>
        <w:spacing w:after="40"/>
      </w:pPr>
    </w:p>
    <w:p>
      <w:pPr>
        <w:pStyle w:val="Heading2"/>
      </w:pPr>
      <w:r>
        <w:rPr>
          <w:color w:val="2E5496"/>
        </w:rPr>
        <w:t>4.3 Connection parameters</w:t>
      </w:r>
    </w:p>
    <w:p>
      <w:pPr>
        <w:spacing w:after="120"/>
      </w:pPr>
      <w:r>
        <w:rPr>
          <w:color w:val="202020"/>
        </w:rPr>
        <w:t>These are the Salesforce-side settings the connector reads (full list in §12):</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100"/>
        <w:gridCol w:w="3860"/>
        <w:gridCol w:w="2400"/>
      </w:tblGrid>
      <w:tr>
        <w:tc>
          <w:tcPr>
            <w:tcW w:type="dxa" w:w="3100"/>
            <w:shd w:val="clear" w:color="auto" w:fill="2E5496"/>
          </w:tcPr>
          <w:p>
            <w:r>
              <w:rPr>
                <w:b/>
                <w:color w:val="FFFFFF"/>
                <w:sz w:val="19"/>
              </w:rPr>
              <w:t>Setting (env var)</w:t>
            </w:r>
          </w:p>
        </w:tc>
        <w:tc>
          <w:tcPr>
            <w:tcW w:type="dxa" w:w="3860"/>
            <w:shd w:val="clear" w:color="auto" w:fill="2E5496"/>
          </w:tcPr>
          <w:p>
            <w:r>
              <w:rPr>
                <w:b/>
                <w:color w:val="FFFFFF"/>
                <w:sz w:val="19"/>
              </w:rPr>
              <w:t>What it is</w:t>
            </w:r>
          </w:p>
        </w:tc>
        <w:tc>
          <w:tcPr>
            <w:tcW w:type="dxa" w:w="2400"/>
            <w:shd w:val="clear" w:color="auto" w:fill="2E5496"/>
          </w:tcPr>
          <w:p>
            <w:r>
              <w:rPr>
                <w:b/>
                <w:color w:val="FFFFFF"/>
                <w:sz w:val="19"/>
              </w:rPr>
              <w:t>Example / default</w:t>
            </w:r>
          </w:p>
        </w:tc>
      </w:tr>
      <w:tr>
        <w:tc>
          <w:tcPr>
            <w:tcW w:type="dxa" w:w="3100"/>
          </w:tcPr>
          <w:p>
            <w:r>
              <w:rPr>
                <w:color w:val="202020"/>
                <w:sz w:val="19"/>
              </w:rPr>
              <w:t>SALESFORCE_INSTANCE_URL</w:t>
            </w:r>
          </w:p>
        </w:tc>
        <w:tc>
          <w:tcPr>
            <w:tcW w:type="dxa" w:w="3860"/>
          </w:tcPr>
          <w:p>
            <w:r>
              <w:rPr>
                <w:color w:val="202020"/>
                <w:sz w:val="19"/>
              </w:rPr>
              <w:t>Your org's base URL (My Domain). Trailing slash OK.</w:t>
            </w:r>
          </w:p>
        </w:tc>
        <w:tc>
          <w:tcPr>
            <w:tcW w:type="dxa" w:w="2400"/>
          </w:tcPr>
          <w:p>
            <w:r>
              <w:rPr>
                <w:color w:val="202020"/>
                <w:sz w:val="19"/>
              </w:rPr>
              <w:t>https://your-org.my.salesforce.com/</w:t>
            </w:r>
          </w:p>
        </w:tc>
      </w:tr>
      <w:tr>
        <w:tc>
          <w:tcPr>
            <w:tcW w:type="dxa" w:w="3100"/>
            <w:shd w:val="clear" w:color="auto" w:fill="F7F9FC"/>
          </w:tcPr>
          <w:p>
            <w:r>
              <w:rPr>
                <w:color w:val="202020"/>
                <w:sz w:val="19"/>
              </w:rPr>
              <w:t>SALESFORCE_API_VERSION</w:t>
            </w:r>
          </w:p>
        </w:tc>
        <w:tc>
          <w:tcPr>
            <w:tcW w:type="dxa" w:w="3860"/>
            <w:shd w:val="clear" w:color="auto" w:fill="F7F9FC"/>
          </w:tcPr>
          <w:p>
            <w:r>
              <w:rPr>
                <w:color w:val="202020"/>
                <w:sz w:val="19"/>
              </w:rPr>
              <w:t>REST API version to target.</w:t>
            </w:r>
          </w:p>
        </w:tc>
        <w:tc>
          <w:tcPr>
            <w:tcW w:type="dxa" w:w="2400"/>
            <w:shd w:val="clear" w:color="auto" w:fill="F7F9FC"/>
          </w:tcPr>
          <w:p>
            <w:r>
              <w:rPr>
                <w:color w:val="202020"/>
                <w:sz w:val="19"/>
              </w:rPr>
              <w:t>v60.0</w:t>
            </w:r>
          </w:p>
        </w:tc>
      </w:tr>
      <w:tr>
        <w:tc>
          <w:tcPr>
            <w:tcW w:type="dxa" w:w="3100"/>
          </w:tcPr>
          <w:p>
            <w:r>
              <w:rPr>
                <w:color w:val="202020"/>
                <w:sz w:val="19"/>
              </w:rPr>
              <w:t>SALESFORCE_CLIENT_ID</w:t>
            </w:r>
          </w:p>
        </w:tc>
        <w:tc>
          <w:tcPr>
            <w:tcW w:type="dxa" w:w="3860"/>
          </w:tcPr>
          <w:p>
            <w:r>
              <w:rPr>
                <w:color w:val="202020"/>
                <w:sz w:val="19"/>
              </w:rPr>
              <w:t>Connected App consumer key.</w:t>
            </w:r>
          </w:p>
        </w:tc>
        <w:tc>
          <w:tcPr>
            <w:tcW w:type="dxa" w:w="2400"/>
          </w:tcPr>
          <w:p>
            <w:r>
              <w:rPr>
                <w:color w:val="202020"/>
                <w:sz w:val="19"/>
              </w:rPr>
              <w:t>(from SF admin)</w:t>
            </w:r>
          </w:p>
        </w:tc>
      </w:tr>
      <w:tr>
        <w:tc>
          <w:tcPr>
            <w:tcW w:type="dxa" w:w="3100"/>
            <w:shd w:val="clear" w:color="auto" w:fill="F7F9FC"/>
          </w:tcPr>
          <w:p>
            <w:r>
              <w:rPr>
                <w:color w:val="202020"/>
                <w:sz w:val="19"/>
              </w:rPr>
              <w:t>SECRET_SALESFORCE_CLIENT_SECRET</w:t>
            </w:r>
          </w:p>
        </w:tc>
        <w:tc>
          <w:tcPr>
            <w:tcW w:type="dxa" w:w="3860"/>
            <w:shd w:val="clear" w:color="auto" w:fill="F7F9FC"/>
          </w:tcPr>
          <w:p>
            <w:r>
              <w:rPr>
                <w:color w:val="202020"/>
                <w:sz w:val="19"/>
              </w:rPr>
              <w:t>Connected App consumer secret (secret file / Key Vault).</w:t>
            </w:r>
          </w:p>
        </w:tc>
        <w:tc>
          <w:tcPr>
            <w:tcW w:type="dxa" w:w="2400"/>
            <w:shd w:val="clear" w:color="auto" w:fill="F7F9FC"/>
          </w:tcPr>
          <w:p>
            <w:r>
              <w:rPr>
                <w:color w:val="202020"/>
                <w:sz w:val="19"/>
              </w:rPr>
              <w:t>(secret)</w:t>
            </w:r>
          </w:p>
        </w:tc>
      </w:tr>
      <w:tr>
        <w:tc>
          <w:tcPr>
            <w:tcW w:type="dxa" w:w="3100"/>
          </w:tcPr>
          <w:p>
            <w:r>
              <w:rPr>
                <w:color w:val="202020"/>
                <w:sz w:val="19"/>
              </w:rPr>
              <w:t>SALESFORCE_QUERY_LIMIT</w:t>
            </w:r>
          </w:p>
        </w:tc>
        <w:tc>
          <w:tcPr>
            <w:tcW w:type="dxa" w:w="3860"/>
          </w:tcPr>
          <w:p>
            <w:r>
              <w:rPr>
                <w:color w:val="202020"/>
                <w:sz w:val="19"/>
              </w:rPr>
              <w:t>SOQL LIMIT; 0 = full pagination (production).</w:t>
            </w:r>
          </w:p>
        </w:tc>
        <w:tc>
          <w:tcPr>
            <w:tcW w:type="dxa" w:w="2400"/>
          </w:tcPr>
          <w:p>
            <w:r>
              <w:rPr>
                <w:color w:val="202020"/>
                <w:sz w:val="19"/>
              </w:rPr>
              <w:t>0</w:t>
            </w:r>
          </w:p>
        </w:tc>
      </w:tr>
      <w:tr>
        <w:tc>
          <w:tcPr>
            <w:tcW w:type="dxa" w:w="3100"/>
            <w:shd w:val="clear" w:color="auto" w:fill="F7F9FC"/>
          </w:tcPr>
          <w:p>
            <w:r>
              <w:rPr>
                <w:color w:val="202020"/>
                <w:sz w:val="19"/>
              </w:rPr>
              <w:t>SALESFORCE_BATCH_SIZE</w:t>
            </w:r>
          </w:p>
        </w:tc>
        <w:tc>
          <w:tcPr>
            <w:tcW w:type="dxa" w:w="3860"/>
            <w:shd w:val="clear" w:color="auto" w:fill="F7F9FC"/>
          </w:tcPr>
          <w:p>
            <w:r>
              <w:rPr>
                <w:color w:val="202020"/>
                <w:sz w:val="19"/>
              </w:rPr>
              <w:t>Max record Ids per SOQL IN clause during ACL resolution.</w:t>
            </w:r>
          </w:p>
        </w:tc>
        <w:tc>
          <w:tcPr>
            <w:tcW w:type="dxa" w:w="2400"/>
            <w:shd w:val="clear" w:color="auto" w:fill="F7F9FC"/>
          </w:tcPr>
          <w:p>
            <w:r>
              <w:rPr>
                <w:color w:val="202020"/>
                <w:sz w:val="19"/>
              </w:rPr>
              <w:t>100</w:t>
            </w:r>
          </w:p>
        </w:tc>
      </w:tr>
    </w:tbl>
    <w:p>
      <w:pPr>
        <w:spacing w:after="40"/>
      </w:pPr>
    </w:p>
    <w:p>
      <w:pPr>
        <w:pStyle w:val="Heading2"/>
      </w:pPr>
      <w:r>
        <w:rPr>
          <w:color w:val="2E5496"/>
        </w:rPr>
        <w:t>4.4 Network egress / firewall</w:t>
      </w:r>
    </w:p>
    <w:p>
      <w:pPr>
        <w:spacing w:after="120"/>
      </w:pPr>
      <w:r>
        <w:rPr>
          <w:color w:val="202020"/>
        </w:rPr>
        <w:t xml:space="preserve">The connector makes only </w:t>
      </w:r>
      <w:r>
        <w:rPr>
          <w:b/>
          <w:color w:val="202020"/>
        </w:rPr>
        <w:t>outbound HTTPS (TCP 443)</w:t>
      </w:r>
      <w:r>
        <w:rPr>
          <w:color w:val="202020"/>
        </w:rPr>
        <w:t xml:space="preserve"> connections. The network/firewall team must allow the connector host to reach:</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5560"/>
        <w:gridCol w:w="3800"/>
      </w:tblGrid>
      <w:tr>
        <w:tc>
          <w:tcPr>
            <w:tcW w:type="dxa" w:w="5560"/>
            <w:shd w:val="clear" w:color="auto" w:fill="2E5496"/>
          </w:tcPr>
          <w:p>
            <w:r>
              <w:rPr>
                <w:b/>
                <w:color w:val="FFFFFF"/>
                <w:sz w:val="19"/>
              </w:rPr>
              <w:t>Destination</w:t>
            </w:r>
          </w:p>
        </w:tc>
        <w:tc>
          <w:tcPr>
            <w:tcW w:type="dxa" w:w="3800"/>
            <w:shd w:val="clear" w:color="auto" w:fill="2E5496"/>
          </w:tcPr>
          <w:p>
            <w:r>
              <w:rPr>
                <w:b/>
                <w:color w:val="FFFFFF"/>
                <w:sz w:val="19"/>
              </w:rPr>
              <w:t>Why</w:t>
            </w:r>
          </w:p>
        </w:tc>
      </w:tr>
      <w:tr>
        <w:tc>
          <w:tcPr>
            <w:tcW w:type="dxa" w:w="5560"/>
          </w:tcPr>
          <w:p>
            <w:r>
              <w:rPr>
                <w:color w:val="202020"/>
                <w:sz w:val="19"/>
              </w:rPr>
              <w:t>Your SALESFORCE_INSTANCE_URL host (e.g. your-org.my.salesforce.com)</w:t>
            </w:r>
          </w:p>
        </w:tc>
        <w:tc>
          <w:tcPr>
            <w:tcW w:type="dxa" w:w="3800"/>
          </w:tcPr>
          <w:p>
            <w:r>
              <w:rPr>
                <w:color w:val="202020"/>
                <w:sz w:val="19"/>
              </w:rPr>
              <w:t>SOQL queries and record fetch.</w:t>
            </w:r>
          </w:p>
        </w:tc>
      </w:tr>
      <w:tr>
        <w:tc>
          <w:tcPr>
            <w:tcW w:type="dxa" w:w="5560"/>
            <w:shd w:val="clear" w:color="auto" w:fill="F7F9FC"/>
          </w:tcPr>
          <w:p>
            <w:r>
              <w:rPr>
                <w:color w:val="202020"/>
                <w:sz w:val="19"/>
              </w:rPr>
              <w:t>login.salesforce.com</w:t>
            </w:r>
          </w:p>
        </w:tc>
        <w:tc>
          <w:tcPr>
            <w:tcW w:type="dxa" w:w="3800"/>
            <w:shd w:val="clear" w:color="auto" w:fill="F7F9FC"/>
          </w:tcPr>
          <w:p>
            <w:r>
              <w:rPr>
                <w:color w:val="202020"/>
                <w:sz w:val="19"/>
              </w:rPr>
              <w:t>Salesforce OAuth token endpoint / login.</w:t>
            </w:r>
          </w:p>
        </w:tc>
      </w:tr>
      <w:tr>
        <w:tc>
          <w:tcPr>
            <w:tcW w:type="dxa" w:w="5560"/>
          </w:tcPr>
          <w:p>
            <w:r>
              <w:rPr>
                <w:color w:val="202020"/>
                <w:sz w:val="19"/>
              </w:rPr>
              <w:t>graph.microsoft.com (or the sovereign-cloud host — see §5.6)</w:t>
            </w:r>
          </w:p>
        </w:tc>
        <w:tc>
          <w:tcPr>
            <w:tcW w:type="dxa" w:w="3800"/>
          </w:tcPr>
          <w:p>
            <w:r>
              <w:rPr>
                <w:color w:val="202020"/>
                <w:sz w:val="19"/>
              </w:rPr>
              <w:t>Writing external items to Microsoft Graph.</w:t>
            </w:r>
          </w:p>
        </w:tc>
      </w:tr>
      <w:tr>
        <w:tc>
          <w:tcPr>
            <w:tcW w:type="dxa" w:w="5560"/>
            <w:shd w:val="clear" w:color="auto" w:fill="F7F9FC"/>
          </w:tcPr>
          <w:p>
            <w:r>
              <w:rPr>
                <w:color w:val="202020"/>
                <w:sz w:val="19"/>
              </w:rPr>
              <w:t>login.microsoftonline.com</w:t>
            </w:r>
          </w:p>
        </w:tc>
        <w:tc>
          <w:tcPr>
            <w:tcW w:type="dxa" w:w="3800"/>
            <w:shd w:val="clear" w:color="auto" w:fill="F7F9FC"/>
          </w:tcPr>
          <w:p>
            <w:r>
              <w:rPr>
                <w:color w:val="202020"/>
                <w:sz w:val="19"/>
              </w:rPr>
              <w:t>Microsoft Entra token endpoint for Graph auth.</w:t>
            </w:r>
          </w:p>
        </w:tc>
      </w:tr>
      <w:tr>
        <w:tc>
          <w:tcPr>
            <w:tcW w:type="dxa" w:w="5560"/>
          </w:tcPr>
          <w:p>
            <w:r>
              <w:rPr>
                <w:color w:val="202020"/>
                <w:sz w:val="19"/>
              </w:rPr>
              <w:t>*.vault.azure.net</w:t>
            </w:r>
          </w:p>
        </w:tc>
        <w:tc>
          <w:tcPr>
            <w:tcW w:type="dxa" w:w="3800"/>
          </w:tcPr>
          <w:p>
            <w:r>
              <w:rPr>
                <w:color w:val="202020"/>
                <w:sz w:val="19"/>
              </w:rPr>
              <w:t>Only if USE_KEY_VAULT=true (secret resolution).</w:t>
            </w:r>
          </w:p>
        </w:tc>
      </w:tr>
    </w:tbl>
    <w:p>
      <w:pPr>
        <w:spacing w:after="40"/>
      </w:pPr>
    </w:p>
    <w:p>
      <w:pPr>
        <w:spacing w:after="120"/>
      </w:pPr>
      <w:r>
        <w:rPr>
          <w:color w:val="202020"/>
        </w:rPr>
        <w:t xml:space="preserve">If outbound traffic must go through a proxy, set </w:t>
      </w:r>
      <w:r>
        <w:rPr>
          <w:rFonts w:ascii="Consolas" w:hAnsi="Consolas"/>
          <w:color w:val="202020"/>
          <w:sz w:val="19"/>
        </w:rPr>
        <w:t>PROXY_URL</w:t>
      </w:r>
      <w:r>
        <w:rPr>
          <w:color w:val="202020"/>
        </w:rPr>
        <w:t xml:space="preserve"> (and </w:t>
      </w:r>
      <w:r>
        <w:rPr>
          <w:rFonts w:ascii="Consolas" w:hAnsi="Consolas"/>
          <w:color w:val="202020"/>
          <w:sz w:val="19"/>
        </w:rPr>
        <w:t>PROXY_BYPASS</w:t>
      </w:r>
      <w:r>
        <w:rPr>
          <w:color w:val="202020"/>
        </w:rPr>
        <w:t xml:space="preserve"> for internal exceptions). If a TLS-inspection appliance re-signs traffic, point </w:t>
      </w:r>
      <w:r>
        <w:rPr>
          <w:rFonts w:ascii="Consolas" w:hAnsi="Consolas"/>
          <w:color w:val="202020"/>
          <w:sz w:val="19"/>
        </w:rPr>
        <w:t>CA_BUNDLE_PATH</w:t>
      </w:r>
      <w:r>
        <w:rPr>
          <w:color w:val="202020"/>
        </w:rPr>
        <w:t xml:space="preserve"> at its root-CA PEM bundle — trust is additive and certificate validation is never disabled. Both are covered in §12 and the Common Guide.</w:t>
      </w:r>
    </w:p>
    <w:p>
      <w:pPr>
        <w:pStyle w:val="Heading2"/>
      </w:pPr>
      <w:r>
        <w:rPr>
          <w:color w:val="2E5496"/>
        </w:rPr>
        <w:t>4.5 Salesforce API limits to respect</w:t>
      </w:r>
    </w:p>
    <w:p>
      <w:pPr>
        <w:spacing w:after="120"/>
      </w:pPr>
      <w:r>
        <w:rPr>
          <w:color w:val="202020"/>
        </w:rPr>
        <w:t xml:space="preserve">The connector shares your org's </w:t>
      </w:r>
      <w:r>
        <w:rPr>
          <w:b/>
          <w:color w:val="202020"/>
        </w:rPr>
        <w:t>daily API request allocation</w:t>
      </w:r>
      <w:r>
        <w:rPr>
          <w:color w:val="202020"/>
        </w:rPr>
        <w:t xml:space="preserve"> with every other integration. A full crawl of a large org, plus the identity/sharing queries in §6, can make many thousands of SOQL calls. Keep </w:t>
      </w:r>
      <w:r>
        <w:rPr>
          <w:rFonts w:ascii="Consolas" w:hAnsi="Consolas"/>
          <w:color w:val="202020"/>
          <w:sz w:val="19"/>
        </w:rPr>
        <w:t>SALESFORCE_QUERY_LIMIT=0</w:t>
      </w:r>
      <w:r>
        <w:rPr>
          <w:color w:val="202020"/>
        </w:rPr>
        <w:t xml:space="preserve"> (full pagination) in production; the small </w:t>
      </w:r>
      <w:r>
        <w:rPr>
          <w:rFonts w:ascii="Consolas" w:hAnsi="Consolas"/>
          <w:color w:val="202020"/>
          <w:sz w:val="19"/>
        </w:rPr>
        <w:t>LIMIT</w:t>
      </w:r>
      <w:r>
        <w:rPr>
          <w:color w:val="202020"/>
        </w:rPr>
        <w:t xml:space="preserve"> is for debugging only. If the org is close to its API limit, coordinate crawl timing with the Salesforce administrator and prefer incremental crawls over frequent full crawls.</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Ask the </w:t>
            </w:r>
            <w:r>
              <w:rPr>
                <w:b/>
                <w:color w:val="202020"/>
                <w:sz w:val="20"/>
              </w:rPr>
              <w:t>Salesforce administrator</w:t>
            </w:r>
            <w:r>
              <w:rPr>
                <w:color w:val="202020"/>
                <w:sz w:val="20"/>
              </w:rPr>
              <w:t xml:space="preserve"> for, and record for your change ticket: </w:t>
            </w:r>
            <w:r>
              <w:rPr>
                <w:b/>
                <w:color w:val="202020"/>
                <w:sz w:val="20"/>
              </w:rPr>
              <w:t>(1)</w:t>
            </w:r>
            <w:r>
              <w:rPr>
                <w:color w:val="202020"/>
                <w:sz w:val="20"/>
              </w:rPr>
              <w:t xml:space="preserve"> the org </w:t>
            </w:r>
            <w:r>
              <w:rPr>
                <w:b/>
                <w:color w:val="202020"/>
                <w:sz w:val="20"/>
              </w:rPr>
              <w:t>instance URL</w:t>
            </w:r>
            <w:r>
              <w:rPr>
                <w:color w:val="202020"/>
                <w:sz w:val="20"/>
              </w:rPr>
              <w:t xml:space="preserve"> (My Domain); </w:t>
            </w:r>
            <w:r>
              <w:rPr>
                <w:b/>
                <w:color w:val="202020"/>
                <w:sz w:val="20"/>
              </w:rPr>
              <w:t>(2)</w:t>
            </w:r>
            <w:r>
              <w:rPr>
                <w:color w:val="202020"/>
                <w:sz w:val="20"/>
              </w:rPr>
              <w:t xml:space="preserve"> a </w:t>
            </w:r>
            <w:r>
              <w:rPr>
                <w:b/>
                <w:color w:val="202020"/>
                <w:sz w:val="20"/>
              </w:rPr>
              <w:t>Connected App</w:t>
            </w:r>
            <w:r>
              <w:rPr>
                <w:color w:val="202020"/>
                <w:sz w:val="20"/>
              </w:rPr>
              <w:t xml:space="preserve"> with the OAuth </w:t>
            </w:r>
            <w:r>
              <w:rPr>
                <w:b/>
                <w:color w:val="202020"/>
                <w:sz w:val="20"/>
              </w:rPr>
              <w:t>client-credentials flow enabled</w:t>
            </w:r>
            <w:r>
              <w:rPr>
                <w:color w:val="202020"/>
                <w:sz w:val="20"/>
              </w:rPr>
              <w:t xml:space="preserve"> and its </w:t>
            </w:r>
            <w:r>
              <w:rPr>
                <w:b/>
                <w:color w:val="202020"/>
                <w:sz w:val="20"/>
              </w:rPr>
              <w:t>consumer key</w:t>
            </w:r>
            <w:r>
              <w:rPr>
                <w:color w:val="202020"/>
                <w:sz w:val="20"/>
              </w:rPr>
              <w:t xml:space="preserve"> + </w:t>
            </w:r>
            <w:r>
              <w:rPr>
                <w:b/>
                <w:color w:val="202020"/>
                <w:sz w:val="20"/>
              </w:rPr>
              <w:t>consumer secret</w:t>
            </w:r>
            <w:r>
              <w:rPr>
                <w:color w:val="202020"/>
                <w:sz w:val="20"/>
              </w:rPr>
              <w:t xml:space="preserve">; </w:t>
            </w:r>
            <w:r>
              <w:rPr>
                <w:b/>
                <w:color w:val="202020"/>
                <w:sz w:val="20"/>
              </w:rPr>
              <w:t>(3)</w:t>
            </w:r>
            <w:r>
              <w:rPr>
                <w:color w:val="202020"/>
                <w:sz w:val="20"/>
              </w:rPr>
              <w:t xml:space="preserve"> the dedicated </w:t>
            </w:r>
            <w:r>
              <w:rPr>
                <w:b/>
                <w:color w:val="202020"/>
                <w:sz w:val="20"/>
              </w:rPr>
              <w:t>API-enabled, read-only integration user</w:t>
            </w:r>
            <w:r>
              <w:rPr>
                <w:color w:val="202020"/>
                <w:sz w:val="20"/>
              </w:rPr>
              <w:t xml:space="preserve"> the Connected App runs as, with read access to every object/field you intend to index; </w:t>
            </w:r>
            <w:r>
              <w:rPr>
                <w:b/>
                <w:color w:val="202020"/>
                <w:sz w:val="20"/>
              </w:rPr>
              <w:t>(4)</w:t>
            </w:r>
            <w:r>
              <w:rPr>
                <w:color w:val="202020"/>
                <w:sz w:val="20"/>
              </w:rPr>
              <w:t xml:space="preserve"> the </w:t>
            </w:r>
            <w:r>
              <w:rPr>
                <w:b/>
                <w:color w:val="202020"/>
                <w:sz w:val="20"/>
              </w:rPr>
              <w:t>API version</w:t>
            </w:r>
            <w:r>
              <w:rPr>
                <w:color w:val="202020"/>
                <w:sz w:val="20"/>
              </w:rPr>
              <w:t xml:space="preserve"> to target; </w:t>
            </w:r>
            <w:r>
              <w:rPr>
                <w:b/>
                <w:color w:val="202020"/>
                <w:sz w:val="20"/>
              </w:rPr>
              <w:t>(5)</w:t>
            </w:r>
            <w:r>
              <w:rPr>
                <w:color w:val="202020"/>
                <w:sz w:val="20"/>
              </w:rPr>
              <w:t xml:space="preserve"> the confirmed </w:t>
            </w:r>
            <w:r>
              <w:rPr>
                <w:b/>
                <w:color w:val="202020"/>
                <w:sz w:val="20"/>
              </w:rPr>
              <w:t>list of objects and fields</w:t>
            </w:r>
            <w:r>
              <w:rPr>
                <w:color w:val="202020"/>
                <w:sz w:val="20"/>
              </w:rPr>
              <w:t xml:space="preserve"> in scope (and whether any custom objects/fields are included); </w:t>
            </w:r>
            <w:r>
              <w:rPr>
                <w:b/>
                <w:color w:val="202020"/>
                <w:sz w:val="20"/>
              </w:rPr>
              <w:t>(6)</w:t>
            </w:r>
            <w:r>
              <w:rPr>
                <w:color w:val="202020"/>
                <w:sz w:val="20"/>
              </w:rPr>
              <w:t xml:space="preserve"> confirmation of the org's remaining </w:t>
            </w:r>
            <w:r>
              <w:rPr>
                <w:b/>
                <w:color w:val="202020"/>
                <w:sz w:val="20"/>
              </w:rPr>
              <w:t>daily API request</w:t>
            </w:r>
            <w:r>
              <w:rPr>
                <w:color w:val="202020"/>
                <w:sz w:val="20"/>
              </w:rPr>
              <w:t xml:space="preserve"> headroom.</w:t>
            </w:r>
          </w:p>
        </w:tc>
      </w:tr>
    </w:tbl>
    <w:p>
      <w:pPr>
        <w:spacing w:after="40"/>
      </w:pPr>
    </w:p>
    <w:p>
      <w:pPr>
        <w:pStyle w:val="Heading1"/>
      </w:pPr>
      <w:r>
        <w:rPr>
          <w:color w:val="1F3864"/>
        </w:rPr>
        <w:t>5. How Salesforce data appears in the Copilot index</w:t>
      </w:r>
    </w:p>
    <w:p>
      <w:pPr>
        <w:pStyle w:val="Heading2"/>
      </w:pPr>
      <w:r>
        <w:rPr>
          <w:color w:val="2E5496"/>
        </w:rPr>
        <w:t>5.1 What becomes an external item</w:t>
      </w:r>
    </w:p>
    <w:p>
      <w:pPr>
        <w:spacing w:after="120"/>
      </w:pPr>
      <w:r>
        <w:rPr>
          <w:color w:val="202020"/>
        </w:rPr>
        <w:t xml:space="preserve">Each Salesforce record becomes one Microsoft Graph </w:t>
      </w:r>
      <w:r>
        <w:rPr>
          <w:b/>
          <w:color w:val="202020"/>
        </w:rPr>
        <w:t>external item</w:t>
      </w:r>
      <w:r>
        <w:rPr>
          <w:color w:val="202020"/>
        </w:rPr>
        <w:t xml:space="preserve">. The external item's id is the Salesforce </w:t>
      </w:r>
      <w:r>
        <w:rPr>
          <w:b/>
          <w:color w:val="202020"/>
        </w:rPr>
        <w:t>record Id</w:t>
      </w:r>
      <w:r>
        <w:rPr>
          <w:color w:val="202020"/>
        </w:rPr>
        <w:t xml:space="preserve"> (18-character), so items map one-to-one to records and updates/deletes always line up. Each item carries a </w:t>
      </w:r>
      <w:r>
        <w:rPr>
          <w:rFonts w:ascii="Consolas" w:hAnsi="Consolas"/>
          <w:color w:val="202020"/>
          <w:sz w:val="19"/>
        </w:rPr>
        <w:t>url</w:t>
      </w:r>
      <w:r>
        <w:rPr>
          <w:color w:val="202020"/>
        </w:rPr>
        <w:t xml:space="preserve"> deep-link back to the record in Salesforce, an object-type label, a set of typed </w:t>
      </w:r>
      <w:r>
        <w:rPr>
          <w:b/>
          <w:color w:val="202020"/>
        </w:rPr>
        <w:t>properties</w:t>
      </w:r>
      <w:r>
        <w:rPr>
          <w:color w:val="202020"/>
        </w:rPr>
        <w:t xml:space="preserve">, a searchable </w:t>
      </w:r>
      <w:r>
        <w:rPr>
          <w:b/>
          <w:color w:val="202020"/>
        </w:rPr>
        <w:t>content</w:t>
      </w:r>
      <w:r>
        <w:rPr>
          <w:color w:val="202020"/>
        </w:rPr>
        <w:t xml:space="preserve"> body, and an </w:t>
      </w:r>
      <w:r>
        <w:rPr>
          <w:b/>
          <w:color w:val="202020"/>
        </w:rPr>
        <w:t>ACL</w:t>
      </w:r>
      <w:r>
        <w:rPr>
          <w:color w:val="202020"/>
        </w:rPr>
        <w:t xml:space="preserve"> (§5.3).</w:t>
      </w:r>
    </w:p>
    <w:p>
      <w:pPr>
        <w:pStyle w:val="Heading2"/>
      </w:pPr>
      <w:r>
        <w:rPr>
          <w:color w:val="2E5496"/>
        </w:rPr>
        <w:t>5.2 Field to property mapping</w:t>
      </w:r>
    </w:p>
    <w:p>
      <w:pPr>
        <w:spacing w:after="120"/>
      </w:pPr>
      <w:r>
        <w:rPr>
          <w:color w:val="202020"/>
        </w:rPr>
        <w:t xml:space="preserve">The mapping from Salesforce fields to Graph properties is defined in </w:t>
      </w:r>
      <w:r>
        <w:rPr>
          <w:rFonts w:ascii="Consolas" w:hAnsi="Consolas"/>
          <w:color w:val="202020"/>
          <w:sz w:val="19"/>
        </w:rPr>
        <w:t>config/schema.json</w:t>
      </w:r>
      <w:r>
        <w:rPr>
          <w:color w:val="202020"/>
        </w:rPr>
        <w:t xml:space="preserve"> (source fields) and </w:t>
      </w:r>
      <w:r>
        <w:rPr>
          <w:rFonts w:ascii="Consolas" w:hAnsi="Consolas"/>
          <w:color w:val="202020"/>
          <w:sz w:val="19"/>
        </w:rPr>
        <w:t>config/graph-schema.json</w:t>
      </w:r>
      <w:r>
        <w:rPr>
          <w:color w:val="202020"/>
        </w:rPr>
        <w:t xml:space="preserve"> (the property definitions registered with Graph). A representative sample: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2400"/>
        <w:gridCol w:w="1300"/>
        <w:gridCol w:w="3160"/>
      </w:tblGrid>
      <w:tr>
        <w:tc>
          <w:tcPr>
            <w:tcW w:type="dxa" w:w="2500"/>
            <w:shd w:val="clear" w:color="auto" w:fill="2E5496"/>
          </w:tcPr>
          <w:p>
            <w:r>
              <w:rPr>
                <w:b/>
                <w:color w:val="FFFFFF"/>
                <w:sz w:val="19"/>
              </w:rPr>
              <w:t>Salesforce field</w:t>
            </w:r>
          </w:p>
        </w:tc>
        <w:tc>
          <w:tcPr>
            <w:tcW w:type="dxa" w:w="2400"/>
            <w:shd w:val="clear" w:color="auto" w:fill="2E5496"/>
          </w:tcPr>
          <w:p>
            <w:r>
              <w:rPr>
                <w:b/>
                <w:color w:val="FFFFFF"/>
                <w:sz w:val="19"/>
              </w:rPr>
              <w:t>Graph property</w:t>
            </w:r>
          </w:p>
        </w:tc>
        <w:tc>
          <w:tcPr>
            <w:tcW w:type="dxa" w:w="1300"/>
            <w:shd w:val="clear" w:color="auto" w:fill="2E5496"/>
          </w:tcPr>
          <w:p>
            <w:r>
              <w:rPr>
                <w:b/>
                <w:color w:val="FFFFFF"/>
                <w:sz w:val="19"/>
              </w:rPr>
              <w:t>Type</w:t>
            </w:r>
          </w:p>
        </w:tc>
        <w:tc>
          <w:tcPr>
            <w:tcW w:type="dxa" w:w="3160"/>
            <w:shd w:val="clear" w:color="auto" w:fill="2E5496"/>
          </w:tcPr>
          <w:p>
            <w:r>
              <w:rPr>
                <w:b/>
                <w:color w:val="FFFFFF"/>
                <w:sz w:val="19"/>
              </w:rPr>
              <w:t>Notes</w:t>
            </w:r>
          </w:p>
        </w:tc>
      </w:tr>
      <w:tr>
        <w:tc>
          <w:tcPr>
            <w:tcW w:type="dxa" w:w="2500"/>
          </w:tcPr>
          <w:p>
            <w:r>
              <w:rPr>
                <w:color w:val="202020"/>
                <w:sz w:val="19"/>
              </w:rPr>
              <w:t>Name / Subject</w:t>
            </w:r>
          </w:p>
        </w:tc>
        <w:tc>
          <w:tcPr>
            <w:tcW w:type="dxa" w:w="2400"/>
          </w:tcPr>
          <w:p>
            <w:r>
              <w:rPr>
                <w:color w:val="202020"/>
                <w:sz w:val="19"/>
              </w:rPr>
              <w:t>Name</w:t>
            </w:r>
          </w:p>
        </w:tc>
        <w:tc>
          <w:tcPr>
            <w:tcW w:type="dxa" w:w="1300"/>
          </w:tcPr>
          <w:p>
            <w:r>
              <w:rPr>
                <w:color w:val="202020"/>
                <w:sz w:val="19"/>
              </w:rPr>
              <w:t>String</w:t>
            </w:r>
          </w:p>
        </w:tc>
        <w:tc>
          <w:tcPr>
            <w:tcW w:type="dxa" w:w="3160"/>
          </w:tcPr>
          <w:p>
            <w:r>
              <w:rPr>
                <w:color w:val="202020"/>
                <w:sz w:val="19"/>
              </w:rPr>
              <w:t>Primary display title (title label).</w:t>
            </w:r>
          </w:p>
        </w:tc>
      </w:tr>
      <w:tr>
        <w:tc>
          <w:tcPr>
            <w:tcW w:type="dxa" w:w="2500"/>
            <w:shd w:val="clear" w:color="auto" w:fill="F7F9FC"/>
          </w:tcPr>
          <w:p>
            <w:r>
              <w:rPr>
                <w:color w:val="202020"/>
                <w:sz w:val="19"/>
              </w:rPr>
              <w:t>Description</w:t>
            </w:r>
          </w:p>
        </w:tc>
        <w:tc>
          <w:tcPr>
            <w:tcW w:type="dxa" w:w="2400"/>
            <w:shd w:val="clear" w:color="auto" w:fill="F7F9FC"/>
          </w:tcPr>
          <w:p>
            <w:r>
              <w:rPr>
                <w:color w:val="202020"/>
                <w:sz w:val="19"/>
              </w:rPr>
              <w:t>(content body)</w:t>
            </w:r>
          </w:p>
        </w:tc>
        <w:tc>
          <w:tcPr>
            <w:tcW w:type="dxa" w:w="1300"/>
            <w:shd w:val="clear" w:color="auto" w:fill="F7F9FC"/>
          </w:tcPr>
          <w:p>
            <w:r>
              <w:rPr>
                <w:color w:val="202020"/>
                <w:sz w:val="19"/>
              </w:rPr>
              <w:t>String</w:t>
            </w:r>
          </w:p>
        </w:tc>
        <w:tc>
          <w:tcPr>
            <w:tcW w:type="dxa" w:w="3160"/>
            <w:shd w:val="clear" w:color="auto" w:fill="F7F9FC"/>
          </w:tcPr>
          <w:p>
            <w:r>
              <w:rPr>
                <w:color w:val="202020"/>
                <w:sz w:val="19"/>
              </w:rPr>
              <w:t>Main full-text body for search.</w:t>
            </w:r>
          </w:p>
        </w:tc>
      </w:tr>
      <w:tr>
        <w:tc>
          <w:tcPr>
            <w:tcW w:type="dxa" w:w="2500"/>
          </w:tcPr>
          <w:p>
            <w:r>
              <w:rPr>
                <w:color w:val="202020"/>
                <w:sz w:val="19"/>
              </w:rPr>
              <w:t>Account.Name</w:t>
            </w:r>
          </w:p>
        </w:tc>
        <w:tc>
          <w:tcPr>
            <w:tcW w:type="dxa" w:w="2400"/>
          </w:tcPr>
          <w:p>
            <w:r>
              <w:rPr>
                <w:color w:val="202020"/>
                <w:sz w:val="19"/>
              </w:rPr>
              <w:t>AccountName</w:t>
            </w:r>
          </w:p>
        </w:tc>
        <w:tc>
          <w:tcPr>
            <w:tcW w:type="dxa" w:w="1300"/>
          </w:tcPr>
          <w:p>
            <w:r>
              <w:rPr>
                <w:color w:val="202020"/>
                <w:sz w:val="19"/>
              </w:rPr>
              <w:t>String</w:t>
            </w:r>
          </w:p>
        </w:tc>
        <w:tc>
          <w:tcPr>
            <w:tcW w:type="dxa" w:w="3160"/>
          </w:tcPr>
          <w:p>
            <w:r>
              <w:rPr>
                <w:color w:val="202020"/>
                <w:sz w:val="19"/>
              </w:rPr>
              <w:t>Related account name (denormalised).</w:t>
            </w:r>
          </w:p>
        </w:tc>
      </w:tr>
      <w:tr>
        <w:tc>
          <w:tcPr>
            <w:tcW w:type="dxa" w:w="2500"/>
            <w:shd w:val="clear" w:color="auto" w:fill="F7F9FC"/>
          </w:tcPr>
          <w:p>
            <w:r>
              <w:rPr>
                <w:color w:val="202020"/>
                <w:sz w:val="19"/>
              </w:rPr>
              <w:t>Amount</w:t>
            </w:r>
          </w:p>
        </w:tc>
        <w:tc>
          <w:tcPr>
            <w:tcW w:type="dxa" w:w="2400"/>
            <w:shd w:val="clear" w:color="auto" w:fill="F7F9FC"/>
          </w:tcPr>
          <w:p>
            <w:r>
              <w:rPr>
                <w:color w:val="202020"/>
                <w:sz w:val="19"/>
              </w:rPr>
              <w:t>Amount</w:t>
            </w:r>
          </w:p>
        </w:tc>
        <w:tc>
          <w:tcPr>
            <w:tcW w:type="dxa" w:w="1300"/>
            <w:shd w:val="clear" w:color="auto" w:fill="F7F9FC"/>
          </w:tcPr>
          <w:p>
            <w:r>
              <w:rPr>
                <w:color w:val="202020"/>
                <w:sz w:val="19"/>
              </w:rPr>
              <w:t>Int64</w:t>
            </w:r>
          </w:p>
        </w:tc>
        <w:tc>
          <w:tcPr>
            <w:tcW w:type="dxa" w:w="3160"/>
            <w:shd w:val="clear" w:color="auto" w:fill="F7F9FC"/>
          </w:tcPr>
          <w:p>
            <w:r>
              <w:rPr>
                <w:color w:val="202020"/>
                <w:sz w:val="19"/>
              </w:rPr>
              <w:t>Opportunity deal value (org base currency).</w:t>
            </w:r>
          </w:p>
        </w:tc>
      </w:tr>
      <w:tr>
        <w:tc>
          <w:tcPr>
            <w:tcW w:type="dxa" w:w="2500"/>
          </w:tcPr>
          <w:p>
            <w:r>
              <w:rPr>
                <w:color w:val="202020"/>
                <w:sz w:val="19"/>
              </w:rPr>
              <w:t>StageName</w:t>
            </w:r>
          </w:p>
        </w:tc>
        <w:tc>
          <w:tcPr>
            <w:tcW w:type="dxa" w:w="2400"/>
          </w:tcPr>
          <w:p>
            <w:r>
              <w:rPr>
                <w:color w:val="202020"/>
                <w:sz w:val="19"/>
              </w:rPr>
              <w:t>Status / Stage</w:t>
            </w:r>
          </w:p>
        </w:tc>
        <w:tc>
          <w:tcPr>
            <w:tcW w:type="dxa" w:w="1300"/>
          </w:tcPr>
          <w:p>
            <w:r>
              <w:rPr>
                <w:color w:val="202020"/>
                <w:sz w:val="19"/>
              </w:rPr>
              <w:t>String</w:t>
            </w:r>
          </w:p>
        </w:tc>
        <w:tc>
          <w:tcPr>
            <w:tcW w:type="dxa" w:w="3160"/>
          </w:tcPr>
          <w:p>
            <w:r>
              <w:rPr>
                <w:color w:val="202020"/>
                <w:sz w:val="19"/>
              </w:rPr>
              <w:t>Opportunity pipeline stage.</w:t>
            </w:r>
          </w:p>
        </w:tc>
      </w:tr>
      <w:tr>
        <w:tc>
          <w:tcPr>
            <w:tcW w:type="dxa" w:w="2500"/>
            <w:shd w:val="clear" w:color="auto" w:fill="F7F9FC"/>
          </w:tcPr>
          <w:p>
            <w:r>
              <w:rPr>
                <w:color w:val="202020"/>
                <w:sz w:val="19"/>
              </w:rPr>
              <w:t>Priority</w:t>
            </w:r>
          </w:p>
        </w:tc>
        <w:tc>
          <w:tcPr>
            <w:tcW w:type="dxa" w:w="2400"/>
            <w:shd w:val="clear" w:color="auto" w:fill="F7F9FC"/>
          </w:tcPr>
          <w:p>
            <w:r>
              <w:rPr>
                <w:color w:val="202020"/>
                <w:sz w:val="19"/>
              </w:rPr>
              <w:t>Priority</w:t>
            </w:r>
          </w:p>
        </w:tc>
        <w:tc>
          <w:tcPr>
            <w:tcW w:type="dxa" w:w="1300"/>
            <w:shd w:val="clear" w:color="auto" w:fill="F7F9FC"/>
          </w:tcPr>
          <w:p>
            <w:r>
              <w:rPr>
                <w:color w:val="202020"/>
                <w:sz w:val="19"/>
              </w:rPr>
              <w:t>String</w:t>
            </w:r>
          </w:p>
        </w:tc>
        <w:tc>
          <w:tcPr>
            <w:tcW w:type="dxa" w:w="3160"/>
            <w:shd w:val="clear" w:color="auto" w:fill="F7F9FC"/>
          </w:tcPr>
          <w:p>
            <w:r>
              <w:rPr>
                <w:color w:val="202020"/>
                <w:sz w:val="19"/>
              </w:rPr>
              <w:t>Case priority (priority label).</w:t>
            </w:r>
          </w:p>
        </w:tc>
      </w:tr>
      <w:tr>
        <w:tc>
          <w:tcPr>
            <w:tcW w:type="dxa" w:w="2500"/>
          </w:tcPr>
          <w:p>
            <w:r>
              <w:rPr>
                <w:color w:val="202020"/>
                <w:sz w:val="19"/>
              </w:rPr>
              <w:t>CaseNumber / AccountNumber</w:t>
            </w:r>
          </w:p>
        </w:tc>
        <w:tc>
          <w:tcPr>
            <w:tcW w:type="dxa" w:w="2400"/>
          </w:tcPr>
          <w:p>
            <w:r>
              <w:rPr>
                <w:color w:val="202020"/>
                <w:sz w:val="19"/>
              </w:rPr>
              <w:t>Number</w:t>
            </w:r>
          </w:p>
        </w:tc>
        <w:tc>
          <w:tcPr>
            <w:tcW w:type="dxa" w:w="1300"/>
          </w:tcPr>
          <w:p>
            <w:r>
              <w:rPr>
                <w:color w:val="202020"/>
                <w:sz w:val="19"/>
              </w:rPr>
              <w:t>String</w:t>
            </w:r>
          </w:p>
        </w:tc>
        <w:tc>
          <w:tcPr>
            <w:tcW w:type="dxa" w:w="3160"/>
          </w:tcPr>
          <w:p>
            <w:r>
              <w:rPr>
                <w:color w:val="202020"/>
                <w:sz w:val="19"/>
              </w:rPr>
              <w:t>Human-facing secondary id.</w:t>
            </w:r>
          </w:p>
        </w:tc>
      </w:tr>
      <w:tr>
        <w:tc>
          <w:tcPr>
            <w:tcW w:type="dxa" w:w="2500"/>
            <w:shd w:val="clear" w:color="auto" w:fill="F7F9FC"/>
          </w:tcPr>
          <w:p>
            <w:r>
              <w:rPr>
                <w:color w:val="202020"/>
                <w:sz w:val="19"/>
              </w:rPr>
              <w:t>BillingStreet, BillingCity, … (address components)</w:t>
            </w:r>
          </w:p>
        </w:tc>
        <w:tc>
          <w:tcPr>
            <w:tcW w:type="dxa" w:w="2400"/>
            <w:shd w:val="clear" w:color="auto" w:fill="F7F9FC"/>
          </w:tcPr>
          <w:p>
            <w:r>
              <w:rPr>
                <w:color w:val="202020"/>
                <w:sz w:val="19"/>
              </w:rPr>
              <w:t>Address</w:t>
            </w:r>
          </w:p>
        </w:tc>
        <w:tc>
          <w:tcPr>
            <w:tcW w:type="dxa" w:w="1300"/>
            <w:shd w:val="clear" w:color="auto" w:fill="F7F9FC"/>
          </w:tcPr>
          <w:p>
            <w:r>
              <w:rPr>
                <w:color w:val="202020"/>
                <w:sz w:val="19"/>
              </w:rPr>
              <w:t>String</w:t>
            </w:r>
          </w:p>
        </w:tc>
        <w:tc>
          <w:tcPr>
            <w:tcW w:type="dxa" w:w="3160"/>
            <w:shd w:val="clear" w:color="auto" w:fill="F7F9FC"/>
          </w:tcPr>
          <w:p>
            <w:r>
              <w:rPr>
                <w:color w:val="202020"/>
                <w:sz w:val="19"/>
              </w:rPr>
              <w:t>Components selected individually, each FLS-gated, then reassembled (§5.7). The compound (BillingAddress) is never queried.</w:t>
            </w:r>
          </w:p>
        </w:tc>
      </w:tr>
      <w:tr>
        <w:tc>
          <w:tcPr>
            <w:tcW w:type="dxa" w:w="2500"/>
          </w:tcPr>
          <w:p>
            <w:r>
              <w:rPr>
                <w:color w:val="202020"/>
                <w:sz w:val="19"/>
              </w:rPr>
              <w:t>OwnerId / Owner.Name</w:t>
            </w:r>
          </w:p>
        </w:tc>
        <w:tc>
          <w:tcPr>
            <w:tcW w:type="dxa" w:w="2400"/>
          </w:tcPr>
          <w:p>
            <w:r>
              <w:rPr>
                <w:color w:val="202020"/>
                <w:sz w:val="19"/>
              </w:rPr>
              <w:t>OwnerUrl / Owner</w:t>
            </w:r>
          </w:p>
        </w:tc>
        <w:tc>
          <w:tcPr>
            <w:tcW w:type="dxa" w:w="1300"/>
          </w:tcPr>
          <w:p>
            <w:r>
              <w:rPr>
                <w:color w:val="202020"/>
                <w:sz w:val="19"/>
              </w:rPr>
              <w:t>String / Principal</w:t>
            </w:r>
          </w:p>
        </w:tc>
        <w:tc>
          <w:tcPr>
            <w:tcW w:type="dxa" w:w="3160"/>
          </w:tcPr>
          <w:p>
            <w:r>
              <w:rPr>
                <w:color w:val="202020"/>
                <w:sz w:val="19"/>
              </w:rPr>
              <w:t>Record owner (assignedToPeople).</w:t>
            </w:r>
          </w:p>
        </w:tc>
      </w:tr>
      <w:tr>
        <w:tc>
          <w:tcPr>
            <w:tcW w:type="dxa" w:w="2500"/>
            <w:shd w:val="clear" w:color="auto" w:fill="F7F9FC"/>
          </w:tcPr>
          <w:p>
            <w:r>
              <w:rPr>
                <w:color w:val="202020"/>
                <w:sz w:val="19"/>
              </w:rPr>
              <w:t>CreatedBy.Name / LastModifiedDate</w:t>
            </w:r>
          </w:p>
        </w:tc>
        <w:tc>
          <w:tcPr>
            <w:tcW w:type="dxa" w:w="2400"/>
            <w:shd w:val="clear" w:color="auto" w:fill="F7F9FC"/>
          </w:tcPr>
          <w:p>
            <w:r>
              <w:rPr>
                <w:color w:val="202020"/>
                <w:sz w:val="19"/>
              </w:rPr>
              <w:t>CreatedBy / LastModifiedDate</w:t>
            </w:r>
          </w:p>
        </w:tc>
        <w:tc>
          <w:tcPr>
            <w:tcW w:type="dxa" w:w="1300"/>
            <w:shd w:val="clear" w:color="auto" w:fill="F7F9FC"/>
          </w:tcPr>
          <w:p>
            <w:r>
              <w:rPr>
                <w:color w:val="202020"/>
                <w:sz w:val="19"/>
              </w:rPr>
              <w:t>Principal / DateTime</w:t>
            </w:r>
          </w:p>
        </w:tc>
        <w:tc>
          <w:tcPr>
            <w:tcW w:type="dxa" w:w="3160"/>
            <w:shd w:val="clear" w:color="auto" w:fill="F7F9FC"/>
          </w:tcPr>
          <w:p>
            <w:r>
              <w:rPr>
                <w:color w:val="202020"/>
                <w:sz w:val="19"/>
              </w:rPr>
              <w:t>Audit metadata for date/people queries.</w:t>
            </w:r>
          </w:p>
        </w:tc>
      </w:tr>
    </w:tbl>
    <w:p>
      <w:pPr>
        <w:spacing w:after="40"/>
      </w:pPr>
    </w:p>
    <w:p>
      <w:pPr>
        <w:spacing w:after="120"/>
      </w:pPr>
      <w:r>
        <w:rPr>
          <w:color w:val="202020"/>
        </w:rPr>
        <w:t xml:space="preserve">Some source fields are prefixed </w:t>
      </w:r>
      <w:r>
        <w:rPr>
          <w:rFonts w:ascii="Consolas" w:hAnsi="Consolas"/>
          <w:color w:val="202020"/>
          <w:sz w:val="19"/>
        </w:rPr>
        <w:t>_sf_</w:t>
      </w:r>
      <w:r>
        <w:rPr>
          <w:color w:val="202020"/>
        </w:rPr>
        <w:t xml:space="preserve"> in the schema (for example </w:t>
      </w:r>
      <w:r>
        <w:rPr>
          <w:rFonts w:ascii="Consolas" w:hAnsi="Consolas"/>
          <w:color w:val="202020"/>
          <w:sz w:val="19"/>
        </w:rPr>
        <w:t>_sf_BillingStreet</w:t>
      </w:r>
      <w:r>
        <w:rPr>
          <w:color w:val="202020"/>
        </w:rPr>
        <w:t xml:space="preserve">, </w:t>
      </w:r>
      <w:r>
        <w:rPr>
          <w:rFonts w:ascii="Consolas" w:hAnsi="Consolas"/>
          <w:color w:val="202020"/>
          <w:sz w:val="19"/>
        </w:rPr>
        <w:t>_sf_StageName</w:t>
      </w:r>
      <w:r>
        <w:rPr>
          <w:color w:val="202020"/>
        </w:rPr>
        <w:t xml:space="preserve">, </w:t>
      </w:r>
      <w:r>
        <w:rPr>
          <w:rFonts w:ascii="Consolas" w:hAnsi="Consolas"/>
          <w:color w:val="202020"/>
          <w:sz w:val="19"/>
        </w:rPr>
        <w:t>_sf_CaseNumber</w:t>
      </w:r>
      <w:r>
        <w:rPr>
          <w:color w:val="202020"/>
        </w:rPr>
        <w:t xml:space="preserve">). These are queried from Salesforce but not published directly; the converter reads them to build </w:t>
      </w:r>
      <w:r>
        <w:rPr>
          <w:b/>
          <w:color w:val="202020"/>
        </w:rPr>
        <w:t>computed</w:t>
      </w:r>
      <w:r>
        <w:rPr>
          <w:color w:val="202020"/>
        </w:rPr>
        <w:t xml:space="preserve"> properties — a single JSON </w:t>
      </w:r>
      <w:r>
        <w:rPr>
          <w:b/>
          <w:color w:val="202020"/>
        </w:rPr>
        <w:t>Address</w:t>
      </w:r>
      <w:r>
        <w:rPr>
          <w:color w:val="202020"/>
        </w:rPr>
        <w:t xml:space="preserve"> (assembled from the individually-selected address components per the schema's </w:t>
      </w:r>
      <w:r>
        <w:rPr>
          <w:rFonts w:ascii="Consolas" w:hAnsi="Consolas"/>
          <w:color w:val="202020"/>
          <w:sz w:val="19"/>
        </w:rPr>
        <w:t>addressFields</w:t>
      </w:r>
      <w:r>
        <w:rPr>
          <w:color w:val="202020"/>
        </w:rPr>
        <w:t xml:space="preserve"> map), a consolidated </w:t>
      </w:r>
      <w:r>
        <w:rPr>
          <w:b/>
          <w:color w:val="202020"/>
        </w:rPr>
        <w:t>ContactDetails</w:t>
      </w:r>
      <w:r>
        <w:rPr>
          <w:color w:val="202020"/>
        </w:rPr>
        <w:t xml:space="preserve">, and unified </w:t>
      </w:r>
      <w:r>
        <w:rPr>
          <w:b/>
          <w:color w:val="202020"/>
        </w:rPr>
        <w:t>Status / Number / IsClosed / ClosedDate / Source</w:t>
      </w:r>
      <w:r>
        <w:rPr>
          <w:color w:val="202020"/>
        </w:rPr>
        <w:t xml:space="preserve"> properties that behave consistently across object types. Any field not mapped to a property is appended to the item's text </w:t>
      </w:r>
      <w:r>
        <w:rPr>
          <w:b/>
          <w:color w:val="202020"/>
        </w:rPr>
        <w:t>content</w:t>
      </w:r>
      <w:r>
        <w:rPr>
          <w:color w:val="202020"/>
        </w:rPr>
        <w:t xml:space="preserve"> so it is still discoverable by keyword search — which is why field-level security (§5.7) gates </w:t>
      </w:r>
      <w:r>
        <w:rPr>
          <w:b/>
          <w:color w:val="202020"/>
        </w:rPr>
        <w:t>both</w:t>
      </w:r>
      <w:r>
        <w:rPr>
          <w:color w:val="202020"/>
        </w:rPr>
        <w:t xml:space="preserve"> routes, the properties and the content body.</w:t>
      </w:r>
    </w:p>
    <w:p>
      <w:pPr>
        <w:pStyle w:val="Heading2"/>
      </w:pPr>
      <w:r>
        <w:rPr>
          <w:color w:val="2E5496"/>
        </w:rPr>
        <w:t>5.3 How the sharing model becomes the item ACL — the most important part</w:t>
      </w:r>
    </w:p>
    <w:p>
      <w:pPr>
        <w:spacing w:after="120"/>
      </w:pPr>
      <w:r>
        <w:rPr>
          <w:color w:val="202020"/>
        </w:rPr>
        <w:t xml:space="preserve">This is where the connector earns its keep. Before writing each item, the connector translates Salesforce's record-level sharing into a Graph </w:t>
      </w:r>
      <w:r>
        <w:rPr>
          <w:b/>
          <w:color w:val="202020"/>
        </w:rPr>
        <w:t>ACL</w:t>
      </w:r>
      <w:r>
        <w:rPr>
          <w:color w:val="202020"/>
        </w:rPr>
        <w:t xml:space="preserve"> — a list of grant/deny entries naming the Microsoft Entra users allowed to see that item. Copilot then performs </w:t>
      </w:r>
      <w:r>
        <w:rPr>
          <w:b/>
          <w:color w:val="202020"/>
        </w:rPr>
        <w:t>access trimming</w:t>
      </w:r>
      <w:r>
        <w:rPr>
          <w:color w:val="202020"/>
        </w:rPr>
        <w:t xml:space="preserve">: at query time it only surfaces an item to a user who is on that item's ACL. The net effect is that Copilot trims access </w:t>
      </w:r>
      <w:r>
        <w:rPr>
          <w:b/>
          <w:color w:val="202020"/>
        </w:rPr>
        <w:t>the same way Salesforce does</w:t>
      </w:r>
      <w:r>
        <w:rPr>
          <w:color w:val="202020"/>
        </w:rPr>
        <w:t>.</w:t>
      </w:r>
    </w:p>
    <w:p>
      <w:pPr>
        <w:spacing w:after="120"/>
      </w:pPr>
      <w:r>
        <w:rPr>
          <w:color w:val="202020"/>
        </w:rPr>
        <w:t>The engine evaluates, per object and per record:</w:t>
      </w:r>
    </w:p>
    <w:p>
      <w:pPr>
        <w:pStyle w:val="ListBullet"/>
        <w:spacing w:after="40"/>
      </w:pPr>
      <w:r>
        <w:rPr>
          <w:b/>
          <w:color w:val="202020"/>
        </w:rPr>
        <w:t>Org-wide defaults (OWD).</w:t>
      </w:r>
      <w:r>
        <w:rPr>
          <w:color w:val="202020"/>
        </w:rPr>
        <w:t xml:space="preserve"> The starting point for each object (e.g. DefaultAccountAccess). If the OWD is public (Read/Edit/…), every record of that object is granted to everyone and no further work is needed. If it is Private or ControlledByParent, the connector drills into record-level sharing.</w:t>
      </w:r>
    </w:p>
    <w:p>
      <w:pPr>
        <w:pStyle w:val="ListBullet"/>
        <w:spacing w:after="40"/>
      </w:pPr>
      <w:r>
        <w:rPr>
          <w:b/>
          <w:color w:val="202020"/>
        </w:rPr>
        <w:t>Record owner + role hierarchy.</w:t>
      </w:r>
      <w:r>
        <w:rPr>
          <w:color w:val="202020"/>
        </w:rPr>
        <w:t xml:space="preserve"> The owner always gets access. Because Salesforce grants managers access to their subordinates' records ("Grant Access Using Hierarchies"), users in </w:t>
      </w:r>
      <w:r>
        <w:rPr>
          <w:b/>
          <w:color w:val="202020"/>
        </w:rPr>
        <w:t>roles above the owner's role</w:t>
      </w:r>
      <w:r>
        <w:rPr>
          <w:color w:val="202020"/>
        </w:rPr>
        <w:t xml:space="preserve"> are granted too.</w:t>
      </w:r>
    </w:p>
    <w:p>
      <w:pPr>
        <w:pStyle w:val="ListBullet"/>
        <w:spacing w:after="40"/>
      </w:pPr>
      <w:r>
        <w:rPr>
          <w:b/>
          <w:color w:val="202020"/>
        </w:rPr>
        <w:t>Sharing rules and manual shares.</w:t>
      </w:r>
      <w:r>
        <w:rPr>
          <w:color w:val="202020"/>
        </w:rPr>
        <w:t xml:space="preserve"> The record's share table (e.g. AccountShare) lists extra users and groups; each is expanded.</w:t>
      </w:r>
    </w:p>
    <w:p>
      <w:pPr>
        <w:pStyle w:val="ListBullet"/>
        <w:spacing w:after="40"/>
      </w:pPr>
      <w:r>
        <w:rPr>
          <w:b/>
          <w:color w:val="202020"/>
        </w:rPr>
        <w:t>Public groups and queues.</w:t>
      </w:r>
      <w:r>
        <w:rPr>
          <w:color w:val="202020"/>
        </w:rPr>
        <w:t xml:space="preserve"> Groups and queues are expanded recursively to their member users. Queues are the Salesforce construct for shared work assignment (common on Cases and Leads).</w:t>
      </w:r>
    </w:p>
    <w:p>
      <w:pPr>
        <w:pStyle w:val="ListBullet"/>
        <w:spacing w:after="40"/>
      </w:pPr>
      <w:r>
        <w:rPr>
          <w:b/>
          <w:color w:val="202020"/>
        </w:rPr>
        <w:t>Territories.</w:t>
      </w:r>
      <w:r>
        <w:rPr>
          <w:color w:val="202020"/>
        </w:rPr>
        <w:t xml:space="preserve"> For Account and Opportunity, users assigned to the record's territory (and every ancestor territory) are included, when Enterprise Territory Management is in use.</w:t>
      </w:r>
    </w:p>
    <w:p>
      <w:pPr>
        <w:pStyle w:val="ListBullet"/>
        <w:spacing w:after="40"/>
      </w:pPr>
      <w:r>
        <w:rPr>
          <w:b/>
          <w:color w:val="202020"/>
        </w:rPr>
        <w:t>ControlledByParent.</w:t>
      </w:r>
      <w:r>
        <w:rPr>
          <w:color w:val="202020"/>
        </w:rPr>
        <w:t xml:space="preserve"> Objects whose OWD is ControlledByParent (e.g. a detail record under a master) inherit the ACL of their parent record.</w:t>
      </w:r>
    </w:p>
    <w:p>
      <w:pPr>
        <w:spacing w:after="120"/>
      </w:pPr>
      <w:r>
        <w:rPr>
          <w:color w:val="202020"/>
        </w:rPr>
        <w:t xml:space="preserve">The resolved Salesforce users are then mapped to Microsoft Entra identities to build the final ACL. The mapping tries, in order: the user's </w:t>
      </w:r>
      <w:r>
        <w:rPr>
          <w:b/>
          <w:color w:val="202020"/>
        </w:rPr>
        <w:t>FederationIdentifier</w:t>
      </w:r>
      <w:r>
        <w:rPr>
          <w:color w:val="202020"/>
        </w:rPr>
        <w:t xml:space="preserve">, then </w:t>
      </w:r>
      <w:r>
        <w:rPr>
          <w:b/>
          <w:color w:val="202020"/>
        </w:rPr>
        <w:t>UserName</w:t>
      </w:r>
      <w:r>
        <w:rPr>
          <w:color w:val="202020"/>
        </w:rPr>
        <w:t xml:space="preserve">, then </w:t>
      </w:r>
      <w:r>
        <w:rPr>
          <w:b/>
          <w:color w:val="202020"/>
        </w:rPr>
        <w:t>Email</w:t>
      </w:r>
      <w:r>
        <w:rPr>
          <w:color w:val="202020"/>
        </w:rPr>
        <w:t xml:space="preserve">. </w:t>
      </w:r>
      <w:r>
        <w:rPr>
          <w:b/>
          <w:color w:val="202020"/>
        </w:rPr>
        <w:t>Frozen</w:t>
      </w:r>
      <w:r>
        <w:rPr>
          <w:color w:val="202020"/>
        </w:rPr>
        <w:t xml:space="preserve"> (disabled) Salesforce users are dropped. If a record resolves to no visible users, the item is written with a </w:t>
      </w:r>
      <w:r>
        <w:rPr>
          <w:b/>
          <w:color w:val="202020"/>
        </w:rPr>
        <w:t>deny-all</w:t>
      </w:r>
      <w:r>
        <w:rPr>
          <w:color w:val="202020"/>
        </w:rPr>
        <w:t xml:space="preserve"> ACL — it is indexed but shown to nobody, which is the safe (least-privilege) outcome.</w:t>
      </w:r>
    </w:p>
    <w:p>
      <w:pPr>
        <w:pStyle w:val="Heading2"/>
      </w:pPr>
      <w:r>
        <w:rPr>
          <w:color w:val="2E5496"/>
        </w:rPr>
        <w:t>5.4 What "access trimming" means for end users</w:t>
      </w:r>
    </w:p>
    <w:p>
      <w:pPr>
        <w:spacing w:after="120"/>
      </w:pPr>
      <w:r>
        <w:rPr>
          <w:color w:val="202020"/>
        </w:rPr>
        <w:t xml:space="preserve">Two users asking Copilot the same question can get different answers, exactly as they would see different records inside Salesforce. A relationship manager sees their own accounts; their manager sees theirs too (role hierarchy); someone with no share sees nothing for that record. Verifying this with two test users who have </w:t>
      </w:r>
      <w:r>
        <w:rPr>
          <w:b/>
          <w:color w:val="202020"/>
        </w:rPr>
        <w:t>different</w:t>
      </w:r>
      <w:r>
        <w:rPr>
          <w:color w:val="202020"/>
        </w:rPr>
        <w:t xml:space="preserve"> Salesforce access is the final acceptance step of setup (§8).</w:t>
      </w:r>
    </w:p>
    <w:p>
      <w:pPr>
        <w:pStyle w:val="Heading2"/>
      </w:pPr>
      <w:r>
        <w:rPr>
          <w:color w:val="2E5496"/>
        </w:rPr>
        <w:t>5.5 The risk if identity mapping is incomplete</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Access trimming is only as correct as the </w:t>
            </w:r>
            <w:r>
              <w:rPr>
                <w:b/>
                <w:color w:val="202020"/>
                <w:sz w:val="20"/>
              </w:rPr>
              <w:t>Salesforce user to Entra identity mapping</w:t>
            </w:r>
            <w:r>
              <w:rPr>
                <w:color w:val="202020"/>
                <w:sz w:val="20"/>
              </w:rPr>
              <w:t xml:space="preserve">. If a Salesforce user cannot be matched to an Entra account (no FederationIdentifier, UserName or Email match), that user is silently left off the ACL and will </w:t>
            </w:r>
            <w:r>
              <w:rPr>
                <w:b/>
                <w:color w:val="202020"/>
                <w:sz w:val="20"/>
              </w:rPr>
              <w:t>not</w:t>
            </w:r>
            <w:r>
              <w:rPr>
                <w:color w:val="202020"/>
                <w:sz w:val="20"/>
              </w:rPr>
              <w:t xml:space="preserve"> see records they are entitled to in Copilot (an under-grant — inconvenient, not a breach). Conversely, an over-permissioned integration user, a wrong OWD override, or an incomplete identity crawl can cause records to be indexed with the wrong audience. Always run </w:t>
            </w:r>
            <w:r>
              <w:rPr>
                <w:rFonts w:ascii="Consolas" w:hAnsi="Consolas"/>
                <w:color w:val="202020"/>
                <w:sz w:val="19"/>
              </w:rPr>
              <w:t>identity-dry-run</w:t>
            </w:r>
            <w:r>
              <w:rPr>
                <w:color w:val="202020"/>
                <w:sz w:val="20"/>
              </w:rPr>
              <w:t xml:space="preserve"> (§8) before the first content crawl and confirm the mapping coverage, and use the two-test-user check to prove trimming end-to-end.</w:t>
            </w:r>
          </w:p>
        </w:tc>
      </w:tr>
    </w:tbl>
    <w:p>
      <w:pPr>
        <w:spacing w:after="40"/>
      </w:pPr>
    </w:p>
    <w:p>
      <w:pPr>
        <w:pStyle w:val="Heading2"/>
      </w:pPr>
      <w:r>
        <w:rPr>
          <w:color w:val="2E5496"/>
        </w:rPr>
        <w:t>5.6 Sovereign / national clouds</w:t>
      </w:r>
    </w:p>
    <w:p>
      <w:pPr>
        <w:spacing w:after="120"/>
      </w:pPr>
      <w:r>
        <w:rPr>
          <w:color w:val="202020"/>
        </w:rPr>
        <w:t xml:space="preserve">For US Government or other sovereign tenants, point the connector at the correct Graph endpoint with </w:t>
      </w:r>
      <w:r>
        <w:rPr>
          <w:rFonts w:ascii="Consolas" w:hAnsi="Consolas"/>
          <w:color w:val="202020"/>
          <w:sz w:val="19"/>
        </w:rPr>
        <w:t>GRAPH_BASE_URL</w:t>
      </w:r>
      <w:r>
        <w:rPr>
          <w:color w:val="202020"/>
        </w:rPr>
        <w:t xml:space="preserve"> (e.g. </w:t>
      </w:r>
      <w:r>
        <w:rPr>
          <w:rFonts w:ascii="Consolas" w:hAnsi="Consolas"/>
          <w:color w:val="202020"/>
          <w:sz w:val="19"/>
        </w:rPr>
        <w:t>https://graph.microsoft.us</w:t>
      </w:r>
      <w:r>
        <w:rPr>
          <w:color w:val="202020"/>
        </w:rPr>
        <w:t xml:space="preserve">, or </w:t>
      </w:r>
      <w:r>
        <w:rPr>
          <w:rFonts w:ascii="Consolas" w:hAnsi="Consolas"/>
          <w:color w:val="202020"/>
          <w:sz w:val="19"/>
        </w:rPr>
        <w:t>https://microsoftgraph.chinacloudapi.cn</w:t>
      </w:r>
      <w:r>
        <w:rPr>
          <w:color w:val="202020"/>
        </w:rPr>
        <w:t xml:space="preserve"> operated by 21Vianet), and set </w:t>
      </w:r>
      <w:r>
        <w:rPr>
          <w:rFonts w:ascii="Consolas" w:hAnsi="Consolas"/>
          <w:color w:val="202020"/>
          <w:sz w:val="19"/>
        </w:rPr>
        <w:t>GRAPH_SCOPE</w:t>
      </w:r>
      <w:r>
        <w:rPr>
          <w:color w:val="202020"/>
        </w:rPr>
        <w:t xml:space="preserve"> / </w:t>
      </w:r>
      <w:r>
        <w:rPr>
          <w:rFonts w:ascii="Consolas" w:hAnsi="Consolas"/>
          <w:color w:val="202020"/>
          <w:sz w:val="19"/>
        </w:rPr>
        <w:t>AZURE_AUTHORITY_HOST</w:t>
      </w:r>
      <w:r>
        <w:rPr>
          <w:color w:val="202020"/>
        </w:rPr>
        <w:t xml:space="preserve"> if your cloud's token audience differs. The default is the public cloud </w:t>
      </w:r>
      <w:r>
        <w:rPr>
          <w:rFonts w:ascii="Consolas" w:hAnsi="Consolas"/>
          <w:color w:val="202020"/>
          <w:sz w:val="19"/>
        </w:rPr>
        <w:t>https://graph.microsoft.com</w:t>
      </w:r>
      <w:r>
        <w:rPr>
          <w:color w:val="202020"/>
        </w:rPr>
        <w:t>.</w:t>
      </w:r>
    </w:p>
    <w:p>
      <w:pPr>
        <w:pStyle w:val="Heading2"/>
      </w:pPr>
      <w:r>
        <w:rPr>
          <w:color w:val="2E5496"/>
        </w:rPr>
        <w:t>5.7 Field-level security (FLS) — new in this release, on by default</w:t>
      </w:r>
    </w:p>
    <w:p>
      <w:pPr>
        <w:spacing w:after="120"/>
      </w:pPr>
      <w:r>
        <w:rPr>
          <w:color w:val="202020"/>
        </w:rPr>
        <w:t xml:space="preserve">Record-level trimming (§5.3-§5.4) decides </w:t>
      </w:r>
      <w:r>
        <w:rPr>
          <w:b/>
          <w:color w:val="202020"/>
        </w:rPr>
        <w:t>which records</w:t>
      </w:r>
      <w:r>
        <w:rPr>
          <w:color w:val="202020"/>
        </w:rPr>
        <w:t xml:space="preserve"> a user can see. Salesforce additionally hides </w:t>
      </w:r>
      <w:r>
        <w:rPr>
          <w:b/>
          <w:color w:val="202020"/>
        </w:rPr>
        <w:t>individual fields</w:t>
      </w:r>
      <w:r>
        <w:rPr>
          <w:color w:val="202020"/>
        </w:rPr>
        <w:t xml:space="preserve"> from individual users (field-level security — compensation, margin and similar). Until this release the connector did not evaluate FLS at all: a user permitted to see a record saw </w:t>
      </w:r>
      <w:r>
        <w:rPr>
          <w:b/>
          <w:color w:val="202020"/>
        </w:rPr>
        <w:t>every</w:t>
      </w:r>
      <w:r>
        <w:rPr>
          <w:color w:val="202020"/>
        </w:rPr>
        <w:t xml:space="preserve"> indexed field on it. The connector now fetches field read permissions from Salesforce (</w:t>
      </w:r>
      <w:r>
        <w:rPr>
          <w:rFonts w:ascii="Consolas" w:hAnsi="Consolas"/>
          <w:color w:val="202020"/>
          <w:sz w:val="19"/>
        </w:rPr>
        <w:t>FieldPermissions</w:t>
      </w:r>
      <w:r>
        <w:rPr>
          <w:color w:val="202020"/>
        </w:rPr>
        <w:t xml:space="preserve">, with a </w:t>
      </w:r>
      <w:r>
        <w:rPr>
          <w:rFonts w:ascii="Consolas" w:hAnsi="Consolas"/>
          <w:color w:val="202020"/>
          <w:sz w:val="19"/>
        </w:rPr>
        <w:t>describe</w:t>
      </w:r>
      <w:r>
        <w:rPr>
          <w:color w:val="202020"/>
        </w:rPr>
        <w:t xml:space="preserve"> fallback for orgs that deny access to it), caches them for </w:t>
      </w:r>
      <w:r>
        <w:rPr>
          <w:rFonts w:ascii="Consolas" w:hAnsi="Consolas"/>
          <w:color w:val="202020"/>
          <w:sz w:val="19"/>
        </w:rPr>
        <w:t>FLS_CACHE_TTL_HOURS</w:t>
      </w:r>
      <w:r>
        <w:rPr>
          <w:color w:val="202020"/>
        </w:rPr>
        <w:t xml:space="preserve"> (default 24), and enforces them on </w:t>
      </w:r>
      <w:r>
        <w:rPr>
          <w:b/>
          <w:color w:val="202020"/>
        </w:rPr>
        <w:t>both</w:t>
      </w:r>
      <w:r>
        <w:rPr>
          <w:color w:val="202020"/>
        </w:rPr>
        <w:t xml:space="preserve"> routes a value can take into the index — the Graph </w:t>
      </w:r>
      <w:r>
        <w:rPr>
          <w:b/>
          <w:color w:val="202020"/>
        </w:rPr>
        <w:t>properties</w:t>
      </w:r>
      <w:r>
        <w:rPr>
          <w:color w:val="202020"/>
        </w:rPr>
        <w:t xml:space="preserve"> and the searchable </w:t>
      </w:r>
      <w:r>
        <w:rPr>
          <w:b/>
          <w:color w:val="202020"/>
        </w:rPr>
        <w:t>content body</w:t>
      </w:r>
      <w:r>
        <w:rPr>
          <w:color w:val="202020"/>
        </w:rPr>
        <w:t>. Enforcement is on by default (</w:t>
      </w:r>
      <w:r>
        <w:rPr>
          <w:rFonts w:ascii="Consolas" w:hAnsi="Consolas"/>
          <w:color w:val="202020"/>
          <w:sz w:val="19"/>
        </w:rPr>
        <w:t>FLS_ENFORCEMENT=true</w:t>
      </w:r>
      <w:r>
        <w:rPr>
          <w:color w:val="202020"/>
        </w:rPr>
        <w:t xml:space="preserve">); the variables are in §12.7 and the full design is in the repository's </w:t>
      </w:r>
      <w:r>
        <w:rPr>
          <w:rFonts w:ascii="Consolas" w:hAnsi="Consolas"/>
          <w:color w:val="202020"/>
          <w:sz w:val="19"/>
        </w:rPr>
        <w:t>docs/FLS.md</w:t>
      </w:r>
      <w:r>
        <w:rPr>
          <w:color w:val="202020"/>
        </w:rPr>
        <w:t>.</w:t>
      </w:r>
    </w:p>
    <w:p>
      <w:pPr>
        <w:spacing w:after="120"/>
      </w:pPr>
      <w:r>
        <w:rPr>
          <w:b/>
          <w:color w:val="202020"/>
        </w:rPr>
        <w:t>The decision rule.</w:t>
      </w:r>
      <w:r>
        <w:rPr>
          <w:color w:val="202020"/>
        </w:rPr>
        <w:t xml:space="preserve"> A Graph external item carries </w:t>
      </w:r>
      <w:r>
        <w:rPr>
          <w:b/>
          <w:color w:val="202020"/>
        </w:rPr>
        <w:t>one</w:t>
      </w:r>
      <w:r>
        <w:rPr>
          <w:color w:val="202020"/>
        </w:rPr>
        <w:t xml:space="preserve"> property set and </w:t>
      </w:r>
      <w:r>
        <w:rPr>
          <w:b/>
          <w:color w:val="202020"/>
        </w:rPr>
        <w:t>one</w:t>
      </w:r>
      <w:r>
        <w:rPr>
          <w:color w:val="202020"/>
        </w:rPr>
        <w:t xml:space="preserve"> content body shared by every principal on its ACL — there is no way to show a field to one ACL member and hide it from another. So under the default </w:t>
      </w:r>
      <w:r>
        <w:rPr>
          <w:rFonts w:ascii="Consolas" w:hAnsi="Consolas"/>
          <w:color w:val="202020"/>
          <w:sz w:val="19"/>
        </w:rPr>
        <w:t>FLS_MODE=strict</w:t>
      </w:r>
      <w:r>
        <w:rPr>
          <w:color w:val="202020"/>
        </w:rPr>
        <w:t xml:space="preserve">, a field readable by </w:t>
      </w:r>
      <w:r>
        <w:rPr>
          <w:b/>
          <w:color w:val="202020"/>
        </w:rPr>
        <w:t>some but not all</w:t>
      </w:r>
      <w:r>
        <w:rPr>
          <w:color w:val="202020"/>
        </w:rPr>
        <w:t xml:space="preserve"> principals in scope is </w:t>
      </w:r>
      <w:r>
        <w:rPr>
          <w:b/>
          <w:color w:val="202020"/>
        </w:rPr>
        <w:t>dropped</w:t>
      </w:r>
      <w:r>
        <w:rPr>
          <w:color w:val="202020"/>
        </w:rPr>
        <w:t xml:space="preserve"> (the least-privilege union). </w:t>
      </w:r>
      <w:r>
        <w:rPr>
          <w:rFonts w:ascii="Consolas" w:hAnsi="Consolas"/>
          <w:color w:val="202020"/>
          <w:sz w:val="19"/>
        </w:rPr>
        <w:t>FLS_MODE=permissive</w:t>
      </w:r>
      <w:r>
        <w:rPr>
          <w:color w:val="202020"/>
        </w:rPr>
        <w:t xml:space="preserve"> drops only fields </w:t>
      </w:r>
      <w:r>
        <w:rPr>
          <w:b/>
          <w:color w:val="202020"/>
        </w:rPr>
        <w:t>no</w:t>
      </w:r>
      <w:r>
        <w:rPr>
          <w:color w:val="202020"/>
        </w:rPr>
        <w:t xml:space="preserve"> principal can read — a documented, deliberately weaker escape hatch that </w:t>
      </w:r>
      <w:r>
        <w:rPr>
          <w:b/>
          <w:color w:val="202020"/>
        </w:rPr>
        <w:t>can expose a field to a principal Salesforce would deny</w:t>
      </w:r>
      <w:r>
        <w:rPr>
          <w:color w:val="202020"/>
        </w:rPr>
        <w:t xml:space="preserve">; treat it as an accepted risk, never a default. Fields with no </w:t>
      </w:r>
      <w:r>
        <w:rPr>
          <w:rFonts w:ascii="Consolas" w:hAnsi="Consolas"/>
          <w:color w:val="202020"/>
          <w:sz w:val="19"/>
        </w:rPr>
        <w:t>FieldPermissions</w:t>
      </w:r>
      <w:r>
        <w:rPr>
          <w:color w:val="202020"/>
        </w:rPr>
        <w:t xml:space="preserve"> rows at all (</w:t>
      </w:r>
      <w:r>
        <w:rPr>
          <w:rFonts w:ascii="Consolas" w:hAnsi="Consolas"/>
          <w:color w:val="202020"/>
          <w:sz w:val="19"/>
        </w:rPr>
        <w:t>Id</w:t>
      </w:r>
      <w:r>
        <w:rPr>
          <w:color w:val="202020"/>
        </w:rPr>
        <w:t xml:space="preserve">, </w:t>
      </w:r>
      <w:r>
        <w:rPr>
          <w:rFonts w:ascii="Consolas" w:hAnsi="Consolas"/>
          <w:color w:val="202020"/>
          <w:sz w:val="19"/>
        </w:rPr>
        <w:t>Name</w:t>
      </w:r>
      <w:r>
        <w:rPr>
          <w:color w:val="202020"/>
        </w:rPr>
        <w:t>, …) are not FLS-governed and are never dropped on FLS grounds, so strict does not degenerate into dropping everything.</w:t>
      </w:r>
    </w:p>
    <w:p>
      <w:pPr>
        <w:spacing w:after="120"/>
      </w:pPr>
      <w:r>
        <w:rPr>
          <w:b/>
          <w:color w:val="202020"/>
        </w:rPr>
        <w:t>Compound fields are no longer queried — at all.</w:t>
      </w:r>
      <w:r>
        <w:rPr>
          <w:color w:val="202020"/>
        </w:rPr>
        <w:t xml:space="preserve"> A Salesforce compound (e.g. </w:t>
      </w:r>
      <w:r>
        <w:rPr>
          <w:rFonts w:ascii="Consolas" w:hAnsi="Consolas"/>
          <w:color w:val="202020"/>
          <w:sz w:val="19"/>
        </w:rPr>
        <w:t>BillingAddress</w:t>
      </w:r>
      <w:r>
        <w:rPr>
          <w:color w:val="202020"/>
        </w:rPr>
        <w:t>) is assembled from component fields (</w:t>
      </w:r>
      <w:r>
        <w:rPr>
          <w:rFonts w:ascii="Consolas" w:hAnsi="Consolas"/>
          <w:color w:val="202020"/>
          <w:sz w:val="19"/>
        </w:rPr>
        <w:t>BillingStreet</w:t>
      </w:r>
      <w:r>
        <w:rPr>
          <w:color w:val="202020"/>
        </w:rPr>
        <w:t xml:space="preserve">, </w:t>
      </w:r>
      <w:r>
        <w:rPr>
          <w:rFonts w:ascii="Consolas" w:hAnsi="Consolas"/>
          <w:color w:val="202020"/>
          <w:sz w:val="19"/>
        </w:rPr>
        <w:t>BillingCity</w:t>
      </w:r>
      <w:r>
        <w:rPr>
          <w:color w:val="202020"/>
        </w:rPr>
        <w:t xml:space="preserve">, …). </w:t>
      </w:r>
      <w:r>
        <w:rPr>
          <w:rFonts w:ascii="Consolas" w:hAnsi="Consolas"/>
          <w:color w:val="202020"/>
          <w:sz w:val="19"/>
        </w:rPr>
        <w:t>FieldPermissions</w:t>
      </w:r>
      <w:r>
        <w:rPr>
          <w:color w:val="202020"/>
        </w:rPr>
        <w:t xml:space="preserve"> governs only the </w:t>
      </w:r>
      <w:r>
        <w:rPr>
          <w:b/>
          <w:color w:val="202020"/>
        </w:rPr>
        <w:t>components</w:t>
      </w:r>
      <w:r>
        <w:rPr>
          <w:color w:val="202020"/>
        </w:rPr>
        <w:t xml:space="preserve">; the compound itself carries no permission rows, so a compound value can never be FLS-checked. </w:t>
      </w:r>
      <w:r>
        <w:rPr>
          <w:rFonts w:ascii="Consolas" w:hAnsi="Consolas"/>
          <w:color w:val="202020"/>
          <w:sz w:val="19"/>
        </w:rPr>
        <w:t>config/schema.json</w:t>
      </w:r>
      <w:r>
        <w:rPr>
          <w:color w:val="202020"/>
        </w:rPr>
        <w:t xml:space="preserve"> therefore now selects the address </w:t>
      </w:r>
      <w:r>
        <w:rPr>
          <w:b/>
          <w:color w:val="202020"/>
        </w:rPr>
        <w:t>components individually</w:t>
      </w:r>
      <w:r>
        <w:rPr>
          <w:color w:val="202020"/>
        </w:rPr>
        <w:t xml:space="preserve"> — each carries real </w:t>
      </w:r>
      <w:r>
        <w:rPr>
          <w:rFonts w:ascii="Consolas" w:hAnsi="Consolas"/>
          <w:color w:val="202020"/>
          <w:sz w:val="19"/>
        </w:rPr>
        <w:t>FieldPermissions</w:t>
      </w:r>
      <w:r>
        <w:rPr>
          <w:color w:val="202020"/>
        </w:rPr>
        <w:t xml:space="preserve"> evidence and is gated by its </w:t>
      </w:r>
      <w:r>
        <w:rPr>
          <w:b/>
          <w:color w:val="202020"/>
        </w:rPr>
        <w:t>literal name</w:t>
      </w:r>
      <w:r>
        <w:rPr>
          <w:color w:val="202020"/>
        </w:rPr>
        <w:t xml:space="preserve"> — and a per-object </w:t>
      </w:r>
      <w:r>
        <w:rPr>
          <w:rFonts w:ascii="Consolas" w:hAnsi="Consolas"/>
          <w:color w:val="202020"/>
          <w:sz w:val="19"/>
        </w:rPr>
        <w:t>addressFields</w:t>
      </w:r>
      <w:r>
        <w:rPr>
          <w:color w:val="202020"/>
        </w:rPr>
        <w:t xml:space="preserve"> map declares how they are reassembled into the displayed address. When nothing is restricted the assembled text is byte-identical to the old compound serialisation; a restricted component simply vanishes from it. Anything still compound-shaped (a custom address compound, a geolocation, a Person-Account address, or an operator config that still lists a compound) </w:t>
      </w:r>
      <w:r>
        <w:rPr>
          <w:b/>
          <w:color w:val="202020"/>
        </w:rPr>
        <w:t>fails closed</w:t>
      </w:r>
      <w:r>
        <w:rPr>
          <w:color w:val="202020"/>
        </w:rPr>
        <w:t xml:space="preserve">: it is indexed by no route, and the connector logs a warning naming the field and pointing at </w:t>
      </w:r>
      <w:r>
        <w:rPr>
          <w:rFonts w:ascii="Consolas" w:hAnsi="Consolas"/>
          <w:color w:val="202020"/>
          <w:sz w:val="19"/>
        </w:rPr>
        <w:t>addressFields</w:t>
      </w:r>
      <w:r>
        <w:rPr>
          <w:color w:val="202020"/>
        </w:rPr>
        <w:t>.</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Why the compound feature was removed, not patched: </w:t>
            </w:r>
            <w:r>
              <w:rPr>
                <w:color w:val="202020"/>
                <w:sz w:val="20"/>
              </w:rPr>
              <w:t xml:space="preserve">An earlier fix that </w:t>
            </w:r>
            <w:r>
              <w:rPr>
                <w:b/>
                <w:color w:val="202020"/>
                <w:sz w:val="20"/>
              </w:rPr>
              <w:t>inferred</w:t>
            </w:r>
            <w:r>
              <w:rPr>
                <w:color w:val="202020"/>
                <w:sz w:val="20"/>
              </w:rPr>
              <w:t xml:space="preserve"> a compound's components from field names was </w:t>
            </w:r>
            <w:r>
              <w:rPr>
                <w:b/>
                <w:color w:val="202020"/>
                <w:sz w:val="20"/>
              </w:rPr>
              <w:t>deleted as unsound</w:t>
            </w:r>
            <w:r>
              <w:rPr>
                <w:color w:val="202020"/>
                <w:sz w:val="20"/>
              </w:rPr>
              <w:t xml:space="preserve"> rather than patched: on a Person-Accounts org it dropped </w:t>
            </w:r>
            <w:r>
              <w:rPr>
                <w:rFonts w:ascii="Consolas" w:hAnsi="Consolas"/>
                <w:color w:val="202020"/>
                <w:sz w:val="19"/>
              </w:rPr>
              <w:t>Account.Name</w:t>
            </w:r>
            <w:r>
              <w:rPr>
                <w:color w:val="202020"/>
                <w:sz w:val="20"/>
              </w:rPr>
              <w:t xml:space="preserve"> for every account in the org when any name component was restricted (catastrophic data loss), and it never covered the relationship sub-fields it claimed to. The shipped design has no inference anywhere — every gate reads real permission rows under a literal field name — so that failure mode has no mechanism by which to return.</w:t>
            </w:r>
          </w:p>
        </w:tc>
      </w:tr>
    </w:tbl>
    <w:p>
      <w:pPr>
        <w:spacing w:after="40"/>
      </w:pPr>
    </w:p>
    <w:p>
      <w:pPr>
        <w:spacing w:after="120"/>
      </w:pPr>
      <w:r>
        <w:rPr>
          <w:b/>
          <w:color w:val="202020"/>
        </w:rPr>
        <w:t>Aliases are gated as a closure.</w:t>
      </w:r>
      <w:r>
        <w:rPr>
          <w:color w:val="202020"/>
        </w:rPr>
        <w:t xml:space="preserve"> Some fields feed more than one property — </w:t>
      </w:r>
      <w:r>
        <w:rPr>
          <w:rFonts w:ascii="Consolas" w:hAnsi="Consolas"/>
          <w:color w:val="202020"/>
          <w:sz w:val="19"/>
        </w:rPr>
        <w:t>CreatedById</w:t>
      </w:r>
      <w:r>
        <w:rPr>
          <w:color w:val="202020"/>
        </w:rPr>
        <w:t xml:space="preserve"> feeds both </w:t>
      </w:r>
      <w:r>
        <w:rPr>
          <w:rFonts w:ascii="Consolas" w:hAnsi="Consolas"/>
          <w:color w:val="202020"/>
          <w:sz w:val="19"/>
        </w:rPr>
        <w:t>CreatedByUrl</w:t>
      </w:r>
      <w:r>
        <w:rPr>
          <w:color w:val="202020"/>
        </w:rPr>
        <w:t xml:space="preserve"> and the internal </w:t>
      </w:r>
      <w:r>
        <w:rPr>
          <w:rFonts w:ascii="Consolas" w:hAnsi="Consolas"/>
          <w:color w:val="202020"/>
          <w:sz w:val="19"/>
        </w:rPr>
        <w:t>__System.User.CreatedBy.Id</w:t>
      </w:r>
      <w:r>
        <w:rPr>
          <w:color w:val="202020"/>
        </w:rPr>
        <w:t xml:space="preserve"> property (likewise </w:t>
      </w:r>
      <w:r>
        <w:rPr>
          <w:rFonts w:ascii="Consolas" w:hAnsi="Consolas"/>
          <w:color w:val="202020"/>
          <w:sz w:val="19"/>
        </w:rPr>
        <w:t>LastModifiedById</w:t>
      </w:r>
      <w:r>
        <w:rPr>
          <w:color w:val="202020"/>
        </w:rPr>
        <w:t xml:space="preserve"> / </w:t>
      </w:r>
      <w:r>
        <w:rPr>
          <w:rFonts w:ascii="Consolas" w:hAnsi="Consolas"/>
          <w:color w:val="202020"/>
          <w:sz w:val="19"/>
        </w:rPr>
        <w:t>LastModifiedByUrl</w:t>
      </w:r>
      <w:r>
        <w:rPr>
          <w:color w:val="202020"/>
        </w:rPr>
        <w:t xml:space="preserve">). A drop written in </w:t>
      </w:r>
      <w:r>
        <w:rPr>
          <w:b/>
          <w:color w:val="202020"/>
        </w:rPr>
        <w:t>any</w:t>
      </w:r>
      <w:r>
        <w:rPr>
          <w:color w:val="202020"/>
        </w:rPr>
        <w:t xml:space="preserve"> of a field's spellings — its Salesforce name, its mapped Graph property, its metadata property or its </w:t>
      </w:r>
      <w:r>
        <w:rPr>
          <w:rFonts w:ascii="Consolas" w:hAnsi="Consolas"/>
          <w:color w:val="202020"/>
          <w:sz w:val="19"/>
        </w:rPr>
        <w:t>__System.*</w:t>
      </w:r>
      <w:r>
        <w:rPr>
          <w:color w:val="202020"/>
        </w:rPr>
        <w:t xml:space="preserve"> property — now gates </w:t>
      </w:r>
      <w:r>
        <w:rPr>
          <w:b/>
          <w:color w:val="202020"/>
        </w:rPr>
        <w:t>all</w:t>
      </w:r>
      <w:r>
        <w:rPr>
          <w:color w:val="202020"/>
        </w:rPr>
        <w:t xml:space="preserve"> the properties that field feeds, in every direction. (Previously the </w:t>
      </w:r>
      <w:r>
        <w:rPr>
          <w:rFonts w:ascii="Consolas" w:hAnsi="Consolas"/>
          <w:color w:val="202020"/>
          <w:sz w:val="19"/>
        </w:rPr>
        <w:t>__System.*</w:t>
      </w:r>
      <w:r>
        <w:rPr>
          <w:color w:val="202020"/>
        </w:rPr>
        <w:t xml:space="preserve"> spelling gated only the system column and left </w:t>
      </w:r>
      <w:r>
        <w:rPr>
          <w:rFonts w:ascii="Consolas" w:hAnsi="Consolas"/>
          <w:color w:val="202020"/>
          <w:sz w:val="19"/>
        </w:rPr>
        <w:t>CreatedByUrl</w:t>
      </w:r>
      <w:r>
        <w:rPr>
          <w:color w:val="202020"/>
        </w:rPr>
        <w:t xml:space="preserve"> publishing the same user Id.)</w:t>
      </w:r>
    </w:p>
    <w:p>
      <w:pPr>
        <w:spacing w:after="120"/>
      </w:pPr>
      <w:r>
        <w:rPr>
          <w:b/>
          <w:color w:val="202020"/>
        </w:rPr>
        <w:t>Cross-object (dotted) fields.</w:t>
      </w:r>
      <w:r>
        <w:rPr>
          <w:color w:val="202020"/>
        </w:rPr>
        <w:t xml:space="preserve"> A key like </w:t>
      </w:r>
      <w:r>
        <w:rPr>
          <w:rFonts w:ascii="Consolas" w:hAnsi="Consolas"/>
          <w:color w:val="202020"/>
          <w:sz w:val="19"/>
        </w:rPr>
        <w:t>Contact.Phone</w:t>
      </w:r>
      <w:r>
        <w:rPr>
          <w:color w:val="202020"/>
        </w:rPr>
        <w:t xml:space="preserve"> on Case indexes a field whose FLS lives in </w:t>
      </w:r>
      <w:r>
        <w:rPr>
          <w:b/>
          <w:color w:val="202020"/>
        </w:rPr>
        <w:t>Contact's</w:t>
      </w:r>
      <w:r>
        <w:rPr>
          <w:color w:val="202020"/>
        </w:rPr>
        <w:t xml:space="preserve"> permissions, not Case's. The target object is </w:t>
      </w:r>
      <w:r>
        <w:rPr>
          <w:b/>
          <w:color w:val="202020"/>
        </w:rPr>
        <w:t>operator-declared</w:t>
      </w:r>
      <w:r>
        <w:rPr>
          <w:color w:val="202020"/>
        </w:rPr>
        <w:t xml:space="preserve"> in a per-object </w:t>
      </w:r>
      <w:r>
        <w:rPr>
          <w:rFonts w:ascii="Consolas" w:hAnsi="Consolas"/>
          <w:color w:val="202020"/>
          <w:sz w:val="19"/>
        </w:rPr>
        <w:t>relationshipObjects</w:t>
      </w:r>
      <w:r>
        <w:rPr>
          <w:color w:val="202020"/>
        </w:rPr>
        <w:t xml:space="preserve"> map — never guessed — and </w:t>
      </w:r>
      <w:r>
        <w:rPr>
          <w:rFonts w:ascii="Consolas" w:hAnsi="Consolas"/>
          <w:color w:val="202020"/>
          <w:sz w:val="19"/>
        </w:rPr>
        <w:t>FLS_RELATIONSHIP_FIELDS</w:t>
      </w:r>
      <w:r>
        <w:rPr>
          <w:color w:val="202020"/>
        </w:rPr>
        <w:t xml:space="preserve"> controls the behaviour: </w:t>
      </w:r>
      <w:r>
        <w:rPr>
          <w:rFonts w:ascii="Consolas" w:hAnsi="Consolas"/>
          <w:color w:val="202020"/>
          <w:sz w:val="19"/>
        </w:rPr>
        <w:t>evaluate</w:t>
      </w:r>
      <w:r>
        <w:rPr>
          <w:color w:val="202020"/>
        </w:rPr>
        <w:t xml:space="preserve"> (default) judges the sub-field against the declared object's permissions, </w:t>
      </w:r>
      <w:r>
        <w:rPr>
          <w:rFonts w:ascii="Consolas" w:hAnsi="Consolas"/>
          <w:color w:val="202020"/>
          <w:sz w:val="19"/>
        </w:rPr>
        <w:t>drop</w:t>
      </w:r>
      <w:r>
        <w:rPr>
          <w:color w:val="202020"/>
        </w:rPr>
        <w:t xml:space="preserve"> withholds every dotted field, </w:t>
      </w:r>
      <w:r>
        <w:rPr>
          <w:rFonts w:ascii="Consolas" w:hAnsi="Consolas"/>
          <w:color w:val="202020"/>
          <w:sz w:val="19"/>
        </w:rPr>
        <w:t>ignore</w:t>
      </w:r>
      <w:r>
        <w:rPr>
          <w:color w:val="202020"/>
        </w:rPr>
        <w:t xml:space="preserve"> restores the old un-evaluated behaviour (re-opens a known over-sharing gap; escape hatch only). An undeclared relationship fails closed — the field is dropped.</w:t>
      </w:r>
    </w:p>
    <w:p>
      <w:pPr>
        <w:spacing w:after="120"/>
      </w:pPr>
      <w:r>
        <w:rPr>
          <w:b/>
          <w:color w:val="202020"/>
        </w:rPr>
        <w:t xml:space="preserve">The operator's lever: </w:t>
      </w:r>
      <w:r>
        <w:rPr>
          <w:rFonts w:ascii="Consolas" w:hAnsi="Consolas"/>
          <w:b/>
          <w:color w:val="202020"/>
          <w:sz w:val="19"/>
        </w:rPr>
        <w:t>flsFields</w:t>
      </w:r>
      <w:r>
        <w:rPr>
          <w:b/>
          <w:color w:val="202020"/>
        </w:rPr>
        <w:t>.</w:t>
      </w:r>
      <w:r>
        <w:rPr>
          <w:color w:val="202020"/>
        </w:rPr>
        <w:t xml:space="preserve"> The per-object </w:t>
      </w:r>
      <w:r>
        <w:rPr>
          <w:rFonts w:ascii="Consolas" w:hAnsi="Consolas"/>
          <w:color w:val="202020"/>
          <w:sz w:val="19"/>
        </w:rPr>
        <w:t>flsFields</w:t>
      </w:r>
      <w:r>
        <w:rPr>
          <w:color w:val="202020"/>
        </w:rPr>
        <w:t xml:space="preserve"> array in </w:t>
      </w:r>
      <w:r>
        <w:rPr>
          <w:rFonts w:ascii="Consolas" w:hAnsi="Consolas"/>
          <w:color w:val="202020"/>
          <w:sz w:val="19"/>
        </w:rPr>
        <w:t>config/schema.json</w:t>
      </w:r>
      <w:r>
        <w:rPr>
          <w:color w:val="202020"/>
        </w:rPr>
        <w:t xml:space="preserve"> still works and is </w:t>
      </w:r>
      <w:r>
        <w:rPr>
          <w:b/>
          <w:color w:val="202020"/>
        </w:rPr>
        <w:t>unioned</w:t>
      </w:r>
      <w:r>
        <w:rPr>
          <w:color w:val="202020"/>
        </w:rPr>
        <w:t xml:space="preserve"> with the fetched permissions — a fetch that says "everything is readable" can never clear your explicit entry. It now reaches </w:t>
      </w:r>
      <w:r>
        <w:rPr>
          <w:b/>
          <w:color w:val="202020"/>
        </w:rPr>
        <w:t>into</w:t>
      </w:r>
      <w:r>
        <w:rPr>
          <w:color w:val="202020"/>
        </w:rPr>
        <w:t xml:space="preserve"> an address: listing </w:t>
      </w:r>
      <w:r>
        <w:rPr>
          <w:rFonts w:ascii="Consolas" w:hAnsi="Consolas"/>
          <w:color w:val="202020"/>
          <w:sz w:val="19"/>
        </w:rPr>
        <w:t>BillingPostalCode</w:t>
      </w:r>
      <w:r>
        <w:rPr>
          <w:color w:val="202020"/>
        </w:rPr>
        <w:t xml:space="preserve"> withholds the postal code and keeps the rest of the address assembled. Listing the compound itself (</w:t>
      </w:r>
      <w:r>
        <w:rPr>
          <w:rFonts w:ascii="Consolas" w:hAnsi="Consolas"/>
          <w:color w:val="202020"/>
          <w:sz w:val="19"/>
        </w:rPr>
        <w:t>BillingAddress</w:t>
      </w:r>
      <w:r>
        <w:rPr>
          <w:color w:val="202020"/>
        </w:rPr>
        <w:t xml:space="preserve">) no longer does anything, because the compound is not indexed in the first place. Matching is </w:t>
      </w:r>
      <w:r>
        <w:rPr>
          <w:b/>
          <w:color w:val="202020"/>
        </w:rPr>
        <w:t>case-insensitive</w:t>
      </w:r>
      <w:r>
        <w:rPr>
          <w:color w:val="202020"/>
        </w:rPr>
        <w:t xml:space="preserve"> — an entry differing only in case takes effect and logs a warning naming the declared spelling (previously the comparison was ordinal, so a casing typo was a silent no-op that leaked the field in full while looking, in config, exactly like a drop). An entry matching nothing at all also warns. An </w:t>
      </w:r>
      <w:r>
        <w:rPr>
          <w:rFonts w:ascii="Consolas" w:hAnsi="Consolas"/>
          <w:color w:val="202020"/>
          <w:sz w:val="19"/>
        </w:rPr>
        <w:t>flsFields</w:t>
      </w:r>
      <w:r>
        <w:rPr>
          <w:color w:val="202020"/>
        </w:rPr>
        <w:t xml:space="preserve"> entry only nulls a Graph property when it </w:t>
      </w:r>
      <w:r>
        <w:rPr>
          <w:b/>
          <w:color w:val="202020"/>
        </w:rPr>
        <w:t>is</w:t>
      </w:r>
      <w:r>
        <w:rPr>
          <w:color w:val="202020"/>
        </w:rPr>
        <w:t xml:space="preserve"> one, resolved against the deployed schema — a non-property entry no longer posts an undeclared null property to Graph.</w:t>
      </w:r>
    </w:p>
    <w:p>
      <w:pPr>
        <w:spacing w:after="120"/>
      </w:pPr>
      <w:r>
        <w:rPr>
          <w:b/>
          <w:color w:val="202020"/>
        </w:rPr>
        <w:t>Audit trail.</w:t>
      </w:r>
      <w:r>
        <w:rPr>
          <w:color w:val="202020"/>
        </w:rPr>
        <w:t xml:space="preserve"> Every crawl writes </w:t>
      </w:r>
      <w:r>
        <w:rPr>
          <w:rFonts w:ascii="Consolas" w:hAnsi="Consolas"/>
          <w:color w:val="202020"/>
          <w:sz w:val="19"/>
        </w:rPr>
        <w:t>logs\fls_manifest_{CONNECTOR_ID}.json</w:t>
      </w:r>
      <w:r>
        <w:rPr>
          <w:color w:val="202020"/>
        </w:rPr>
        <w:t xml:space="preserve"> recording, per object, which fields were dropped and why (sorted, so successive runs diff meaningfully). Its top-level </w:t>
      </w:r>
      <w:r>
        <w:rPr>
          <w:rFonts w:ascii="Consolas" w:hAnsi="Consolas"/>
          <w:color w:val="202020"/>
          <w:sz w:val="19"/>
        </w:rPr>
        <w:t>suspectedFailOpen</w:t>
      </w:r>
      <w:r>
        <w:rPr>
          <w:color w:val="202020"/>
        </w:rPr>
        <w:t xml:space="preserve"> array is the signal described in the warning below and is worth alerting on.</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Open residuals in FLS: </w:t>
            </w:r>
            <w:r>
              <w:rPr>
                <w:b/>
                <w:color w:val="202020"/>
                <w:sz w:val="20"/>
              </w:rPr>
              <w:t>What FLS does NOT close — read this before relying on it.</w:t>
            </w:r>
            <w:r>
              <w:rPr>
                <w:color w:val="202020"/>
                <w:sz w:val="20"/>
              </w:rPr>
              <w:t xml:space="preserve"> </w:t>
            </w:r>
            <w:r>
              <w:rPr>
                <w:b/>
                <w:color w:val="202020"/>
                <w:sz w:val="20"/>
              </w:rPr>
              <w:t xml:space="preserve">(1) Zero-row </w:t>
            </w:r>
            <w:r>
              <w:rPr>
                <w:rFonts w:ascii="Consolas" w:hAnsi="Consolas"/>
                <w:b/>
                <w:color w:val="202020"/>
                <w:sz w:val="19"/>
              </w:rPr>
              <w:t>FieldPermissions</w:t>
            </w:r>
            <w:r>
              <w:rPr>
                <w:b/>
                <w:color w:val="202020"/>
                <w:sz w:val="20"/>
              </w:rPr>
              <w:t xml:space="preserve"> cannot fail closed.</w:t>
            </w:r>
            <w:r>
              <w:rPr>
                <w:color w:val="202020"/>
                <w:sz w:val="20"/>
              </w:rPr>
              <w:t xml:space="preserve"> A permissions query that succeeds but returns no rows is indistinguishable from an org that genuinely governs nothing, so </w:t>
            </w:r>
            <w:r>
              <w:rPr>
                <w:b/>
                <w:color w:val="202020"/>
                <w:sz w:val="20"/>
              </w:rPr>
              <w:t>no field is dropped</w:t>
            </w:r>
            <w:r>
              <w:rPr>
                <w:color w:val="202020"/>
                <w:sz w:val="20"/>
              </w:rPr>
              <w:t xml:space="preserve">: the connector logs an ERROR naming the over-sharing risk and lists the objects in the manifest's </w:t>
            </w:r>
            <w:r>
              <w:rPr>
                <w:rFonts w:ascii="Consolas" w:hAnsi="Consolas"/>
                <w:color w:val="202020"/>
                <w:sz w:val="19"/>
              </w:rPr>
              <w:t>suspectedFailOpen</w:t>
            </w:r>
            <w:r>
              <w:rPr>
                <w:color w:val="202020"/>
                <w:sz w:val="20"/>
              </w:rPr>
              <w:t xml:space="preserve"> array — a signal, not a drop. </w:t>
            </w:r>
            <w:r>
              <w:rPr>
                <w:b/>
                <w:color w:val="202020"/>
                <w:sz w:val="20"/>
              </w:rPr>
              <w:t>(2) An unexpected FLS-resolution failure does not halt the crawl.</w:t>
            </w:r>
            <w:r>
              <w:rPr>
                <w:color w:val="202020"/>
                <w:sz w:val="20"/>
              </w:rPr>
              <w:t xml:space="preserve"> If fetching permissions throws (e.g. no Salesforce token), the crawl logs an ERROR and </w:t>
            </w:r>
            <w:r>
              <w:rPr>
                <w:b/>
                <w:color w:val="202020"/>
                <w:sz w:val="20"/>
              </w:rPr>
              <w:t>proceeds without the fetched restrictions</w:t>
            </w:r>
            <w:r>
              <w:rPr>
                <w:color w:val="202020"/>
                <w:sz w:val="20"/>
              </w:rPr>
              <w:t xml:space="preserve"> — only your manual </w:t>
            </w:r>
            <w:r>
              <w:rPr>
                <w:rFonts w:ascii="Consolas" w:hAnsi="Consolas"/>
                <w:color w:val="202020"/>
                <w:sz w:val="19"/>
              </w:rPr>
              <w:t>flsFields</w:t>
            </w:r>
            <w:r>
              <w:rPr>
                <w:color w:val="202020"/>
                <w:sz w:val="20"/>
              </w:rPr>
              <w:t xml:space="preserve"> entries apply on that run. Alert on both log lines. </w:t>
            </w:r>
            <w:r>
              <w:rPr>
                <w:b/>
                <w:color w:val="202020"/>
                <w:sz w:val="20"/>
              </w:rPr>
              <w:t>(3) Scope granularity.</w:t>
            </w:r>
            <w:r>
              <w:rPr>
                <w:color w:val="202020"/>
                <w:sz w:val="20"/>
              </w:rPr>
              <w:t xml:space="preserve"> The default union is over every principal that can read the *object*, not the principals on a specific item's ACL — this </w:t>
            </w:r>
            <w:r>
              <w:rPr>
                <w:b/>
                <w:color w:val="202020"/>
                <w:sz w:val="20"/>
              </w:rPr>
              <w:t>over-drops</w:t>
            </w:r>
            <w:r>
              <w:rPr>
                <w:color w:val="202020"/>
                <w:sz w:val="20"/>
              </w:rPr>
              <w:t xml:space="preserve"> on narrowly shared records (never under-drops). </w:t>
            </w:r>
            <w:r>
              <w:rPr>
                <w:b/>
                <w:color w:val="202020"/>
                <w:sz w:val="20"/>
              </w:rPr>
              <w:t>(4) Non-address compounds have no assembly path</w:t>
            </w:r>
            <w:r>
              <w:rPr>
                <w:color w:val="202020"/>
                <w:sz w:val="20"/>
              </w:rPr>
              <w:t xml:space="preserve"> — any other compound an operator selects is suppressed entirely (a deliberate over-drop; the shipped config selects none). </w:t>
            </w:r>
            <w:r>
              <w:rPr>
                <w:b/>
                <w:color w:val="202020"/>
                <w:sz w:val="20"/>
              </w:rPr>
              <w:t>(5) Freshness.</w:t>
            </w:r>
            <w:r>
              <w:rPr>
                <w:color w:val="202020"/>
                <w:sz w:val="20"/>
              </w:rPr>
              <w:t xml:space="preserve"> Permissions are re-read at most every </w:t>
            </w:r>
            <w:r>
              <w:rPr>
                <w:rFonts w:ascii="Consolas" w:hAnsi="Consolas"/>
                <w:color w:val="202020"/>
                <w:sz w:val="19"/>
              </w:rPr>
              <w:t>FLS_CACHE_TTL_HOURS</w:t>
            </w:r>
            <w:r>
              <w:rPr>
                <w:color w:val="202020"/>
                <w:sz w:val="20"/>
              </w:rPr>
              <w:t xml:space="preserve"> (default 24 h); a field restricted mid-window stays indexed until the next fetch. </w:t>
            </w:r>
            <w:r>
              <w:rPr>
                <w:b/>
                <w:color w:val="202020"/>
                <w:sz w:val="20"/>
              </w:rPr>
              <w:t>(6) Metadata columns</w:t>
            </w:r>
            <w:r>
              <w:rPr>
                <w:color w:val="202020"/>
                <w:sz w:val="20"/>
              </w:rPr>
              <w:t xml:space="preserve"> (</w:t>
            </w:r>
            <w:r>
              <w:rPr>
                <w:rFonts w:ascii="Consolas" w:hAnsi="Consolas"/>
                <w:color w:val="202020"/>
                <w:sz w:val="19"/>
              </w:rPr>
              <w:t>Id</w:t>
            </w:r>
            <w:r>
              <w:rPr>
                <w:color w:val="202020"/>
                <w:sz w:val="20"/>
              </w:rPr>
              <w:t xml:space="preserve">, </w:t>
            </w:r>
            <w:r>
              <w:rPr>
                <w:rFonts w:ascii="Consolas" w:hAnsi="Consolas"/>
                <w:color w:val="202020"/>
                <w:sz w:val="19"/>
              </w:rPr>
              <w:t>OwnerId</w:t>
            </w:r>
            <w:r>
              <w:rPr>
                <w:color w:val="202020"/>
                <w:sz w:val="20"/>
              </w:rPr>
              <w:t xml:space="preserve">, </w:t>
            </w:r>
            <w:r>
              <w:rPr>
                <w:rFonts w:ascii="Consolas" w:hAnsi="Consolas"/>
                <w:color w:val="202020"/>
                <w:sz w:val="19"/>
              </w:rPr>
              <w:t>CreatedDate</w:t>
            </w:r>
            <w:r>
              <w:rPr>
                <w:color w:val="202020"/>
                <w:sz w:val="20"/>
              </w:rPr>
              <w:t xml:space="preserve">, …) are not evaluated — the ACL engine depends on them — though an explicit </w:t>
            </w:r>
            <w:r>
              <w:rPr>
                <w:rFonts w:ascii="Consolas" w:hAnsi="Consolas"/>
                <w:color w:val="202020"/>
                <w:sz w:val="19"/>
              </w:rPr>
              <w:t>flsFields</w:t>
            </w:r>
            <w:r>
              <w:rPr>
                <w:color w:val="202020"/>
                <w:sz w:val="20"/>
              </w:rPr>
              <w:t xml:space="preserve"> entry naming one is honoured. </w:t>
            </w:r>
            <w:r>
              <w:rPr>
                <w:b/>
                <w:color w:val="202020"/>
                <w:sz w:val="20"/>
              </w:rPr>
              <w:t>(7) Multi-hop dotted paths</w:t>
            </w:r>
            <w:r>
              <w:rPr>
                <w:color w:val="202020"/>
                <w:sz w:val="20"/>
              </w:rPr>
              <w:t xml:space="preserve"> (</w:t>
            </w:r>
            <w:r>
              <w:rPr>
                <w:rFonts w:ascii="Consolas" w:hAnsi="Consolas"/>
                <w:color w:val="202020"/>
                <w:sz w:val="19"/>
              </w:rPr>
              <w:t>Owner.UserRole.Id</w:t>
            </w:r>
            <w:r>
              <w:rPr>
                <w:color w:val="202020"/>
                <w:sz w:val="20"/>
              </w:rPr>
              <w:t xml:space="preserve">) are not resolved and fail closed under </w:t>
            </w:r>
            <w:r>
              <w:rPr>
                <w:rFonts w:ascii="Consolas" w:hAnsi="Consolas"/>
                <w:color w:val="202020"/>
                <w:sz w:val="19"/>
              </w:rPr>
              <w:t>evaluate</w:t>
            </w:r>
            <w:r>
              <w:rPr>
                <w:color w:val="202020"/>
                <w:sz w:val="20"/>
              </w:rPr>
              <w:t>; none appears in the shipped config.</w:t>
            </w:r>
          </w:p>
        </w:tc>
      </w:tr>
    </w:tbl>
    <w:p>
      <w:pPr>
        <w:spacing w:after="40"/>
      </w:pPr>
    </w:p>
    <w:p>
      <w:pPr>
        <w:pStyle w:val="Heading1"/>
      </w:pPr>
      <w:r>
        <w:rPr>
          <w:color w:val="1F3864"/>
        </w:rPr>
        <w:t>6. The Salesforce sharing model to ACL engine, in depth</w:t>
      </w:r>
    </w:p>
    <w:p>
      <w:pPr>
        <w:spacing w:after="200"/>
      </w:pPr>
      <w:r>
        <w:rPr>
          <w:color w:val="595959"/>
          <w:sz w:val="23"/>
        </w:rPr>
        <w:t>This section is a fuller reference for the engine introduced in §5. You do not need to operate it by hand — it runs automatically as part of every crawl — but you should understand what it does so you can read its logs and recognise when it needs attention.</w:t>
      </w:r>
    </w:p>
    <w:p>
      <w:pPr>
        <w:pStyle w:val="Heading2"/>
      </w:pPr>
      <w:r>
        <w:rPr>
          <w:color w:val="2E5496"/>
        </w:rPr>
        <w:t>6.1 Why it exists</w:t>
      </w:r>
    </w:p>
    <w:p>
      <w:pPr>
        <w:spacing w:after="120"/>
      </w:pPr>
      <w:r>
        <w:rPr>
          <w:color w:val="202020"/>
        </w:rPr>
        <w:t>Microsoft Graph has no knowledge of Salesforce roles, sharing rules, groups, queues or territories. Left to itself, Copilot would either show everything to everyone or nothing to anyone. This engine is the bridge: it reads the org's sharing configuration and produces, per record, the precise Entra audience — so Copilot's trimming matches Salesforce's.</w:t>
      </w:r>
    </w:p>
    <w:p>
      <w:pPr>
        <w:pStyle w:val="Heading2"/>
      </w:pPr>
      <w:r>
        <w:rPr>
          <w:color w:val="2E5496"/>
        </w:rPr>
        <w:t>6.2 How a record is resolved</w:t>
      </w:r>
    </w:p>
    <w:p>
      <w:pPr>
        <w:spacing w:after="120"/>
      </w:pPr>
      <w:r>
        <w:rPr>
          <w:color w:val="202020"/>
        </w:rPr>
        <w:t>For each record the engine decides one of three paths from the object's OWD:</w:t>
      </w:r>
    </w:p>
    <w:p>
      <w:pPr>
        <w:pStyle w:val="ListBullet"/>
        <w:spacing w:after="40"/>
      </w:pPr>
      <w:r>
        <w:rPr>
          <w:b/>
          <w:color w:val="202020"/>
        </w:rPr>
        <w:t>Public OWD</w:t>
      </w:r>
      <w:r>
        <w:rPr>
          <w:color w:val="202020"/>
        </w:rPr>
        <w:t xml:space="preserve"> → grant to everyone. Done.</w:t>
      </w:r>
    </w:p>
    <w:p>
      <w:pPr>
        <w:pStyle w:val="ListBullet"/>
        <w:spacing w:after="40"/>
      </w:pPr>
      <w:r>
        <w:rPr>
          <w:b/>
          <w:color w:val="202020"/>
        </w:rPr>
        <w:t>ControlledByParent OWD</w:t>
      </w:r>
      <w:r>
        <w:rPr>
          <w:color w:val="202020"/>
        </w:rPr>
        <w:t xml:space="preserve"> → find the controlling parent record and inherit its ACL (recursively).</w:t>
      </w:r>
    </w:p>
    <w:p>
      <w:pPr>
        <w:pStyle w:val="ListBullet"/>
        <w:spacing w:after="40"/>
      </w:pPr>
      <w:r>
        <w:rPr>
          <w:b/>
          <w:color w:val="202020"/>
        </w:rPr>
        <w:t>Private OWD</w:t>
      </w:r>
      <w:r>
        <w:rPr>
          <w:color w:val="202020"/>
        </w:rPr>
        <w:t xml:space="preserve"> → build a private ACL from owner + role hierarchy + shares + groups/queues + territories, then map each user to an Entra identity.</w:t>
      </w:r>
    </w:p>
    <w:p>
      <w:pPr>
        <w:spacing w:after="120"/>
      </w:pPr>
      <w:r>
        <w:rPr>
          <w:color w:val="202020"/>
        </w:rPr>
        <w:t>The connector uses a modular engine by default (</w:t>
      </w:r>
      <w:r>
        <w:rPr>
          <w:rFonts w:ascii="Consolas" w:hAnsi="Consolas"/>
          <w:color w:val="202020"/>
          <w:sz w:val="19"/>
        </w:rPr>
        <w:t>USE_NEW_ACL_ENGINE=true</w:t>
      </w:r>
      <w:r>
        <w:rPr>
          <w:color w:val="202020"/>
        </w:rPr>
        <w:t xml:space="preserve">); a legacy resolver is available for compatibility. Group-based ACLs (public groups, queues, roles, territories) are enabled by </w:t>
      </w:r>
      <w:r>
        <w:rPr>
          <w:rFonts w:ascii="Consolas" w:hAnsi="Consolas"/>
          <w:color w:val="202020"/>
          <w:sz w:val="19"/>
        </w:rPr>
        <w:t>USE_GROUP_ACL=true</w:t>
      </w:r>
      <w:r>
        <w:rPr>
          <w:color w:val="202020"/>
        </w:rPr>
        <w:t xml:space="preserve"> (default), which requires an </w:t>
      </w:r>
      <w:r>
        <w:rPr>
          <w:b/>
          <w:color w:val="202020"/>
        </w:rPr>
        <w:t>identity crawl</w:t>
      </w:r>
      <w:r>
        <w:rPr>
          <w:color w:val="202020"/>
        </w:rPr>
        <w:t xml:space="preserve"> to run before content — </w:t>
      </w:r>
      <w:r>
        <w:rPr>
          <w:rFonts w:ascii="Consolas" w:hAnsi="Consolas"/>
          <w:color w:val="202020"/>
          <w:sz w:val="19"/>
        </w:rPr>
        <w:t>full-deployment</w:t>
      </w:r>
      <w:r>
        <w:rPr>
          <w:color w:val="202020"/>
        </w:rPr>
        <w:t xml:space="preserve"> does this for you.</w:t>
      </w:r>
    </w:p>
    <w:p>
      <w:pPr>
        <w:pStyle w:val="Heading2"/>
      </w:pPr>
      <w:r>
        <w:rPr>
          <w:color w:val="2E5496"/>
        </w:rPr>
        <w:t>6.3 OWD values you will see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600"/>
        <w:gridCol w:w="5760"/>
      </w:tblGrid>
      <w:tr>
        <w:tc>
          <w:tcPr>
            <w:tcW w:type="dxa" w:w="3600"/>
            <w:shd w:val="clear" w:color="auto" w:fill="2E5496"/>
          </w:tcPr>
          <w:p>
            <w:r>
              <w:rPr>
                <w:b/>
                <w:color w:val="FFFFFF"/>
                <w:sz w:val="19"/>
              </w:rPr>
              <w:t>OWD value</w:t>
            </w:r>
          </w:p>
        </w:tc>
        <w:tc>
          <w:tcPr>
            <w:tcW w:type="dxa" w:w="5760"/>
            <w:shd w:val="clear" w:color="auto" w:fill="2E5496"/>
          </w:tcPr>
          <w:p>
            <w:r>
              <w:rPr>
                <w:b/>
                <w:color w:val="FFFFFF"/>
                <w:sz w:val="19"/>
              </w:rPr>
              <w:t>Meaning for the engine</w:t>
            </w:r>
          </w:p>
        </w:tc>
      </w:tr>
      <w:tr>
        <w:tc>
          <w:tcPr>
            <w:tcW w:type="dxa" w:w="3600"/>
          </w:tcPr>
          <w:p>
            <w:r>
              <w:rPr>
                <w:color w:val="202020"/>
                <w:sz w:val="19"/>
              </w:rPr>
              <w:t>Read / Edit / ReadEditTransfer / All</w:t>
            </w:r>
          </w:p>
        </w:tc>
        <w:tc>
          <w:tcPr>
            <w:tcW w:type="dxa" w:w="5760"/>
          </w:tcPr>
          <w:p>
            <w:r>
              <w:rPr>
                <w:color w:val="202020"/>
                <w:sz w:val="19"/>
              </w:rPr>
              <w:t>Public — record granted to everyone.</w:t>
            </w:r>
          </w:p>
        </w:tc>
      </w:tr>
      <w:tr>
        <w:tc>
          <w:tcPr>
            <w:tcW w:type="dxa" w:w="3600"/>
            <w:shd w:val="clear" w:color="auto" w:fill="F7F9FC"/>
          </w:tcPr>
          <w:p>
            <w:r>
              <w:rPr>
                <w:color w:val="202020"/>
                <w:sz w:val="19"/>
              </w:rPr>
              <w:t>None (Private)</w:t>
            </w:r>
          </w:p>
        </w:tc>
        <w:tc>
          <w:tcPr>
            <w:tcW w:type="dxa" w:w="5760"/>
            <w:shd w:val="clear" w:color="auto" w:fill="F7F9FC"/>
          </w:tcPr>
          <w:p>
            <w:r>
              <w:rPr>
                <w:color w:val="202020"/>
                <w:sz w:val="19"/>
              </w:rPr>
              <w:t>Private — build a per-record ACL.</w:t>
            </w:r>
          </w:p>
        </w:tc>
      </w:tr>
      <w:tr>
        <w:tc>
          <w:tcPr>
            <w:tcW w:type="dxa" w:w="3600"/>
          </w:tcPr>
          <w:p>
            <w:r>
              <w:rPr>
                <w:color w:val="202020"/>
                <w:sz w:val="19"/>
              </w:rPr>
              <w:t>ControlledByParent</w:t>
            </w:r>
          </w:p>
        </w:tc>
        <w:tc>
          <w:tcPr>
            <w:tcW w:type="dxa" w:w="5760"/>
          </w:tcPr>
          <w:p>
            <w:r>
              <w:rPr>
                <w:color w:val="202020"/>
                <w:sz w:val="19"/>
              </w:rPr>
              <w:t>Inherit the parent record's ACL.</w:t>
            </w:r>
          </w:p>
        </w:tc>
      </w:tr>
      <w:tr>
        <w:tc>
          <w:tcPr>
            <w:tcW w:type="dxa" w:w="3600"/>
            <w:shd w:val="clear" w:color="auto" w:fill="F7F9FC"/>
          </w:tcPr>
          <w:p>
            <w:r>
              <w:rPr>
                <w:color w:val="202020"/>
                <w:sz w:val="19"/>
              </w:rPr>
              <w:t>ControlledByCampaign / ControlledByLeadOrContact</w:t>
            </w:r>
          </w:p>
        </w:tc>
        <w:tc>
          <w:tcPr>
            <w:tcW w:type="dxa" w:w="5760"/>
            <w:shd w:val="clear" w:color="auto" w:fill="F7F9FC"/>
          </w:tcPr>
          <w:p>
            <w:r>
              <w:rPr>
                <w:color w:val="202020"/>
                <w:sz w:val="19"/>
              </w:rPr>
              <w:t>Normalised to None (Private) for Account/Opportunity.</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If the connector cannot read an OWD value for any reason, it defaults that object to </w:t>
            </w:r>
            <w:r>
              <w:rPr>
                <w:b/>
                <w:color w:val="202020"/>
                <w:sz w:val="20"/>
              </w:rPr>
              <w:t>None (Private)</w:t>
            </w:r>
            <w:r>
              <w:rPr>
                <w:color w:val="202020"/>
                <w:sz w:val="20"/>
              </w:rPr>
              <w:t xml:space="preserve"> — never to a public value. This fail-closed choice preserves least privilege: a lookup failure can only ever under-grant, never over-share.</w:t>
            </w:r>
          </w:p>
        </w:tc>
      </w:tr>
    </w:tbl>
    <w:p>
      <w:pPr>
        <w:spacing w:after="40"/>
      </w:pPr>
    </w:p>
    <w:p>
      <w:pPr>
        <w:pStyle w:val="Heading2"/>
      </w:pPr>
      <w:r>
        <w:rPr>
          <w:color w:val="2E5496"/>
        </w:rPr>
        <w:t>6.4 Group and queue expansion</w:t>
      </w:r>
    </w:p>
    <w:p>
      <w:pPr>
        <w:spacing w:after="120"/>
      </w:pPr>
      <w:r>
        <w:rPr>
          <w:color w:val="202020"/>
        </w:rPr>
        <w:t>When a share names a group rather than a user, the engine expands it by its Salesforce group type: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600"/>
        <w:gridCol w:w="5760"/>
      </w:tblGrid>
      <w:tr>
        <w:tc>
          <w:tcPr>
            <w:tcW w:type="dxa" w:w="3600"/>
            <w:shd w:val="clear" w:color="auto" w:fill="2E5496"/>
          </w:tcPr>
          <w:p>
            <w:r>
              <w:rPr>
                <w:b/>
                <w:color w:val="FFFFFF"/>
                <w:sz w:val="19"/>
              </w:rPr>
              <w:t>Group type</w:t>
            </w:r>
          </w:p>
        </w:tc>
        <w:tc>
          <w:tcPr>
            <w:tcW w:type="dxa" w:w="5760"/>
            <w:shd w:val="clear" w:color="auto" w:fill="2E5496"/>
          </w:tcPr>
          <w:p>
            <w:r>
              <w:rPr>
                <w:b/>
                <w:color w:val="FFFFFF"/>
                <w:sz w:val="19"/>
              </w:rPr>
              <w:t>Expands to</w:t>
            </w:r>
          </w:p>
        </w:tc>
      </w:tr>
      <w:tr>
        <w:tc>
          <w:tcPr>
            <w:tcW w:type="dxa" w:w="3600"/>
          </w:tcPr>
          <w:p>
            <w:r>
              <w:rPr>
                <w:color w:val="202020"/>
                <w:sz w:val="19"/>
              </w:rPr>
              <w:t>Organization</w:t>
            </w:r>
          </w:p>
        </w:tc>
        <w:tc>
          <w:tcPr>
            <w:tcW w:type="dxa" w:w="5760"/>
          </w:tcPr>
          <w:p>
            <w:r>
              <w:rPr>
                <w:color w:val="202020"/>
                <w:sz w:val="19"/>
              </w:rPr>
              <w:t>Everyone (sets the public flag).</w:t>
            </w:r>
          </w:p>
        </w:tc>
      </w:tr>
      <w:tr>
        <w:tc>
          <w:tcPr>
            <w:tcW w:type="dxa" w:w="3600"/>
            <w:shd w:val="clear" w:color="auto" w:fill="F7F9FC"/>
          </w:tcPr>
          <w:p>
            <w:r>
              <w:rPr>
                <w:color w:val="202020"/>
                <w:sz w:val="19"/>
              </w:rPr>
              <w:t>Role</w:t>
            </w:r>
          </w:p>
        </w:tc>
        <w:tc>
          <w:tcPr>
            <w:tcW w:type="dxa" w:w="5760"/>
            <w:shd w:val="clear" w:color="auto" w:fill="F7F9FC"/>
          </w:tcPr>
          <w:p>
            <w:r>
              <w:rPr>
                <w:color w:val="202020"/>
                <w:sz w:val="19"/>
              </w:rPr>
              <w:t>Users in that role.</w:t>
            </w:r>
          </w:p>
        </w:tc>
      </w:tr>
      <w:tr>
        <w:tc>
          <w:tcPr>
            <w:tcW w:type="dxa" w:w="3600"/>
          </w:tcPr>
          <w:p>
            <w:r>
              <w:rPr>
                <w:color w:val="202020"/>
                <w:sz w:val="19"/>
              </w:rPr>
              <w:t>RoleAndSubordinates / …Internal</w:t>
            </w:r>
          </w:p>
        </w:tc>
        <w:tc>
          <w:tcPr>
            <w:tcW w:type="dxa" w:w="5760"/>
          </w:tcPr>
          <w:p>
            <w:r>
              <w:rPr>
                <w:color w:val="202020"/>
                <w:sz w:val="19"/>
              </w:rPr>
              <w:t>Users in that role and all descendant roles.</w:t>
            </w:r>
          </w:p>
        </w:tc>
      </w:tr>
      <w:tr>
        <w:tc>
          <w:tcPr>
            <w:tcW w:type="dxa" w:w="3600"/>
            <w:shd w:val="clear" w:color="auto" w:fill="F7F9FC"/>
          </w:tcPr>
          <w:p>
            <w:r>
              <w:rPr>
                <w:color w:val="202020"/>
                <w:sz w:val="19"/>
              </w:rPr>
              <w:t>Manager</w:t>
            </w:r>
          </w:p>
        </w:tc>
        <w:tc>
          <w:tcPr>
            <w:tcW w:type="dxa" w:w="5760"/>
            <w:shd w:val="clear" w:color="auto" w:fill="F7F9FC"/>
          </w:tcPr>
          <w:p>
            <w:r>
              <w:rPr>
                <w:color w:val="202020"/>
                <w:sz w:val="19"/>
              </w:rPr>
              <w:t>The manager's direct reports.</w:t>
            </w:r>
          </w:p>
        </w:tc>
      </w:tr>
      <w:tr>
        <w:tc>
          <w:tcPr>
            <w:tcW w:type="dxa" w:w="3600"/>
          </w:tcPr>
          <w:p>
            <w:r>
              <w:rPr>
                <w:color w:val="202020"/>
                <w:sz w:val="19"/>
              </w:rPr>
              <w:t>ManagerAndSubordinatesInternal</w:t>
            </w:r>
          </w:p>
        </w:tc>
        <w:tc>
          <w:tcPr>
            <w:tcW w:type="dxa" w:w="5760"/>
          </w:tcPr>
          <w:p>
            <w:r>
              <w:rPr>
                <w:color w:val="202020"/>
                <w:sz w:val="19"/>
              </w:rPr>
              <w:t>The manager's full reporting chain.</w:t>
            </w:r>
          </w:p>
        </w:tc>
      </w:tr>
      <w:tr>
        <w:tc>
          <w:tcPr>
            <w:tcW w:type="dxa" w:w="3600"/>
            <w:shd w:val="clear" w:color="auto" w:fill="F7F9FC"/>
          </w:tcPr>
          <w:p>
            <w:r>
              <w:rPr>
                <w:color w:val="202020"/>
                <w:sz w:val="19"/>
              </w:rPr>
              <w:t>Regular / Queue</w:t>
            </w:r>
          </w:p>
        </w:tc>
        <w:tc>
          <w:tcPr>
            <w:tcW w:type="dxa" w:w="5760"/>
            <w:shd w:val="clear" w:color="auto" w:fill="F7F9FC"/>
          </w:tcPr>
          <w:p>
            <w:r>
              <w:rPr>
                <w:color w:val="202020"/>
                <w:sz w:val="19"/>
              </w:rPr>
              <w:t>Member users, expanded recursively (queues are Group records too).</w:t>
            </w:r>
          </w:p>
        </w:tc>
      </w:tr>
    </w:tbl>
    <w:p>
      <w:pPr>
        <w:spacing w:after="40"/>
      </w:pPr>
    </w:p>
    <w:p>
      <w:pPr>
        <w:pStyle w:val="Heading2"/>
      </w:pPr>
      <w:r>
        <w:rPr>
          <w:color w:val="2E5496"/>
        </w:rPr>
        <w:t>6.5 Cycle detection and the depth cap</w:t>
      </w:r>
    </w:p>
    <w:p>
      <w:pPr>
        <w:spacing w:after="120"/>
      </w:pPr>
      <w:r>
        <w:rPr>
          <w:color w:val="202020"/>
        </w:rPr>
        <w:t>Salesforce groups can reference other groups, and misconfigured orgs can contain loops. The engine guards against two failure modes so a bad configuration cannot hang or crash a long-running crawl:</w:t>
      </w:r>
    </w:p>
    <w:p>
      <w:pPr>
        <w:pStyle w:val="ListBullet"/>
        <w:spacing w:after="40"/>
      </w:pPr>
      <w:r>
        <w:rPr>
          <w:b/>
          <w:color w:val="202020"/>
        </w:rPr>
        <w:t>Cycle detection.</w:t>
      </w:r>
      <w:r>
        <w:rPr>
          <w:color w:val="202020"/>
        </w:rPr>
        <w:t xml:space="preserve"> Group expansion tracks the chain of groups it is currently walking (a "visited" set). If it meets a group already on that chain, it recognises the loop, logs </w:t>
      </w:r>
      <w:r>
        <w:rPr>
          <w:rFonts w:ascii="Consolas" w:hAnsi="Consolas"/>
          <w:color w:val="202020"/>
          <w:sz w:val="19"/>
        </w:rPr>
        <w:t>Cyclic group membership detected at &lt;id&gt;; skipping nested reference</w:t>
      </w:r>
      <w:r>
        <w:rPr>
          <w:color w:val="202020"/>
        </w:rPr>
        <w:t>, and does not recurse into it. Groups above the cycle still resolve fully.</w:t>
      </w:r>
    </w:p>
    <w:p>
      <w:pPr>
        <w:pStyle w:val="ListBullet"/>
        <w:spacing w:after="40"/>
      </w:pPr>
      <w:r>
        <w:rPr>
          <w:b/>
          <w:color w:val="202020"/>
        </w:rPr>
        <w:t>Nesting depth cap.</w:t>
      </w:r>
      <w:r>
        <w:rPr>
          <w:color w:val="202020"/>
        </w:rPr>
        <w:t xml:space="preserve"> Group nesting is capped (about 400 levels) as a stack-safety backstop; real orgs are only a few levels deep. If the cap is hit the branch stops expanding (fail-closed: deeper members are simply not granted) and warns once per group.</w:t>
      </w:r>
    </w:p>
    <w:p>
      <w:pPr>
        <w:pStyle w:val="ListBullet"/>
        <w:spacing w:after="40"/>
      </w:pPr>
      <w:r>
        <w:rPr>
          <w:b/>
          <w:color w:val="202020"/>
        </w:rPr>
        <w:t>Parent-chain depth cap.</w:t>
      </w:r>
      <w:r>
        <w:rPr>
          <w:color w:val="202020"/>
        </w:rPr>
        <w:t xml:space="preserve"> ControlledByParent inheritance follows at most </w:t>
      </w:r>
      <w:r>
        <w:rPr>
          <w:rFonts w:ascii="Consolas" w:hAnsi="Consolas"/>
          <w:color w:val="202020"/>
          <w:sz w:val="19"/>
        </w:rPr>
        <w:t>ACL_MAX_PARENT_DEPTH</w:t>
      </w:r>
      <w:r>
        <w:rPr>
          <w:color w:val="202020"/>
        </w:rPr>
        <w:t xml:space="preserve"> levels (default 5). Beyond that the record falls back to its own private ACL rather than recursing forever.</w:t>
      </w:r>
    </w:p>
    <w:p>
      <w:pPr>
        <w:pStyle w:val="Heading2"/>
      </w:pPr>
      <w:r>
        <w:rPr>
          <w:color w:val="2E5496"/>
        </w:rPr>
        <w:t>6.6 Performance considerations</w:t>
      </w:r>
    </w:p>
    <w:p>
      <w:pPr>
        <w:spacing w:after="120"/>
      </w:pPr>
      <w:r>
        <w:rPr>
          <w:color w:val="202020"/>
        </w:rPr>
        <w:t xml:space="preserve">To avoid a SOQL query per record, the engine </w:t>
      </w:r>
      <w:r>
        <w:rPr>
          <w:b/>
          <w:color w:val="202020"/>
        </w:rPr>
        <w:t>bulk pre-warms</w:t>
      </w:r>
      <w:r>
        <w:rPr>
          <w:color w:val="202020"/>
        </w:rPr>
        <w:t xml:space="preserve"> all reference data once per crawl — the role hierarchy, users and their roles, frozen users, all groups and group members, and territory tables — then resolves every record in memory. Salesforce-to-Entra GUID lookups are batched through Graph (20 per </w:t>
      </w:r>
      <w:r>
        <w:rPr>
          <w:rFonts w:ascii="Consolas" w:hAnsi="Consolas"/>
          <w:color w:val="202020"/>
          <w:sz w:val="19"/>
        </w:rPr>
        <w:t>$batch</w:t>
      </w:r>
      <w:r>
        <w:rPr>
          <w:color w:val="202020"/>
        </w:rPr>
        <w:t xml:space="preserve"> call) and cached. For most orgs the reference tables (roles &lt; 1,000; groups/members &lt; 5,000; users &lt; 50,000) fit comfortably in memory and pre-warm in seconds.</w:t>
      </w:r>
    </w:p>
    <w:p>
      <w:pPr>
        <w:pStyle w:val="Heading2"/>
      </w:pPr>
      <w:r>
        <w:rPr>
          <w:color w:val="2E5496"/>
        </w:rPr>
        <w:t>6.7 What an operator should watch</w:t>
      </w:r>
    </w:p>
    <w:p>
      <w:pPr>
        <w:pStyle w:val="ListBullet"/>
        <w:spacing w:after="40"/>
      </w:pPr>
      <w:r>
        <w:rPr>
          <w:b/>
          <w:color w:val="202020"/>
        </w:rPr>
        <w:t>Identity mapping coverage</w:t>
      </w:r>
      <w:r>
        <w:rPr>
          <w:color w:val="202020"/>
        </w:rPr>
        <w:t xml:space="preserve"> — run </w:t>
      </w:r>
      <w:r>
        <w:rPr>
          <w:rFonts w:ascii="Consolas" w:hAnsi="Consolas"/>
          <w:color w:val="202020"/>
          <w:sz w:val="19"/>
        </w:rPr>
        <w:t>identity-dry-run --save --verbose</w:t>
      </w:r>
      <w:r>
        <w:rPr>
          <w:color w:val="202020"/>
        </w:rPr>
        <w:t xml:space="preserve"> before the first content crawl; a large number of unmapped users signals a FederationIdentifier/UserName/Email mismatch to raise with the Salesforce and Entra admins.</w:t>
      </w:r>
    </w:p>
    <w:p>
      <w:pPr>
        <w:pStyle w:val="ListBullet"/>
        <w:spacing w:after="40"/>
      </w:pPr>
      <w:r>
        <w:rPr>
          <w:b/>
          <w:color w:val="202020"/>
        </w:rPr>
        <w:t>Cyclic-group and depth-cap warnings</w:t>
      </w:r>
      <w:r>
        <w:rPr>
          <w:color w:val="202020"/>
        </w:rPr>
        <w:t xml:space="preserve"> in the log — they name the specific group; give it to the Salesforce admin to fix, as members inside the cut branch may be under-granted.</w:t>
      </w:r>
    </w:p>
    <w:p>
      <w:pPr>
        <w:pStyle w:val="ListBullet"/>
        <w:spacing w:after="40"/>
      </w:pPr>
      <w:r>
        <w:rPr>
          <w:b/>
          <w:color w:val="202020"/>
        </w:rPr>
        <w:t>ControlledByParent fallback warnings</w:t>
      </w:r>
      <w:r>
        <w:rPr>
          <w:color w:val="202020"/>
        </w:rPr>
        <w:t xml:space="preserve"> (</w:t>
      </w:r>
      <w:r>
        <w:rPr>
          <w:rFonts w:ascii="Consolas" w:hAnsi="Consolas"/>
          <w:color w:val="202020"/>
          <w:sz w:val="19"/>
        </w:rPr>
        <w:t>Cannot determine controlling parent for &lt;object&gt;</w:t>
      </w:r>
      <w:r>
        <w:rPr>
          <w:color w:val="202020"/>
        </w:rPr>
        <w:t>) — a schema.json parent mapping may be missing for a custom object.</w:t>
      </w:r>
    </w:p>
    <w:p>
      <w:pPr>
        <w:pStyle w:val="ListBullet"/>
        <w:spacing w:after="40"/>
      </w:pPr>
      <w:r>
        <w:rPr>
          <w:b/>
          <w:color w:val="202020"/>
        </w:rPr>
        <w:t>Territory bulk-fetch warnings</w:t>
      </w:r>
      <w:r>
        <w:rPr>
          <w:color w:val="202020"/>
        </w:rPr>
        <w:t xml:space="preserve"> — expected and harmless if Territory Management is not enabled; the run simply makes no territory-based grants.</w:t>
      </w:r>
    </w:p>
    <w:p>
      <w:pPr>
        <w:pStyle w:val="Heading1"/>
      </w:pPr>
      <w:r>
        <w:rPr>
          <w:color w:val="1F3864"/>
        </w:rPr>
        <w:t>7. Before you start: prerequisites &amp; intake checklist</w:t>
      </w:r>
    </w:p>
    <w:p>
      <w:pPr>
        <w:spacing w:after="200"/>
      </w:pPr>
      <w:r>
        <w:rPr>
          <w:color w:val="595959"/>
          <w:sz w:val="23"/>
        </w:rPr>
        <w:t>Collect every value below before you begin §8. Each row names where it comes from. Fill in the right-hand column as you gather them; treat any secret as such (Key Vault or the secret env file, never a ticket comment).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300"/>
        <w:gridCol w:w="3260"/>
        <w:gridCol w:w="2800"/>
      </w:tblGrid>
      <w:tr>
        <w:tc>
          <w:tcPr>
            <w:tcW w:type="dxa" w:w="3300"/>
            <w:shd w:val="clear" w:color="auto" w:fill="2E5496"/>
          </w:tcPr>
          <w:p>
            <w:r>
              <w:rPr>
                <w:b/>
                <w:color w:val="FFFFFF"/>
                <w:sz w:val="19"/>
              </w:rPr>
              <w:t>Value to collect</w:t>
            </w:r>
          </w:p>
        </w:tc>
        <w:tc>
          <w:tcPr>
            <w:tcW w:type="dxa" w:w="3260"/>
            <w:shd w:val="clear" w:color="auto" w:fill="2E5496"/>
          </w:tcPr>
          <w:p>
            <w:r>
              <w:rPr>
                <w:b/>
                <w:color w:val="FFFFFF"/>
                <w:sz w:val="19"/>
              </w:rPr>
              <w:t>Where / who it comes from</w:t>
            </w:r>
          </w:p>
        </w:tc>
        <w:tc>
          <w:tcPr>
            <w:tcW w:type="dxa" w:w="2800"/>
            <w:shd w:val="clear" w:color="auto" w:fill="2E5496"/>
          </w:tcPr>
          <w:p>
            <w:r>
              <w:rPr>
                <w:b/>
                <w:color w:val="FFFFFF"/>
                <w:sz w:val="19"/>
              </w:rPr>
              <w:t>Value / provided by</w:t>
            </w:r>
          </w:p>
        </w:tc>
      </w:tr>
      <w:tr>
        <w:tc>
          <w:tcPr>
            <w:tcW w:type="dxa" w:w="3300"/>
          </w:tcPr>
          <w:p>
            <w:r>
              <w:rPr>
                <w:color w:val="202020"/>
                <w:sz w:val="19"/>
              </w:rPr>
              <w:t>Entra tenant ID (AAD_APP_TENANT_ID)</w:t>
            </w:r>
          </w:p>
        </w:tc>
        <w:tc>
          <w:tcPr>
            <w:tcW w:type="dxa" w:w="3260"/>
          </w:tcPr>
          <w:p>
            <w:r>
              <w:rPr>
                <w:color w:val="202020"/>
                <w:sz w:val="19"/>
              </w:rPr>
              <w:t>Entra tenant admin</w:t>
            </w:r>
          </w:p>
        </w:tc>
        <w:tc>
          <w:tcPr>
            <w:tcW w:type="dxa" w:w="2800"/>
          </w:tcPr>
          <w:p/>
        </w:tc>
      </w:tr>
      <w:tr>
        <w:tc>
          <w:tcPr>
            <w:tcW w:type="dxa" w:w="3300"/>
            <w:shd w:val="clear" w:color="auto" w:fill="F7F9FC"/>
          </w:tcPr>
          <w:p>
            <w:r>
              <w:rPr>
                <w:color w:val="202020"/>
                <w:sz w:val="19"/>
              </w:rPr>
              <w:t>App registration client ID + object ID (AAD_APP_CLIENT_ID / _OBJECT_ID)</w:t>
            </w:r>
          </w:p>
        </w:tc>
        <w:tc>
          <w:tcPr>
            <w:tcW w:type="dxa" w:w="3260"/>
            <w:shd w:val="clear" w:color="auto" w:fill="F7F9FC"/>
          </w:tcPr>
          <w:p>
            <w:r>
              <w:rPr>
                <w:color w:val="202020"/>
                <w:sz w:val="19"/>
              </w:rPr>
              <w:t>Entra tenant admin</w:t>
            </w:r>
          </w:p>
        </w:tc>
        <w:tc>
          <w:tcPr>
            <w:tcW w:type="dxa" w:w="2800"/>
            <w:shd w:val="clear" w:color="auto" w:fill="F7F9FC"/>
          </w:tcPr>
          <w:p/>
        </w:tc>
      </w:tr>
      <w:tr>
        <w:tc>
          <w:tcPr>
            <w:tcW w:type="dxa" w:w="3300"/>
          </w:tcPr>
          <w:p>
            <w:r>
              <w:rPr>
                <w:color w:val="202020"/>
                <w:sz w:val="19"/>
              </w:rPr>
              <w:t>Graph app client secret OR certificate (secret / GRAPH_CLIENT_CERT_*)</w:t>
            </w:r>
          </w:p>
        </w:tc>
        <w:tc>
          <w:tcPr>
            <w:tcW w:type="dxa" w:w="3260"/>
          </w:tcPr>
          <w:p>
            <w:r>
              <w:rPr>
                <w:color w:val="202020"/>
                <w:sz w:val="19"/>
              </w:rPr>
              <w:t>Entra tenant admin</w:t>
            </w:r>
          </w:p>
        </w:tc>
        <w:tc>
          <w:tcPr>
            <w:tcW w:type="dxa" w:w="2800"/>
          </w:tcPr>
          <w:p/>
        </w:tc>
      </w:tr>
      <w:tr>
        <w:tc>
          <w:tcPr>
            <w:tcW w:type="dxa" w:w="3300"/>
            <w:shd w:val="clear" w:color="auto" w:fill="F7F9FC"/>
          </w:tcPr>
          <w:p>
            <w:r>
              <w:rPr>
                <w:color w:val="202020"/>
                <w:sz w:val="19"/>
              </w:rPr>
              <w:t>Admin-consented Graph app permissions granted (see §8)</w:t>
            </w:r>
          </w:p>
        </w:tc>
        <w:tc>
          <w:tcPr>
            <w:tcW w:type="dxa" w:w="3260"/>
            <w:shd w:val="clear" w:color="auto" w:fill="F7F9FC"/>
          </w:tcPr>
          <w:p>
            <w:r>
              <w:rPr>
                <w:color w:val="202020"/>
                <w:sz w:val="19"/>
              </w:rPr>
              <w:t>Entra tenant admin</w:t>
            </w:r>
          </w:p>
        </w:tc>
        <w:tc>
          <w:tcPr>
            <w:tcW w:type="dxa" w:w="2800"/>
            <w:shd w:val="clear" w:color="auto" w:fill="F7F9FC"/>
          </w:tcPr>
          <w:p/>
        </w:tc>
      </w:tr>
      <w:tr>
        <w:tc>
          <w:tcPr>
            <w:tcW w:type="dxa" w:w="3300"/>
          </w:tcPr>
          <w:p>
            <w:r>
              <w:rPr>
                <w:color w:val="202020"/>
                <w:sz w:val="19"/>
              </w:rPr>
              <w:t>Key Vault URI (if USE_KEY_VAULT=true)</w:t>
            </w:r>
          </w:p>
        </w:tc>
        <w:tc>
          <w:tcPr>
            <w:tcW w:type="dxa" w:w="3260"/>
          </w:tcPr>
          <w:p>
            <w:r>
              <w:rPr>
                <w:color w:val="202020"/>
                <w:sz w:val="19"/>
              </w:rPr>
              <w:t>Cloud platform team</w:t>
            </w:r>
          </w:p>
        </w:tc>
        <w:tc>
          <w:tcPr>
            <w:tcW w:type="dxa" w:w="2800"/>
          </w:tcPr>
          <w:p/>
        </w:tc>
      </w:tr>
      <w:tr>
        <w:tc>
          <w:tcPr>
            <w:tcW w:type="dxa" w:w="3300"/>
            <w:shd w:val="clear" w:color="auto" w:fill="F7F9FC"/>
          </w:tcPr>
          <w:p>
            <w:r>
              <w:rPr>
                <w:color w:val="202020"/>
                <w:sz w:val="19"/>
              </w:rPr>
              <w:t>Salesforce instance URL (My Domain)</w:t>
            </w:r>
          </w:p>
        </w:tc>
        <w:tc>
          <w:tcPr>
            <w:tcW w:type="dxa" w:w="3260"/>
            <w:shd w:val="clear" w:color="auto" w:fill="F7F9FC"/>
          </w:tcPr>
          <w:p>
            <w:r>
              <w:rPr>
                <w:color w:val="202020"/>
                <w:sz w:val="19"/>
              </w:rPr>
              <w:t>Salesforce administrator</w:t>
            </w:r>
          </w:p>
        </w:tc>
        <w:tc>
          <w:tcPr>
            <w:tcW w:type="dxa" w:w="2800"/>
            <w:shd w:val="clear" w:color="auto" w:fill="F7F9FC"/>
          </w:tcPr>
          <w:p/>
        </w:tc>
      </w:tr>
      <w:tr>
        <w:tc>
          <w:tcPr>
            <w:tcW w:type="dxa" w:w="3300"/>
          </w:tcPr>
          <w:p>
            <w:r>
              <w:rPr>
                <w:color w:val="202020"/>
                <w:sz w:val="19"/>
              </w:rPr>
              <w:t>Salesforce API version (e.g. v60.0)</w:t>
            </w:r>
          </w:p>
        </w:tc>
        <w:tc>
          <w:tcPr>
            <w:tcW w:type="dxa" w:w="3260"/>
          </w:tcPr>
          <w:p>
            <w:r>
              <w:rPr>
                <w:color w:val="202020"/>
                <w:sz w:val="19"/>
              </w:rPr>
              <w:t>Salesforce administrator</w:t>
            </w:r>
          </w:p>
        </w:tc>
        <w:tc>
          <w:tcPr>
            <w:tcW w:type="dxa" w:w="2800"/>
          </w:tcPr>
          <w:p/>
        </w:tc>
      </w:tr>
      <w:tr>
        <w:tc>
          <w:tcPr>
            <w:tcW w:type="dxa" w:w="3300"/>
            <w:shd w:val="clear" w:color="auto" w:fill="F7F9FC"/>
          </w:tcPr>
          <w:p>
            <w:r>
              <w:rPr>
                <w:color w:val="202020"/>
                <w:sz w:val="19"/>
              </w:rPr>
              <w:t>Connected App consumer key + consumer secret</w:t>
            </w:r>
          </w:p>
        </w:tc>
        <w:tc>
          <w:tcPr>
            <w:tcW w:type="dxa" w:w="3260"/>
            <w:shd w:val="clear" w:color="auto" w:fill="F7F9FC"/>
          </w:tcPr>
          <w:p>
            <w:r>
              <w:rPr>
                <w:color w:val="202020"/>
                <w:sz w:val="19"/>
              </w:rPr>
              <w:t>Salesforce administrator</w:t>
            </w:r>
          </w:p>
        </w:tc>
        <w:tc>
          <w:tcPr>
            <w:tcW w:type="dxa" w:w="2800"/>
            <w:shd w:val="clear" w:color="auto" w:fill="F7F9FC"/>
          </w:tcPr>
          <w:p/>
        </w:tc>
      </w:tr>
      <w:tr>
        <w:tc>
          <w:tcPr>
            <w:tcW w:type="dxa" w:w="3300"/>
          </w:tcPr>
          <w:p>
            <w:r>
              <w:rPr>
                <w:color w:val="202020"/>
                <w:sz w:val="19"/>
              </w:rPr>
              <w:t>API-enabled, read-only integration (run-as) user</w:t>
            </w:r>
          </w:p>
        </w:tc>
        <w:tc>
          <w:tcPr>
            <w:tcW w:type="dxa" w:w="3260"/>
          </w:tcPr>
          <w:p>
            <w:r>
              <w:rPr>
                <w:color w:val="202020"/>
                <w:sz w:val="19"/>
              </w:rPr>
              <w:t>Salesforce administrator</w:t>
            </w:r>
          </w:p>
        </w:tc>
        <w:tc>
          <w:tcPr>
            <w:tcW w:type="dxa" w:w="2800"/>
          </w:tcPr>
          <w:p/>
        </w:tc>
      </w:tr>
      <w:tr>
        <w:tc>
          <w:tcPr>
            <w:tcW w:type="dxa" w:w="3300"/>
            <w:shd w:val="clear" w:color="auto" w:fill="F7F9FC"/>
          </w:tcPr>
          <w:p>
            <w:r>
              <w:rPr>
                <w:color w:val="202020"/>
                <w:sz w:val="19"/>
              </w:rPr>
              <w:t>Objects &amp; fields in scope (incl. any custom __c)</w:t>
            </w:r>
          </w:p>
        </w:tc>
        <w:tc>
          <w:tcPr>
            <w:tcW w:type="dxa" w:w="3260"/>
            <w:shd w:val="clear" w:color="auto" w:fill="F7F9FC"/>
          </w:tcPr>
          <w:p>
            <w:r>
              <w:rPr>
                <w:color w:val="202020"/>
                <w:sz w:val="19"/>
              </w:rPr>
              <w:t>Salesforce administrator / data owner</w:t>
            </w:r>
          </w:p>
        </w:tc>
        <w:tc>
          <w:tcPr>
            <w:tcW w:type="dxa" w:w="2800"/>
            <w:shd w:val="clear" w:color="auto" w:fill="F7F9FC"/>
          </w:tcPr>
          <w:p/>
        </w:tc>
      </w:tr>
      <w:tr>
        <w:tc>
          <w:tcPr>
            <w:tcW w:type="dxa" w:w="3300"/>
          </w:tcPr>
          <w:p>
            <w:r>
              <w:rPr>
                <w:color w:val="202020"/>
                <w:sz w:val="19"/>
              </w:rPr>
              <w:t>Connector service account (gMSA / domain / virtual)</w:t>
            </w:r>
          </w:p>
        </w:tc>
        <w:tc>
          <w:tcPr>
            <w:tcW w:type="dxa" w:w="3260"/>
          </w:tcPr>
          <w:p>
            <w:r>
              <w:rPr>
                <w:color w:val="202020"/>
                <w:sz w:val="19"/>
              </w:rPr>
              <w:t>Windows / AD team</w:t>
            </w:r>
          </w:p>
        </w:tc>
        <w:tc>
          <w:tcPr>
            <w:tcW w:type="dxa" w:w="2800"/>
          </w:tcPr>
          <w:p/>
        </w:tc>
      </w:tr>
      <w:tr>
        <w:tc>
          <w:tcPr>
            <w:tcW w:type="dxa" w:w="3300"/>
            <w:shd w:val="clear" w:color="auto" w:fill="F7F9FC"/>
          </w:tcPr>
          <w:p>
            <w:r>
              <w:rPr>
                <w:color w:val="202020"/>
                <w:sz w:val="19"/>
              </w:rPr>
              <w:t>Outbound 443 firewall rules opened (see §4.4)</w:t>
            </w:r>
          </w:p>
        </w:tc>
        <w:tc>
          <w:tcPr>
            <w:tcW w:type="dxa" w:w="3260"/>
            <w:shd w:val="clear" w:color="auto" w:fill="F7F9FC"/>
          </w:tcPr>
          <w:p>
            <w:r>
              <w:rPr>
                <w:color w:val="202020"/>
                <w:sz w:val="19"/>
              </w:rPr>
              <w:t>Network / firewall team</w:t>
            </w:r>
          </w:p>
        </w:tc>
        <w:tc>
          <w:tcPr>
            <w:tcW w:type="dxa" w:w="2800"/>
            <w:shd w:val="clear" w:color="auto" w:fill="F7F9FC"/>
          </w:tcPr>
          <w:p/>
        </w:tc>
      </w:tr>
      <w:tr>
        <w:tc>
          <w:tcPr>
            <w:tcW w:type="dxa" w:w="3300"/>
          </w:tcPr>
          <w:p>
            <w:r>
              <w:rPr>
                <w:color w:val="202020"/>
                <w:sz w:val="19"/>
              </w:rPr>
              <w:t>Proxy URL + CA bundle (if egress is proxied/inspected)</w:t>
            </w:r>
          </w:p>
        </w:tc>
        <w:tc>
          <w:tcPr>
            <w:tcW w:type="dxa" w:w="3260"/>
          </w:tcPr>
          <w:p>
            <w:r>
              <w:rPr>
                <w:color w:val="202020"/>
                <w:sz w:val="19"/>
              </w:rPr>
              <w:t>Network / firewall team</w:t>
            </w:r>
          </w:p>
        </w:tc>
        <w:tc>
          <w:tcPr>
            <w:tcW w:type="dxa" w:w="2800"/>
          </w:tcPr>
          <w:p/>
        </w:tc>
      </w:tr>
      <w:tr>
        <w:tc>
          <w:tcPr>
            <w:tcW w:type="dxa" w:w="3300"/>
            <w:shd w:val="clear" w:color="auto" w:fill="F7F9FC"/>
          </w:tcPr>
          <w:p>
            <w:r>
              <w:rPr>
                <w:color w:val="202020"/>
                <w:sz w:val="19"/>
              </w:rPr>
              <w:t>SQL Server connection string (only if USE_SQL_SERVER=true / HA)</w:t>
            </w:r>
          </w:p>
        </w:tc>
        <w:tc>
          <w:tcPr>
            <w:tcW w:type="dxa" w:w="3260"/>
            <w:shd w:val="clear" w:color="auto" w:fill="F7F9FC"/>
          </w:tcPr>
          <w:p>
            <w:r>
              <w:rPr>
                <w:color w:val="202020"/>
                <w:sz w:val="19"/>
              </w:rPr>
              <w:t>DBA team</w:t>
            </w:r>
          </w:p>
        </w:tc>
        <w:tc>
          <w:tcPr>
            <w:tcW w:type="dxa" w:w="2800"/>
            <w:shd w:val="clear" w:color="auto" w:fill="F7F9FC"/>
          </w:tcPr>
          <w:p/>
        </w:tc>
      </w:tr>
      <w:tr>
        <w:tc>
          <w:tcPr>
            <w:tcW w:type="dxa" w:w="3300"/>
          </w:tcPr>
          <w:p>
            <w:r>
              <w:rPr>
                <w:color w:val="202020"/>
                <w:sz w:val="19"/>
              </w:rPr>
              <w:t>CONNECTOR_ID chosen (3-32 alnum, no reserved prefix)</w:t>
            </w:r>
          </w:p>
        </w:tc>
        <w:tc>
          <w:tcPr>
            <w:tcW w:type="dxa" w:w="3260"/>
          </w:tcPr>
          <w:p>
            <w:r>
              <w:rPr>
                <w:color w:val="202020"/>
                <w:sz w:val="19"/>
              </w:rPr>
              <w:t>You / connector platform team</w:t>
            </w:r>
          </w:p>
        </w:tc>
        <w:tc>
          <w:tcPr>
            <w:tcW w:type="dxa" w:w="2800"/>
          </w:tcP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The </w:t>
            </w:r>
            <w:r>
              <w:rPr>
                <w:b/>
                <w:color w:val="202020"/>
                <w:sz w:val="20"/>
              </w:rPr>
              <w:t>CONNECTOR_ID</w:t>
            </w:r>
            <w:r>
              <w:rPr>
                <w:color w:val="202020"/>
                <w:sz w:val="20"/>
              </w:rPr>
              <w:t xml:space="preserve"> must be 3-32 characters, alphanumeric only, and must not start with a Microsoft-reserved prefix (Microsoft, SharePoint, Teams, Exchange, OneDriveBusiness, Connectors, PowerBI, …). It becomes the on-disk state key (</w:t>
            </w:r>
            <w:r>
              <w:rPr>
                <w:rFonts w:ascii="Consolas" w:hAnsi="Consolas"/>
                <w:color w:val="202020"/>
                <w:sz w:val="19"/>
              </w:rPr>
              <w:t>data\{CONNECTOR_ID}_identity.db</w:t>
            </w:r>
            <w:r>
              <w:rPr>
                <w:color w:val="202020"/>
                <w:sz w:val="20"/>
              </w:rPr>
              <w:t xml:space="preserve">, </w:t>
            </w:r>
            <w:r>
              <w:rPr>
                <w:rFonts w:ascii="Consolas" w:hAnsi="Consolas"/>
                <w:color w:val="202020"/>
                <w:sz w:val="19"/>
              </w:rPr>
              <w:t>logs\checkpoint_{CONNECTOR_ID}.json</w:t>
            </w:r>
            <w:r>
              <w:rPr>
                <w:color w:val="202020"/>
                <w:sz w:val="20"/>
              </w:rPr>
              <w:t xml:space="preserve">, etc.), so pick it once and do not change it. The shipped default is </w:t>
            </w:r>
            <w:r>
              <w:rPr>
                <w:rFonts w:ascii="Consolas" w:hAnsi="Consolas"/>
                <w:color w:val="202020"/>
                <w:sz w:val="19"/>
              </w:rPr>
              <w:t>SalesforceCRM</w:t>
            </w:r>
            <w:r>
              <w:rPr>
                <w:color w:val="202020"/>
                <w:sz w:val="20"/>
              </w:rPr>
              <w:t>.</w:t>
            </w:r>
          </w:p>
        </w:tc>
      </w:tr>
    </w:tbl>
    <w:p>
      <w:pPr>
        <w:spacing w:after="40"/>
      </w:pPr>
    </w:p>
    <w:p>
      <w:pPr>
        <w:pStyle w:val="Heading1"/>
      </w:pPr>
      <w:r>
        <w:rPr>
          <w:color w:val="1F3864"/>
        </w:rPr>
        <w:t>8. Setting it up, step by step</w:t>
      </w:r>
    </w:p>
    <w:p>
      <w:pPr>
        <w:spacing w:after="200"/>
      </w:pPr>
      <w:r>
        <w:rPr>
          <w:color w:val="595959"/>
          <w:sz w:val="23"/>
        </w:rPr>
        <w:t>This is the Salesforce-specific setup path. The shared install mechanics (unzipping the release bundle, the Windows-service installer, SQL/HA and Key Vault wiring) are in the Common Guide — this section tells you what to do for Salesforce and points to the Common Guide where the steps are generic.</w:t>
      </w:r>
    </w:p>
    <w:p>
      <w:pPr>
        <w:spacing w:after="120"/>
      </w:pPr>
      <w:r>
        <w:rPr>
          <w:color w:val="202020"/>
        </w:rPr>
        <w:t>The overall sequence:</w:t>
      </w:r>
    </w:p>
    <w:p>
      <w:pPr>
        <w:pStyle w:val="ListNumber"/>
        <w:spacing w:after="40"/>
      </w:pPr>
      <w:r>
        <w:rPr>
          <w:color w:val="202020"/>
        </w:rPr>
        <w:t>Confirm prerequisites (§7) and Graph app permissions.</w:t>
      </w:r>
    </w:p>
    <w:p>
      <w:pPr>
        <w:pStyle w:val="ListNumber"/>
        <w:spacing w:after="40"/>
      </w:pPr>
      <w:r>
        <w:rPr>
          <w:color w:val="202020"/>
        </w:rPr>
        <w:t>Install the connector (service or bundle) — Common Guide.</w:t>
      </w:r>
    </w:p>
    <w:p>
      <w:pPr>
        <w:pStyle w:val="ListNumber"/>
        <w:spacing w:after="40"/>
      </w:pPr>
      <w:r>
        <w:rPr>
          <w:color w:val="202020"/>
        </w:rPr>
        <w:t>Configure the environment variables.</w:t>
      </w:r>
    </w:p>
    <w:p>
      <w:pPr>
        <w:pStyle w:val="ListNumber"/>
        <w:spacing w:after="40"/>
      </w:pPr>
      <w:r>
        <w:rPr>
          <w:color w:val="202020"/>
        </w:rPr>
        <w:t>Create the external connection and register the schema.</w:t>
      </w:r>
    </w:p>
    <w:p>
      <w:pPr>
        <w:pStyle w:val="ListNumber"/>
        <w:spacing w:after="40"/>
      </w:pPr>
      <w:r>
        <w:rPr>
          <w:color w:val="202020"/>
        </w:rPr>
        <w:t>Preview the identity mapping (identity-dry-run).</w:t>
      </w:r>
    </w:p>
    <w:p>
      <w:pPr>
        <w:pStyle w:val="ListNumber"/>
        <w:spacing w:after="40"/>
      </w:pPr>
      <w:r>
        <w:rPr>
          <w:color w:val="202020"/>
        </w:rPr>
        <w:t>Run the first full crawl.</w:t>
      </w:r>
    </w:p>
    <w:p>
      <w:pPr>
        <w:pStyle w:val="ListNumber"/>
        <w:spacing w:after="40"/>
      </w:pPr>
      <w:r>
        <w:rPr>
          <w:color w:val="202020"/>
        </w:rPr>
        <w:t>Verify results in Copilot for two users with different Salesforce access.</w:t>
      </w:r>
    </w:p>
    <w:p>
      <w:pPr>
        <w:pStyle w:val="Heading3"/>
      </w:pPr>
      <w:r>
        <w:rPr>
          <w:color w:val="2E5496"/>
        </w:rPr>
        <w:t>Step 1 — Confirm prerequisites &amp; Graph permissions</w:t>
      </w:r>
    </w:p>
    <w:p>
      <w:pPr>
        <w:spacing w:after="120"/>
      </w:pPr>
      <w:r>
        <w:rPr>
          <w:color w:val="202020"/>
        </w:rPr>
        <w:t xml:space="preserve">Work through the §7 checklist. The Entra app registration needs exactly these </w:t>
      </w:r>
      <w:r>
        <w:rPr>
          <w:b/>
          <w:color w:val="202020"/>
        </w:rPr>
        <w:t>application</w:t>
      </w:r>
      <w:r>
        <w:rPr>
          <w:color w:val="202020"/>
        </w:rPr>
        <w:t xml:space="preserve"> Graph permissions, admin-consented — nothing broader:</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400"/>
        <w:gridCol w:w="5960"/>
      </w:tblGrid>
      <w:tr>
        <w:tc>
          <w:tcPr>
            <w:tcW w:type="dxa" w:w="3400"/>
            <w:shd w:val="clear" w:color="auto" w:fill="2E5496"/>
          </w:tcPr>
          <w:p>
            <w:r>
              <w:rPr>
                <w:b/>
                <w:color w:val="FFFFFF"/>
                <w:sz w:val="19"/>
              </w:rPr>
              <w:t>Graph application permission</w:t>
            </w:r>
          </w:p>
        </w:tc>
        <w:tc>
          <w:tcPr>
            <w:tcW w:type="dxa" w:w="5960"/>
            <w:shd w:val="clear" w:color="auto" w:fill="2E5496"/>
          </w:tcPr>
          <w:p>
            <w:r>
              <w:rPr>
                <w:b/>
                <w:color w:val="FFFFFF"/>
                <w:sz w:val="19"/>
              </w:rPr>
              <w:t>Why it is needed</w:t>
            </w:r>
          </w:p>
        </w:tc>
      </w:tr>
      <w:tr>
        <w:tc>
          <w:tcPr>
            <w:tcW w:type="dxa" w:w="3400"/>
          </w:tcPr>
          <w:p>
            <w:r>
              <w:rPr>
                <w:color w:val="202020"/>
                <w:sz w:val="19"/>
              </w:rPr>
              <w:t>ExternalConnection.ReadWrite.OwnedBy</w:t>
            </w:r>
          </w:p>
        </w:tc>
        <w:tc>
          <w:tcPr>
            <w:tcW w:type="dxa" w:w="5960"/>
          </w:tcPr>
          <w:p>
            <w:r>
              <w:rPr>
                <w:color w:val="202020"/>
                <w:sz w:val="19"/>
              </w:rPr>
              <w:t>Create/manage only the connection this app owns (connection, schema, external groups).</w:t>
            </w:r>
          </w:p>
        </w:tc>
      </w:tr>
      <w:tr>
        <w:tc>
          <w:tcPr>
            <w:tcW w:type="dxa" w:w="3400"/>
            <w:shd w:val="clear" w:color="auto" w:fill="F7F9FC"/>
          </w:tcPr>
          <w:p>
            <w:r>
              <w:rPr>
                <w:color w:val="202020"/>
                <w:sz w:val="19"/>
              </w:rPr>
              <w:t>ExternalItem.ReadWrite.OwnedBy</w:t>
            </w:r>
          </w:p>
        </w:tc>
        <w:tc>
          <w:tcPr>
            <w:tcW w:type="dxa" w:w="5960"/>
            <w:shd w:val="clear" w:color="auto" w:fill="F7F9FC"/>
          </w:tcPr>
          <w:p>
            <w:r>
              <w:rPr>
                <w:color w:val="202020"/>
                <w:sz w:val="19"/>
              </w:rPr>
              <w:t>Write and delete items only in the owned connection.</w:t>
            </w:r>
          </w:p>
        </w:tc>
      </w:tr>
      <w:tr>
        <w:tc>
          <w:tcPr>
            <w:tcW w:type="dxa" w:w="3400"/>
          </w:tcPr>
          <w:p>
            <w:r>
              <w:rPr>
                <w:color w:val="202020"/>
                <w:sz w:val="19"/>
              </w:rPr>
              <w:t>User.Read.All</w:t>
            </w:r>
          </w:p>
        </w:tc>
        <w:tc>
          <w:tcPr>
            <w:tcW w:type="dxa" w:w="5960"/>
          </w:tcPr>
          <w:p>
            <w:r>
              <w:rPr>
                <w:color w:val="202020"/>
                <w:sz w:val="19"/>
              </w:rPr>
              <w:t>Resolve Salesforce users to Entra object ids for ACLs. (Droppable only if you run public ACLs with no user grants.)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Ask the </w:t>
            </w:r>
            <w:r>
              <w:rPr>
                <w:b/>
                <w:color w:val="202020"/>
                <w:sz w:val="20"/>
              </w:rPr>
              <w:t>Entra tenant admin</w:t>
            </w:r>
            <w:r>
              <w:rPr>
                <w:color w:val="202020"/>
                <w:sz w:val="20"/>
              </w:rPr>
              <w:t xml:space="preserve"> to confirm the three permissions above are granted </w:t>
            </w:r>
            <w:r>
              <w:rPr>
                <w:b/>
                <w:color w:val="202020"/>
                <w:sz w:val="20"/>
              </w:rPr>
              <w:t>as application permissions with admin consent</w:t>
            </w:r>
            <w:r>
              <w:rPr>
                <w:color w:val="202020"/>
                <w:sz w:val="20"/>
              </w:rPr>
              <w:t xml:space="preserve">, and to supply the tenant ID, app client ID and object ID, and the client secret or certificate. Do </w:t>
            </w:r>
            <w:r>
              <w:rPr>
                <w:b/>
                <w:color w:val="202020"/>
                <w:sz w:val="20"/>
              </w:rPr>
              <w:t>not</w:t>
            </w:r>
            <w:r>
              <w:rPr>
                <w:color w:val="202020"/>
                <w:sz w:val="20"/>
              </w:rPr>
              <w:t xml:space="preserve"> accept </w:t>
            </w:r>
            <w:r>
              <w:rPr>
                <w:rFonts w:ascii="Consolas" w:hAnsi="Consolas"/>
                <w:color w:val="202020"/>
                <w:sz w:val="19"/>
              </w:rPr>
              <w:t>ExternalConnection.ReadWrite.All</w:t>
            </w:r>
            <w:r>
              <w:rPr>
                <w:color w:val="202020"/>
                <w:sz w:val="20"/>
              </w:rPr>
              <w:t xml:space="preserve">, </w:t>
            </w:r>
            <w:r>
              <w:rPr>
                <w:rFonts w:ascii="Consolas" w:hAnsi="Consolas"/>
                <w:color w:val="202020"/>
                <w:sz w:val="19"/>
              </w:rPr>
              <w:t>ExternalItem.ReadWrite.All</w:t>
            </w:r>
            <w:r>
              <w:rPr>
                <w:color w:val="202020"/>
                <w:sz w:val="20"/>
              </w:rPr>
              <w:t xml:space="preserve"> or </w:t>
            </w:r>
            <w:r>
              <w:rPr>
                <w:rFonts w:ascii="Consolas" w:hAnsi="Consolas"/>
                <w:color w:val="202020"/>
                <w:sz w:val="19"/>
              </w:rPr>
              <w:t>Directory.Read.All</w:t>
            </w:r>
            <w:r>
              <w:rPr>
                <w:color w:val="202020"/>
                <w:sz w:val="20"/>
              </w:rPr>
              <w:t xml:space="preserve"> — they are broader than needed.</w:t>
            </w:r>
          </w:p>
        </w:tc>
      </w:tr>
    </w:tbl>
    <w:p>
      <w:pPr>
        <w:spacing w:after="40"/>
      </w:pPr>
    </w:p>
    <w:p>
      <w:pPr>
        <w:pStyle w:val="Heading3"/>
      </w:pPr>
      <w:r>
        <w:rPr>
          <w:color w:val="2E5496"/>
        </w:rPr>
        <w:t>Step 2 — Install the connector</w:t>
      </w:r>
    </w:p>
    <w:p>
      <w:pPr>
        <w:spacing w:after="120"/>
      </w:pPr>
      <w:r>
        <w:rPr>
          <w:color w:val="202020"/>
        </w:rPr>
        <w:t xml:space="preserve">Install from the release bundle or MSI and register the Windows service as described in the Common Guide (deployment) and §12.3 here. In short: publish/extract to the install directory, copy the </w:t>
      </w:r>
      <w:r>
        <w:rPr>
          <w:rFonts w:ascii="Consolas" w:hAnsi="Consolas"/>
          <w:color w:val="202020"/>
          <w:sz w:val="19"/>
        </w:rPr>
        <w:t>config\</w:t>
      </w:r>
      <w:r>
        <w:rPr>
          <w:color w:val="202020"/>
        </w:rPr>
        <w:t xml:space="preserve"> and </w:t>
      </w:r>
      <w:r>
        <w:rPr>
          <w:rFonts w:ascii="Consolas" w:hAnsi="Consolas"/>
          <w:color w:val="202020"/>
          <w:sz w:val="19"/>
        </w:rPr>
        <w:t>env\</w:t>
      </w:r>
      <w:r>
        <w:rPr>
          <w:color w:val="202020"/>
        </w:rPr>
        <w:t xml:space="preserve"> folders next to the executable, then run </w:t>
      </w:r>
      <w:r>
        <w:rPr>
          <w:rFonts w:ascii="Consolas" w:hAnsi="Consolas"/>
          <w:color w:val="202020"/>
          <w:sz w:val="19"/>
        </w:rPr>
        <w:t>scripts\install-windows-service.ps1 -InstallDir &lt;dir&gt;</w:t>
      </w:r>
      <w:r>
        <w:rPr>
          <w:color w:val="202020"/>
        </w:rPr>
        <w:t>. The service is SCM-aware; a graceful stop finishes the in-flight chunk, flushes the pending Graph batch and saves the checkpoint, so the next start resumes cleanly.</w:t>
      </w:r>
    </w:p>
    <w:p>
      <w:pPr>
        <w:spacing w:after="120"/>
      </w:pPr>
      <w:r>
        <w:rPr>
          <w:color w:val="202020"/>
        </w:rPr>
        <w:t xml:space="preserve">As of this release the connector also creates its </w:t>
      </w:r>
      <w:r>
        <w:rPr>
          <w:rFonts w:ascii="Consolas" w:hAnsi="Consolas"/>
          <w:color w:val="202020"/>
          <w:sz w:val="19"/>
        </w:rPr>
        <w:t>logs\</w:t>
      </w:r>
      <w:r>
        <w:rPr>
          <w:color w:val="202020"/>
        </w:rPr>
        <w:t xml:space="preserve">, </w:t>
      </w:r>
      <w:r>
        <w:rPr>
          <w:rFonts w:ascii="Consolas" w:hAnsi="Consolas"/>
          <w:color w:val="202020"/>
          <w:sz w:val="19"/>
        </w:rPr>
        <w:t>data\</w:t>
      </w:r>
      <w:r>
        <w:rPr>
          <w:color w:val="202020"/>
        </w:rPr>
        <w:t xml:space="preserve"> and dead-letter directories </w:t>
      </w:r>
      <w:r>
        <w:rPr>
          <w:b/>
          <w:color w:val="202020"/>
        </w:rPr>
        <w:t>owner-only</w:t>
      </w:r>
      <w:r>
        <w:rPr>
          <w:color w:val="202020"/>
        </w:rPr>
        <w:t xml:space="preserve"> at startup (POSIX </w:t>
      </w:r>
      <w:r>
        <w:rPr>
          <w:rFonts w:ascii="Consolas" w:hAnsi="Consolas"/>
          <w:color w:val="202020"/>
          <w:sz w:val="19"/>
        </w:rPr>
        <w:t>0700</w:t>
      </w:r>
      <w:r>
        <w:rPr>
          <w:color w:val="202020"/>
        </w:rPr>
        <w:t xml:space="preserve">; on Windows a best-effort owner+Administrators grant via </w:t>
      </w:r>
      <w:r>
        <w:rPr>
          <w:rFonts w:ascii="Consolas" w:hAnsi="Consolas"/>
          <w:color w:val="202020"/>
          <w:sz w:val="19"/>
        </w:rPr>
        <w:t>icacls</w:t>
      </w:r>
      <w:r>
        <w:rPr>
          <w:color w:val="202020"/>
        </w:rPr>
        <w:t>). This is a defence-in-depth hardening step, not a prerequisite — it is best-effort and never blocks startup — but you should still ACL these directories to the service account per the Common Guide / SECURITY.md.</w:t>
      </w:r>
    </w:p>
    <w:p>
      <w:pPr>
        <w:pStyle w:val="Heading3"/>
      </w:pPr>
      <w:r>
        <w:rPr>
          <w:color w:val="2E5496"/>
        </w:rPr>
        <w:t>Step 3 — Configure environment variables</w:t>
      </w:r>
    </w:p>
    <w:p>
      <w:pPr>
        <w:spacing w:after="120"/>
      </w:pPr>
      <w:r>
        <w:rPr>
          <w:color w:val="202020"/>
        </w:rPr>
        <w:t xml:space="preserve">Copy </w:t>
      </w:r>
      <w:r>
        <w:rPr>
          <w:rFonts w:ascii="Consolas" w:hAnsi="Consolas"/>
          <w:color w:val="202020"/>
          <w:sz w:val="19"/>
        </w:rPr>
        <w:t>env\.env.local.example</w:t>
      </w:r>
      <w:r>
        <w:rPr>
          <w:color w:val="202020"/>
        </w:rPr>
        <w:t xml:space="preserve"> to </w:t>
      </w:r>
      <w:r>
        <w:rPr>
          <w:rFonts w:ascii="Consolas" w:hAnsi="Consolas"/>
          <w:color w:val="202020"/>
          <w:sz w:val="19"/>
        </w:rPr>
        <w:t>env\.env.local</w:t>
      </w:r>
      <w:r>
        <w:rPr>
          <w:color w:val="202020"/>
        </w:rPr>
        <w:t xml:space="preserve"> and fill in the non-secret values (connector id/name, Salesforce instance URL and API version, Salesforce client id, Entra app/tenant ids and authority). Put every </w:t>
      </w:r>
      <w:r>
        <w:rPr>
          <w:rFonts w:ascii="Consolas" w:hAnsi="Consolas"/>
          <w:color w:val="202020"/>
          <w:sz w:val="19"/>
        </w:rPr>
        <w:t>SECRET_*</w:t>
      </w:r>
      <w:r>
        <w:rPr>
          <w:color w:val="202020"/>
        </w:rPr>
        <w:t xml:space="preserve"> value (the Salesforce consumer secret and the Entra client secret) in </w:t>
      </w:r>
      <w:r>
        <w:rPr>
          <w:rFonts w:ascii="Consolas" w:hAnsi="Consolas"/>
          <w:color w:val="202020"/>
          <w:sz w:val="19"/>
        </w:rPr>
        <w:t>env\.env.local.user</w:t>
      </w:r>
      <w:r>
        <w:rPr>
          <w:color w:val="202020"/>
        </w:rPr>
        <w:t xml:space="preserve">, or in Key Vault when </w:t>
      </w:r>
      <w:r>
        <w:rPr>
          <w:rFonts w:ascii="Consolas" w:hAnsi="Consolas"/>
          <w:color w:val="202020"/>
          <w:sz w:val="19"/>
        </w:rPr>
        <w:t>USE_KEY_VAULT=true</w:t>
      </w:r>
      <w:r>
        <w:rPr>
          <w:color w:val="202020"/>
        </w:rPr>
        <w:t>. §12 is the full variable reference.</w:t>
      </w:r>
    </w:p>
    <w:p>
      <w:pPr>
        <w:spacing w:after="120"/>
      </w:pPr>
      <w:r>
        <w:rPr>
          <w:color w:val="202020"/>
        </w:rPr>
        <w:t>Then validate before any long run:</w:t>
      </w:r>
    </w:p>
    <w:p>
      <w:pPr>
        <w:spacing w:after="120"/>
      </w:pPr>
      <w:r>
        <w:rPr>
          <w:rFonts w:ascii="Consolas" w:hAnsi="Consolas"/>
          <w:color w:val="202020"/>
          <w:sz w:val="19"/>
        </w:rPr>
        <w:t>SalesforceCopilotConnector validate-config --strict</w:t>
      </w:r>
    </w:p>
    <w:p>
      <w:pPr>
        <w:spacing w:after="120"/>
      </w:pPr>
      <w:r>
        <w:rPr>
          <w:rFonts w:ascii="Consolas" w:hAnsi="Consolas"/>
          <w:color w:val="202020"/>
          <w:sz w:val="19"/>
        </w:rPr>
        <w:t>validate-config --strict</w:t>
      </w:r>
      <w:r>
        <w:rPr>
          <w:color w:val="202020"/>
        </w:rPr>
        <w:t xml:space="preserve"> checks the environment, config files, schema shape, and (best-effort) both Salesforce and Graph connectivity, naming any failing credential. Fix everything it reports before continuing.</w:t>
      </w:r>
    </w:p>
    <w:p>
      <w:pPr>
        <w:pStyle w:val="Heading3"/>
      </w:pPr>
      <w:r>
        <w:rPr>
          <w:color w:val="2E5496"/>
        </w:rPr>
        <w:t>Step 4 — Create the external connection &amp; register the schema</w:t>
      </w:r>
    </w:p>
    <w:p>
      <w:pPr>
        <w:spacing w:after="120"/>
      </w:pPr>
      <w:r>
        <w:rPr>
          <w:color w:val="202020"/>
        </w:rPr>
        <w:t xml:space="preserve">Run </w:t>
      </w:r>
      <w:r>
        <w:rPr>
          <w:rFonts w:ascii="Consolas" w:hAnsi="Consolas"/>
          <w:color w:val="202020"/>
          <w:sz w:val="19"/>
        </w:rPr>
        <w:t>setup-connection</w:t>
      </w:r>
      <w:r>
        <w:rPr>
          <w:color w:val="202020"/>
        </w:rPr>
        <w:t xml:space="preserve"> to create (or verify) the Graph external connection and register the schema from </w:t>
      </w:r>
      <w:r>
        <w:rPr>
          <w:rFonts w:ascii="Consolas" w:hAnsi="Consolas"/>
          <w:color w:val="202020"/>
          <w:sz w:val="19"/>
        </w:rPr>
        <w:t>config/graph-schema.json</w:t>
      </w:r>
      <w:r>
        <w:rPr>
          <w:color w:val="202020"/>
        </w:rPr>
        <w:t>:</w:t>
      </w:r>
    </w:p>
    <w:p>
      <w:pPr>
        <w:spacing w:after="120"/>
      </w:pPr>
      <w:r>
        <w:rPr>
          <w:rFonts w:ascii="Consolas" w:hAnsi="Consolas"/>
          <w:color w:val="202020"/>
          <w:sz w:val="19"/>
        </w:rPr>
        <w:t>SalesforceCopilotConnector setup-connection --verbose</w:t>
      </w:r>
    </w:p>
    <w:p>
      <w:pPr>
        <w:spacing w:after="120"/>
      </w:pPr>
      <w:r>
        <w:rPr>
          <w:color w:val="202020"/>
        </w:rPr>
        <w:t>Schema is provisioned asynchronously by Graph and, once registered, refinable attributes cannot be changed by update and the schema cannot be deleted — so get the object/field scope right (with the Salesforce admin and data owner) before this step. This is a shared mechanism; see the Common Guide for the connection/schema lifecycle.</w:t>
      </w:r>
    </w:p>
    <w:p>
      <w:pPr>
        <w:pStyle w:val="Heading3"/>
      </w:pPr>
      <w:r>
        <w:rPr>
          <w:color w:val="2E5496"/>
        </w:rPr>
        <w:t>Step 5 — Preview the identity mapping</w:t>
      </w:r>
    </w:p>
    <w:p>
      <w:pPr>
        <w:spacing w:after="120"/>
      </w:pPr>
      <w:r>
        <w:rPr>
          <w:color w:val="202020"/>
        </w:rPr>
        <w:t>Before indexing any content, preview how Salesforce users map to Entra identities:</w:t>
      </w:r>
    </w:p>
    <w:p>
      <w:pPr>
        <w:spacing w:after="120"/>
      </w:pPr>
      <w:r>
        <w:rPr>
          <w:rFonts w:ascii="Consolas" w:hAnsi="Consolas"/>
          <w:color w:val="202020"/>
          <w:sz w:val="19"/>
        </w:rPr>
        <w:t>SalesforceCopilotConnector identity-dry-run --save --verbose</w:t>
      </w:r>
    </w:p>
    <w:p>
      <w:pPr>
        <w:spacing w:after="120"/>
      </w:pPr>
      <w:r>
        <w:rPr>
          <w:color w:val="202020"/>
        </w:rPr>
        <w:t>Review the coverage. A high proportion of unmapped users means the FederationIdentifier / UserName / Email values in Salesforce do not line up with Entra — resolve that with the Salesforce and Entra admins now, because unmapped users are silently left off ACLs (§5.5).</w:t>
      </w:r>
    </w:p>
    <w:p>
      <w:pPr>
        <w:pStyle w:val="Heading3"/>
      </w:pPr>
      <w:r>
        <w:rPr>
          <w:color w:val="2E5496"/>
        </w:rPr>
        <w:t>Step 6 — Run the first full crawl</w:t>
      </w:r>
    </w:p>
    <w:p>
      <w:pPr>
        <w:spacing w:after="120"/>
      </w:pPr>
      <w:r>
        <w:rPr>
          <w:color w:val="202020"/>
        </w:rPr>
        <w:t>Run a full deployment. It runs the identity crawl first (required for group ACLs), then ingests content with ACLs:</w:t>
      </w:r>
    </w:p>
    <w:p>
      <w:pPr>
        <w:spacing w:after="120"/>
      </w:pPr>
      <w:r>
        <w:rPr>
          <w:rFonts w:ascii="Consolas" w:hAnsi="Consolas"/>
          <w:color w:val="202020"/>
          <w:sz w:val="19"/>
        </w:rPr>
        <w:t>SalesforceCopilotConnector full-deployment --verbose</w:t>
      </w:r>
    </w:p>
    <w:p>
      <w:pPr>
        <w:spacing w:after="120"/>
      </w:pPr>
      <w:r>
        <w:rPr>
          <w:color w:val="202020"/>
        </w:rPr>
        <w:t>For production, run it continuously so full and incremental crawls are scheduled automatically (this is what the service installs by default):</w:t>
      </w:r>
    </w:p>
    <w:p>
      <w:pPr>
        <w:spacing w:after="120"/>
      </w:pPr>
      <w:r>
        <w:rPr>
          <w:rFonts w:ascii="Consolas" w:hAnsi="Consolas"/>
          <w:color w:val="202020"/>
          <w:sz w:val="19"/>
        </w:rPr>
        <w:t>SalesforceCopilotConnector full-deployment --continuous --full-crawl-hours 24 --incremental-hours 4</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A first full crawl of a large org takes hours — plan for roughly </w:t>
            </w:r>
            <w:r>
              <w:rPr>
                <w:b/>
                <w:color w:val="202020"/>
                <w:sz w:val="20"/>
              </w:rPr>
              <w:t>25 items/second per connection</w:t>
            </w:r>
            <w:r>
              <w:rPr>
                <w:color w:val="202020"/>
                <w:sz w:val="20"/>
              </w:rPr>
              <w:t xml:space="preserve"> (about 90,000/hour), so ~11-16 hours per million records. See §10 for what a healthy crawl looks like and the Common Guide / capacity notes for sharding when you need more throughput.</w:t>
            </w:r>
          </w:p>
        </w:tc>
      </w:tr>
    </w:tbl>
    <w:p>
      <w:pPr>
        <w:spacing w:after="40"/>
      </w:pPr>
    </w:p>
    <w:p>
      <w:pPr>
        <w:pStyle w:val="Heading3"/>
      </w:pPr>
      <w:r>
        <w:rPr>
          <w:color w:val="2E5496"/>
        </w:rPr>
        <w:t>Step 7 — Verify trimming with two test users</w:t>
      </w:r>
    </w:p>
    <w:p>
      <w:pPr>
        <w:spacing w:after="120"/>
      </w:pPr>
      <w:r>
        <w:rPr>
          <w:color w:val="202020"/>
        </w:rPr>
        <w:t xml:space="preserve">This is the acceptance test that proves the crown-jewel feature works. Pick two Entra users who have </w:t>
      </w:r>
      <w:r>
        <w:rPr>
          <w:b/>
          <w:color w:val="202020"/>
        </w:rPr>
        <w:t>deliberately different</w:t>
      </w:r>
      <w:r>
        <w:rPr>
          <w:color w:val="202020"/>
        </w:rPr>
        <w:t xml:space="preserve"> Salesforce access — for example one relationship manager who owns a specific Account, and one user with no share on it. After the crawl completes:</w:t>
      </w:r>
    </w:p>
    <w:p>
      <w:pPr>
        <w:pStyle w:val="ListBullet"/>
        <w:spacing w:after="40"/>
      </w:pPr>
      <w:r>
        <w:rPr>
          <w:color w:val="202020"/>
        </w:rPr>
        <w:t>As user A, ask Copilot a question that should surface a record A can see in Salesforce — confirm it appears.</w:t>
      </w:r>
    </w:p>
    <w:p>
      <w:pPr>
        <w:pStyle w:val="ListBullet"/>
        <w:spacing w:after="40"/>
      </w:pPr>
      <w:r>
        <w:rPr>
          <w:color w:val="202020"/>
        </w:rPr>
        <w:t xml:space="preserve">As user B (who cannot see that record in Salesforce), ask the same question — confirm the record does </w:t>
      </w:r>
      <w:r>
        <w:rPr>
          <w:b/>
          <w:color w:val="202020"/>
        </w:rPr>
        <w:t>not</w:t>
      </w:r>
      <w:r>
        <w:rPr>
          <w:color w:val="202020"/>
        </w:rPr>
        <w:t xml:space="preserve"> appear.</w:t>
      </w:r>
    </w:p>
    <w:p>
      <w:pPr>
        <w:pStyle w:val="ListBullet"/>
        <w:spacing w:after="40"/>
      </w:pPr>
      <w:r>
        <w:rPr>
          <w:color w:val="202020"/>
        </w:rPr>
        <w:t>Optionally check a role-hierarchy case: A's manager should see A's records; a peer should not.</w:t>
      </w:r>
    </w:p>
    <w:p>
      <w:pPr>
        <w:spacing w:after="120"/>
      </w:pPr>
      <w:r>
        <w:rPr>
          <w:color w:val="202020"/>
        </w:rPr>
        <w:t>If both users see the same thing, or a user sees a record they should not, stop and treat it as an ACL/identity problem (§11) — do not roll out further until trimming is proven.</w:t>
      </w:r>
    </w:p>
    <w:p>
      <w:pPr>
        <w:pStyle w:val="Heading1"/>
      </w:pPr>
      <w:r>
        <w:rPr>
          <w:color w:val="1F3864"/>
        </w:rPr>
        <w:t>9. Running it day to day</w:t>
      </w:r>
    </w:p>
    <w:p>
      <w:pPr>
        <w:pStyle w:val="Heading2"/>
      </w:pPr>
      <w:r>
        <w:rPr>
          <w:color w:val="2E5496"/>
        </w:rPr>
        <w:t>9.1 Full vs incremental crawls</w:t>
      </w:r>
    </w:p>
    <w:p>
      <w:pPr>
        <w:spacing w:after="120"/>
      </w:pPr>
      <w:r>
        <w:rPr>
          <w:color w:val="202020"/>
        </w:rPr>
        <w:t>In continuous mode the connector alternates two crawl types on the schedule you set:</w:t>
      </w:r>
    </w:p>
    <w:p>
      <w:pPr>
        <w:pStyle w:val="ListBullet"/>
        <w:spacing w:after="40"/>
      </w:pPr>
      <w:r>
        <w:rPr>
          <w:b/>
          <w:color w:val="202020"/>
        </w:rPr>
        <w:t>Full crawl</w:t>
      </w:r>
      <w:r>
        <w:rPr>
          <w:color w:val="202020"/>
        </w:rPr>
        <w:t xml:space="preserve"> (</w:t>
      </w:r>
      <w:r>
        <w:rPr>
          <w:rFonts w:ascii="Consolas" w:hAnsi="Consolas"/>
          <w:color w:val="202020"/>
          <w:sz w:val="19"/>
        </w:rPr>
        <w:t>--full-crawl-hours</w:t>
      </w:r>
      <w:r>
        <w:rPr>
          <w:color w:val="202020"/>
        </w:rPr>
        <w:t>, default 24, minimum 12) — re-reads every in-scope record, refreshes ACLs from a fresh identity crawl, and runs the deletion sweep (§9.3).</w:t>
      </w:r>
    </w:p>
    <w:p>
      <w:pPr>
        <w:pStyle w:val="ListBullet"/>
        <w:spacing w:after="40"/>
      </w:pPr>
      <w:r>
        <w:rPr>
          <w:b/>
          <w:color w:val="202020"/>
        </w:rPr>
        <w:t>Incremental crawl</w:t>
      </w:r>
      <w:r>
        <w:rPr>
          <w:color w:val="202020"/>
        </w:rPr>
        <w:t xml:space="preserve"> (</w:t>
      </w:r>
      <w:r>
        <w:rPr>
          <w:rFonts w:ascii="Consolas" w:hAnsi="Consolas"/>
          <w:color w:val="202020"/>
          <w:sz w:val="19"/>
        </w:rPr>
        <w:t>--incremental-hours</w:t>
      </w:r>
      <w:r>
        <w:rPr>
          <w:color w:val="202020"/>
        </w:rPr>
        <w:t xml:space="preserve">, default 4, minimum 1) — reads only records whose LastModifiedDate is newer than the last run. Incremental crawls do </w:t>
      </w:r>
      <w:r>
        <w:rPr>
          <w:b/>
          <w:color w:val="202020"/>
        </w:rPr>
        <w:t>not</w:t>
      </w:r>
      <w:r>
        <w:rPr>
          <w:color w:val="202020"/>
        </w:rPr>
        <w:t xml:space="preserve"> run the deletion sweep (a changed-only view cannot prove a record is gone). Since this release they </w:t>
      </w:r>
      <w:r>
        <w:rPr>
          <w:b/>
          <w:color w:val="202020"/>
        </w:rPr>
        <w:t>do</w:t>
      </w:r>
      <w:r>
        <w:rPr>
          <w:color w:val="202020"/>
        </w:rPr>
        <w:t xml:space="preserve"> refresh identities by default: </w:t>
      </w:r>
      <w:r>
        <w:rPr>
          <w:rFonts w:ascii="Consolas" w:hAnsi="Consolas"/>
          <w:color w:val="202020"/>
          <w:sz w:val="19"/>
        </w:rPr>
        <w:t>IDENTITY_SYNC_ON_INCREMENTAL</w:t>
      </w:r>
      <w:r>
        <w:rPr>
          <w:color w:val="202020"/>
        </w:rPr>
        <w:t xml:space="preserve"> now defaults to </w:t>
      </w:r>
      <w:r>
        <w:rPr>
          <w:b/>
          <w:color w:val="202020"/>
        </w:rPr>
        <w:t>true</w:t>
      </w:r>
      <w:r>
        <w:rPr>
          <w:color w:val="202020"/>
        </w:rPr>
        <w:t xml:space="preserve"> (opt-out), so an entitlement change — a user added to or removed from a Salesforce role/group — is reflected in Copilot at the next incremental instead of waiting for the next full crawl. This only matters when </w:t>
      </w:r>
      <w:r>
        <w:rPr>
          <w:rFonts w:ascii="Consolas" w:hAnsi="Consolas"/>
          <w:color w:val="202020"/>
          <w:sz w:val="19"/>
        </w:rPr>
        <w:t>USE_GROUP_ACL=true</w:t>
      </w:r>
      <w:r>
        <w:rPr>
          <w:color w:val="202020"/>
        </w:rPr>
        <w:t xml:space="preserve"> (the default); set </w:t>
      </w:r>
      <w:r>
        <w:rPr>
          <w:rFonts w:ascii="Consolas" w:hAnsi="Consolas"/>
          <w:color w:val="202020"/>
          <w:sz w:val="19"/>
        </w:rPr>
        <w:t>IDENTITY_SYNC_ON_INCREMENTAL=false</w:t>
      </w:r>
      <w:r>
        <w:rPr>
          <w:color w:val="202020"/>
        </w:rPr>
        <w:t xml:space="preserve"> to sync identities on full crawls only (the previous behaviour). The residual lag is still </w:t>
      </w:r>
      <w:r>
        <w:rPr>
          <w:b/>
          <w:color w:val="202020"/>
        </w:rPr>
        <w:t>not real-time</w:t>
      </w:r>
      <w:r>
        <w:rPr>
          <w:color w:val="202020"/>
        </w:rPr>
        <w:t xml:space="preserve"> — access is re-evaluated only when a crawl runs (bounded by the incremental interval), and unchanged content is re-ACL'd on the re-ACL cadence (full crawls). For tighter guarantees shorten the incremental cadence and keep a periodic full crawl.</w:t>
      </w:r>
    </w:p>
    <w:p>
      <w:pPr>
        <w:pStyle w:val="Heading2"/>
      </w:pPr>
      <w:r>
        <w:rPr>
          <w:color w:val="2E5496"/>
        </w:rPr>
        <w:t>9.2 Reconcile and retry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3160"/>
        <w:gridCol w:w="4000"/>
      </w:tblGrid>
      <w:tr>
        <w:tc>
          <w:tcPr>
            <w:tcW w:type="dxa" w:w="2200"/>
            <w:shd w:val="clear" w:color="auto" w:fill="2E5496"/>
          </w:tcPr>
          <w:p>
            <w:r>
              <w:rPr>
                <w:b/>
                <w:color w:val="FFFFFF"/>
                <w:sz w:val="19"/>
              </w:rPr>
              <w:t>Task</w:t>
            </w:r>
          </w:p>
        </w:tc>
        <w:tc>
          <w:tcPr>
            <w:tcW w:type="dxa" w:w="3160"/>
            <w:shd w:val="clear" w:color="auto" w:fill="2E5496"/>
          </w:tcPr>
          <w:p>
            <w:r>
              <w:rPr>
                <w:b/>
                <w:color w:val="FFFFFF"/>
                <w:sz w:val="19"/>
              </w:rPr>
              <w:t>Command</w:t>
            </w:r>
          </w:p>
        </w:tc>
        <w:tc>
          <w:tcPr>
            <w:tcW w:type="dxa" w:w="4000"/>
            <w:shd w:val="clear" w:color="auto" w:fill="2E5496"/>
          </w:tcPr>
          <w:p>
            <w:r>
              <w:rPr>
                <w:b/>
                <w:color w:val="FFFFFF"/>
                <w:sz w:val="19"/>
              </w:rPr>
              <w:t>When to use</w:t>
            </w:r>
          </w:p>
        </w:tc>
      </w:tr>
      <w:tr>
        <w:tc>
          <w:tcPr>
            <w:tcW w:type="dxa" w:w="2200"/>
          </w:tcPr>
          <w:p>
            <w:r>
              <w:rPr>
                <w:color w:val="202020"/>
                <w:sz w:val="19"/>
              </w:rPr>
              <w:t>Reconcile drift</w:t>
            </w:r>
          </w:p>
        </w:tc>
        <w:tc>
          <w:tcPr>
            <w:tcW w:type="dxa" w:w="3160"/>
          </w:tcPr>
          <w:p>
            <w:r>
              <w:rPr>
                <w:color w:val="202020"/>
                <w:sz w:val="19"/>
              </w:rPr>
              <w:t>reconcile [--type X]</w:t>
            </w:r>
          </w:p>
        </w:tc>
        <w:tc>
          <w:tcPr>
            <w:tcW w:type="dxa" w:w="4000"/>
          </w:tcPr>
          <w:p>
            <w:r>
              <w:rPr>
                <w:color w:val="202020"/>
                <w:sz w:val="19"/>
              </w:rPr>
              <w:t>Report items MISSING (in SF, not indexed) or STALE (indexed, gone from SF). Exit code 0 = no drift; fits a cron check.</w:t>
            </w:r>
          </w:p>
        </w:tc>
      </w:tr>
      <w:tr>
        <w:tc>
          <w:tcPr>
            <w:tcW w:type="dxa" w:w="2200"/>
            <w:shd w:val="clear" w:color="auto" w:fill="F7F9FC"/>
          </w:tcPr>
          <w:p>
            <w:r>
              <w:rPr>
                <w:color w:val="202020"/>
                <w:sz w:val="19"/>
              </w:rPr>
              <w:t>Repair drift</w:t>
            </w:r>
          </w:p>
        </w:tc>
        <w:tc>
          <w:tcPr>
            <w:tcW w:type="dxa" w:w="3160"/>
            <w:shd w:val="clear" w:color="auto" w:fill="F7F9FC"/>
          </w:tcPr>
          <w:p>
            <w:r>
              <w:rPr>
                <w:color w:val="202020"/>
                <w:sz w:val="19"/>
              </w:rPr>
              <w:t>reconcile --type X --fix</w:t>
            </w:r>
          </w:p>
        </w:tc>
        <w:tc>
          <w:tcPr>
            <w:tcW w:type="dxa" w:w="4000"/>
            <w:shd w:val="clear" w:color="auto" w:fill="F7F9FC"/>
          </w:tcPr>
          <w:p>
            <w:r>
              <w:rPr>
                <w:color w:val="202020"/>
                <w:sz w:val="19"/>
              </w:rPr>
              <w:t>Delete stale items and drop them from the inventory. Attended action — no mass-deletion guard (see §9.3).</w:t>
            </w:r>
          </w:p>
        </w:tc>
      </w:tr>
      <w:tr>
        <w:tc>
          <w:tcPr>
            <w:tcW w:type="dxa" w:w="2200"/>
          </w:tcPr>
          <w:p>
            <w:r>
              <w:rPr>
                <w:color w:val="202020"/>
                <w:sz w:val="19"/>
              </w:rPr>
              <w:t>Retry dead-letter</w:t>
            </w:r>
          </w:p>
        </w:tc>
        <w:tc>
          <w:tcPr>
            <w:tcW w:type="dxa" w:w="3160"/>
          </w:tcPr>
          <w:p>
            <w:r>
              <w:rPr>
                <w:color w:val="202020"/>
                <w:sz w:val="19"/>
              </w:rPr>
              <w:t>retry-failed [--clear-on-success]</w:t>
            </w:r>
          </w:p>
        </w:tc>
        <w:tc>
          <w:tcPr>
            <w:tcW w:type="dxa" w:w="4000"/>
          </w:tcPr>
          <w:p>
            <w:r>
              <w:rPr>
                <w:color w:val="202020"/>
                <w:sz w:val="19"/>
              </w:rPr>
              <w:t>Re-ingest items that failed and landed in the dead-letter queue, off-peak, after fixing the cause.</w:t>
            </w:r>
          </w:p>
        </w:tc>
      </w:tr>
      <w:tr>
        <w:tc>
          <w:tcPr>
            <w:tcW w:type="dxa" w:w="2200"/>
            <w:shd w:val="clear" w:color="auto" w:fill="F7F9FC"/>
          </w:tcPr>
          <w:p>
            <w:r>
              <w:rPr>
                <w:color w:val="202020"/>
                <w:sz w:val="19"/>
              </w:rPr>
              <w:t>Single record</w:t>
            </w:r>
          </w:p>
        </w:tc>
        <w:tc>
          <w:tcPr>
            <w:tcW w:type="dxa" w:w="3160"/>
            <w:shd w:val="clear" w:color="auto" w:fill="F7F9FC"/>
          </w:tcPr>
          <w:p>
            <w:r>
              <w:rPr>
                <w:color w:val="202020"/>
                <w:sz w:val="19"/>
              </w:rPr>
              <w:t>ingest-item --id &lt;18-char Id&gt;</w:t>
            </w:r>
          </w:p>
        </w:tc>
        <w:tc>
          <w:tcPr>
            <w:tcW w:type="dxa" w:w="4000"/>
            <w:shd w:val="clear" w:color="auto" w:fill="F7F9FC"/>
          </w:tcPr>
          <w:p>
            <w:r>
              <w:rPr>
                <w:color w:val="202020"/>
                <w:sz w:val="19"/>
              </w:rPr>
              <w:t>Force one record through end-to-end (useful when validating a fix).</w:t>
            </w:r>
          </w:p>
        </w:tc>
      </w:tr>
      <w:tr>
        <w:tc>
          <w:tcPr>
            <w:tcW w:type="dxa" w:w="2200"/>
          </w:tcPr>
          <w:p>
            <w:r>
              <w:rPr>
                <w:color w:val="202020"/>
                <w:sz w:val="19"/>
              </w:rPr>
              <w:t>Single object</w:t>
            </w:r>
          </w:p>
        </w:tc>
        <w:tc>
          <w:tcPr>
            <w:tcW w:type="dxa" w:w="3160"/>
          </w:tcPr>
          <w:p>
            <w:r>
              <w:rPr>
                <w:color w:val="202020"/>
                <w:sz w:val="19"/>
              </w:rPr>
              <w:t>ingest-object --type Case</w:t>
            </w:r>
          </w:p>
        </w:tc>
        <w:tc>
          <w:tcPr>
            <w:tcW w:type="dxa" w:w="4000"/>
          </w:tcPr>
          <w:p>
            <w:r>
              <w:rPr>
                <w:color w:val="202020"/>
                <w:sz w:val="19"/>
              </w:rPr>
              <w:t>Re-ingest one object type only.</w:t>
            </w:r>
          </w:p>
        </w:tc>
      </w:tr>
    </w:tbl>
    <w:p>
      <w:pPr>
        <w:spacing w:after="40"/>
      </w:pPr>
    </w:p>
    <w:p>
      <w:pPr>
        <w:pStyle w:val="Heading2"/>
      </w:pPr>
      <w:r>
        <w:rPr>
          <w:color w:val="2E5496"/>
        </w:rPr>
        <w:t>9.3 Deletion handling</w:t>
      </w:r>
    </w:p>
    <w:p>
      <w:pPr>
        <w:spacing w:after="120"/>
      </w:pPr>
      <w:r>
        <w:rPr>
          <w:color w:val="202020"/>
        </w:rPr>
        <w:t xml:space="preserve">Salesforce gives no reliable deletion feed — its native </w:t>
      </w:r>
      <w:r>
        <w:rPr>
          <w:rFonts w:ascii="Consolas" w:hAnsi="Consolas"/>
          <w:color w:val="202020"/>
          <w:sz w:val="19"/>
        </w:rPr>
        <w:t>IsDeleted</w:t>
      </w:r>
      <w:r>
        <w:rPr>
          <w:color w:val="202020"/>
        </w:rPr>
        <w:t xml:space="preserve"> signal only covers the Recycle Bin (~15 days). The connector closes the gap with an </w:t>
      </w:r>
      <w:r>
        <w:rPr>
          <w:b/>
          <w:color w:val="202020"/>
        </w:rPr>
        <w:t>existence sweep</w:t>
      </w:r>
      <w:r>
        <w:rPr>
          <w:color w:val="202020"/>
        </w:rPr>
        <w:t xml:space="preserve">: it keeps an </w:t>
      </w:r>
      <w:r>
        <w:rPr>
          <w:b/>
          <w:color w:val="202020"/>
        </w:rPr>
        <w:t>inventory</w:t>
      </w:r>
      <w:r>
        <w:rPr>
          <w:color w:val="202020"/>
        </w:rPr>
        <w:t xml:space="preserve"> of every item it has confirmed into Graph (</w:t>
      </w:r>
      <w:r>
        <w:rPr>
          <w:rFonts w:ascii="Consolas" w:hAnsi="Consolas"/>
          <w:color w:val="202020"/>
          <w:sz w:val="19"/>
        </w:rPr>
        <w:t>data\{CONNECTOR_ID}_inventory.db</w:t>
      </w:r>
      <w:r>
        <w:rPr>
          <w:color w:val="202020"/>
        </w:rPr>
        <w:t xml:space="preserve">, or </w:t>
      </w:r>
      <w:r>
        <w:rPr>
          <w:rFonts w:ascii="Consolas" w:hAnsi="Consolas"/>
          <w:color w:val="202020"/>
          <w:sz w:val="19"/>
        </w:rPr>
        <w:t>dbo.ItemInventory</w:t>
      </w:r>
      <w:r>
        <w:rPr>
          <w:color w:val="202020"/>
        </w:rPr>
        <w:t xml:space="preserve"> on SQL Server). After each </w:t>
      </w:r>
      <w:r>
        <w:rPr>
          <w:b/>
          <w:color w:val="202020"/>
        </w:rPr>
        <w:t>full</w:t>
      </w:r>
      <w:r>
        <w:rPr>
          <w:color w:val="202020"/>
        </w:rPr>
        <w:t xml:space="preserve"> crawl it re-queries Salesforce for the live id set of each object (same filter) and deletes from Graph any inventory id that is no longer present. The metric is </w:t>
      </w:r>
      <w:r>
        <w:rPr>
          <w:rFonts w:ascii="Consolas" w:hAnsi="Consolas"/>
          <w:color w:val="202020"/>
          <w:sz w:val="19"/>
        </w:rPr>
        <w:t>salesforce_connector_items_deleted_total</w:t>
      </w:r>
      <w:r>
        <w:rPr>
          <w:color w:val="202020"/>
        </w:rPr>
        <w: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A </w:t>
            </w:r>
            <w:r>
              <w:rPr>
                <w:b/>
                <w:color w:val="202020"/>
                <w:sz w:val="20"/>
              </w:rPr>
              <w:t>mass-deletion guard</w:t>
            </w:r>
            <w:r>
              <w:rPr>
                <w:color w:val="202020"/>
                <w:sz w:val="20"/>
              </w:rPr>
              <w:t xml:space="preserve"> protects against a Salesforce outage or a wrong filter wiping the index: if a single sweep would delete more than </w:t>
            </w:r>
            <w:r>
              <w:rPr>
                <w:rFonts w:ascii="Consolas" w:hAnsi="Consolas"/>
                <w:color w:val="202020"/>
                <w:sz w:val="19"/>
              </w:rPr>
              <w:t>DELETION_SYNC_MAX_PERCENT</w:t>
            </w:r>
            <w:r>
              <w:rPr>
                <w:color w:val="202020"/>
                <w:sz w:val="20"/>
              </w:rPr>
              <w:t xml:space="preserve"> (default 25%) of an object's inventory — and the inventory holds at least 20 items — that object's sweep is </w:t>
            </w:r>
            <w:r>
              <w:rPr>
                <w:b/>
                <w:color w:val="202020"/>
                <w:sz w:val="20"/>
              </w:rPr>
              <w:t>skipped</w:t>
            </w:r>
            <w:r>
              <w:rPr>
                <w:color w:val="202020"/>
                <w:sz w:val="20"/>
              </w:rPr>
              <w:t xml:space="preserve">, a warning and a </w:t>
            </w:r>
            <w:r>
              <w:rPr>
                <w:rFonts w:ascii="Consolas" w:hAnsi="Consolas"/>
                <w:color w:val="202020"/>
                <w:sz w:val="19"/>
              </w:rPr>
              <w:t>deletion_sweep_skipped</w:t>
            </w:r>
            <w:r>
              <w:rPr>
                <w:color w:val="202020"/>
                <w:sz w:val="20"/>
              </w:rPr>
              <w:t xml:space="preserve"> alert fire, and nothing is deleted. If the drop is genuine, repair it deliberately with </w:t>
            </w:r>
            <w:r>
              <w:rPr>
                <w:rFonts w:ascii="Consolas" w:hAnsi="Consolas"/>
                <w:color w:val="202020"/>
                <w:sz w:val="19"/>
              </w:rPr>
              <w:t>reconcile --type &lt;object&gt; --fix</w:t>
            </w:r>
            <w:r>
              <w:rPr>
                <w:color w:val="202020"/>
                <w:sz w:val="20"/>
              </w:rPr>
              <w:t xml:space="preserve"> (which has no guard) or raise the threshold and re-run. See §11 for the runbook.</w:t>
            </w:r>
          </w:p>
        </w:tc>
      </w:tr>
    </w:tbl>
    <w:p>
      <w:pPr>
        <w:spacing w:after="40"/>
      </w:pPr>
    </w:p>
    <w:p>
      <w:pPr>
        <w:pStyle w:val="Heading1"/>
      </w:pPr>
      <w:r>
        <w:rPr>
          <w:color w:val="1F3864"/>
        </w:rPr>
        <w:t>10. Monitoring this connector</w:t>
      </w:r>
    </w:p>
    <w:p>
      <w:pPr>
        <w:spacing w:after="200"/>
      </w:pPr>
      <w:r>
        <w:rPr>
          <w:color w:val="595959"/>
          <w:sz w:val="23"/>
        </w:rPr>
        <w:t xml:space="preserve">Turn on the health/metrics endpoint by setting </w:t>
      </w:r>
      <w:r>
        <w:rPr>
          <w:rFonts w:ascii="Consolas" w:hAnsi="Consolas"/>
          <w:color w:val="595959"/>
          <w:sz w:val="19"/>
        </w:rPr>
        <w:t>HEALTH_PORT</w:t>
      </w:r>
      <w:r>
        <w:rPr>
          <w:color w:val="595959"/>
          <w:sz w:val="23"/>
        </w:rPr>
        <w:t xml:space="preserve"> to a port. The connector then serves three routes and Prometheus metrics; a ready-made Grafana dashboard and Prometheus alert rules ship in </w:t>
      </w:r>
      <w:r>
        <w:rPr>
          <w:rFonts w:ascii="Consolas" w:hAnsi="Consolas"/>
          <w:color w:val="595959"/>
          <w:sz w:val="19"/>
        </w:rPr>
        <w:t>ops/</w:t>
      </w:r>
      <w:r>
        <w:rPr>
          <w:color w:val="595959"/>
          <w:sz w:val="23"/>
        </w:rPr>
        <w:t>.</w:t>
      </w:r>
    </w:p>
    <w:p>
      <w:pPr>
        <w:pStyle w:val="Heading2"/>
      </w:pPr>
      <w:r>
        <w:rPr>
          <w:color w:val="2E5496"/>
        </w:rPr>
        <w:t>10.1 Health / readiness / metrics endpoints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4560"/>
        <w:gridCol w:w="2600"/>
      </w:tblGrid>
      <w:tr>
        <w:tc>
          <w:tcPr>
            <w:tcW w:type="dxa" w:w="2200"/>
            <w:shd w:val="clear" w:color="auto" w:fill="2E5496"/>
          </w:tcPr>
          <w:p>
            <w:r>
              <w:rPr>
                <w:b/>
                <w:color w:val="FFFFFF"/>
                <w:sz w:val="19"/>
              </w:rPr>
              <w:t>Route</w:t>
            </w:r>
          </w:p>
        </w:tc>
        <w:tc>
          <w:tcPr>
            <w:tcW w:type="dxa" w:w="4560"/>
            <w:shd w:val="clear" w:color="auto" w:fill="2E5496"/>
          </w:tcPr>
          <w:p>
            <w:r>
              <w:rPr>
                <w:b/>
                <w:color w:val="FFFFFF"/>
                <w:sz w:val="19"/>
              </w:rPr>
              <w:t>Meaning</w:t>
            </w:r>
          </w:p>
        </w:tc>
        <w:tc>
          <w:tcPr>
            <w:tcW w:type="dxa" w:w="2600"/>
            <w:shd w:val="clear" w:color="auto" w:fill="2E5496"/>
          </w:tcPr>
          <w:p>
            <w:r>
              <w:rPr>
                <w:b/>
                <w:color w:val="FFFFFF"/>
                <w:sz w:val="19"/>
              </w:rPr>
              <w:t>Healthy response</w:t>
            </w:r>
          </w:p>
        </w:tc>
      </w:tr>
      <w:tr>
        <w:tc>
          <w:tcPr>
            <w:tcW w:type="dxa" w:w="2200"/>
          </w:tcPr>
          <w:p>
            <w:r>
              <w:rPr>
                <w:color w:val="202020"/>
                <w:sz w:val="19"/>
              </w:rPr>
              <w:t>GET /health</w:t>
            </w:r>
          </w:p>
        </w:tc>
        <w:tc>
          <w:tcPr>
            <w:tcW w:type="dxa" w:w="4560"/>
          </w:tcPr>
          <w:p>
            <w:r>
              <w:rPr>
                <w:color w:val="202020"/>
                <w:sz w:val="19"/>
              </w:rPr>
              <w:t>Liveness — the process is up.</w:t>
            </w:r>
          </w:p>
        </w:tc>
        <w:tc>
          <w:tcPr>
            <w:tcW w:type="dxa" w:w="2600"/>
          </w:tcPr>
          <w:p>
            <w:r>
              <w:rPr>
                <w:color w:val="202020"/>
                <w:sz w:val="19"/>
              </w:rPr>
              <w:t>200 OK</w:t>
            </w:r>
          </w:p>
        </w:tc>
      </w:tr>
      <w:tr>
        <w:tc>
          <w:tcPr>
            <w:tcW w:type="dxa" w:w="2200"/>
            <w:shd w:val="clear" w:color="auto" w:fill="F7F9FC"/>
          </w:tcPr>
          <w:p>
            <w:r>
              <w:rPr>
                <w:color w:val="202020"/>
                <w:sz w:val="19"/>
              </w:rPr>
              <w:t>GET /ready</w:t>
            </w:r>
          </w:p>
        </w:tc>
        <w:tc>
          <w:tcPr>
            <w:tcW w:type="dxa" w:w="4560"/>
            <w:shd w:val="clear" w:color="auto" w:fill="F7F9FC"/>
          </w:tcPr>
          <w:p>
            <w:r>
              <w:rPr>
                <w:color w:val="202020"/>
                <w:sz w:val="19"/>
              </w:rPr>
              <w:t>Readiness — configuration is loaded.</w:t>
            </w:r>
          </w:p>
        </w:tc>
        <w:tc>
          <w:tcPr>
            <w:tcW w:type="dxa" w:w="2600"/>
            <w:shd w:val="clear" w:color="auto" w:fill="F7F9FC"/>
          </w:tcPr>
          <w:p>
            <w:r>
              <w:rPr>
                <w:color w:val="202020"/>
                <w:sz w:val="19"/>
              </w:rPr>
              <w:t>200 READY</w:t>
            </w:r>
          </w:p>
        </w:tc>
      </w:tr>
      <w:tr>
        <w:tc>
          <w:tcPr>
            <w:tcW w:type="dxa" w:w="2200"/>
          </w:tcPr>
          <w:p>
            <w:r>
              <w:rPr>
                <w:color w:val="202020"/>
                <w:sz w:val="19"/>
              </w:rPr>
              <w:t>GET /metrics</w:t>
            </w:r>
          </w:p>
        </w:tc>
        <w:tc>
          <w:tcPr>
            <w:tcW w:type="dxa" w:w="4560"/>
          </w:tcPr>
          <w:p>
            <w:r>
              <w:rPr>
                <w:color w:val="202020"/>
                <w:sz w:val="19"/>
              </w:rPr>
              <w:t>Prometheus text exposition of all metrics.</w:t>
            </w:r>
          </w:p>
        </w:tc>
        <w:tc>
          <w:tcPr>
            <w:tcW w:type="dxa" w:w="2600"/>
          </w:tcPr>
          <w:p>
            <w:r>
              <w:rPr>
                <w:color w:val="202020"/>
                <w:sz w:val="19"/>
              </w:rPr>
              <w:t>200 + metrics</w:t>
            </w:r>
          </w:p>
        </w:tc>
      </w:tr>
    </w:tbl>
    <w:p>
      <w:pPr>
        <w:spacing w:after="40"/>
      </w:pPr>
    </w:p>
    <w:p>
      <w:pPr>
        <w:pStyle w:val="Heading2"/>
      </w:pPr>
      <w:r>
        <w:rPr>
          <w:color w:val="2E5496"/>
        </w:rPr>
        <w:t>10.2 The metrics</w:t>
      </w:r>
    </w:p>
    <w:p>
      <w:pPr>
        <w:spacing w:after="120"/>
      </w:pPr>
      <w:r>
        <w:rPr>
          <w:color w:val="202020"/>
        </w:rPr>
        <w:t xml:space="preserve">Every metric is prefixed </w:t>
      </w:r>
      <w:r>
        <w:rPr>
          <w:rFonts w:ascii="Consolas" w:hAnsi="Consolas"/>
          <w:color w:val="202020"/>
          <w:sz w:val="19"/>
        </w:rPr>
        <w:t>salesforce_connector_</w:t>
      </w:r>
      <w:r>
        <w:rPr>
          <w:color w:val="202020"/>
        </w:rPr>
        <w:t xml:space="preserve">. </w:t>
      </w:r>
      <w:r>
        <w:rPr>
          <w:rFonts w:ascii="Consolas" w:hAnsi="Consolas"/>
          <w:color w:val="202020"/>
          <w:sz w:val="19"/>
        </w:rPr>
        <w:t>*_total</w:t>
      </w:r>
      <w:r>
        <w:rPr>
          <w:color w:val="202020"/>
        </w:rPr>
        <w:t xml:space="preserve"> are counters; the rest are gauges.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400"/>
        <w:gridCol w:w="1000"/>
        <w:gridCol w:w="4960"/>
      </w:tblGrid>
      <w:tr>
        <w:tc>
          <w:tcPr>
            <w:tcW w:type="dxa" w:w="3400"/>
            <w:shd w:val="clear" w:color="auto" w:fill="2E5496"/>
          </w:tcPr>
          <w:p>
            <w:r>
              <w:rPr>
                <w:b/>
                <w:color w:val="FFFFFF"/>
                <w:sz w:val="19"/>
              </w:rPr>
              <w:t>Metric</w:t>
            </w:r>
          </w:p>
        </w:tc>
        <w:tc>
          <w:tcPr>
            <w:tcW w:type="dxa" w:w="1000"/>
            <w:shd w:val="clear" w:color="auto" w:fill="2E5496"/>
          </w:tcPr>
          <w:p>
            <w:r>
              <w:rPr>
                <w:b/>
                <w:color w:val="FFFFFF"/>
                <w:sz w:val="19"/>
              </w:rPr>
              <w:t>Type</w:t>
            </w:r>
          </w:p>
        </w:tc>
        <w:tc>
          <w:tcPr>
            <w:tcW w:type="dxa" w:w="4960"/>
            <w:shd w:val="clear" w:color="auto" w:fill="2E5496"/>
          </w:tcPr>
          <w:p>
            <w:r>
              <w:rPr>
                <w:b/>
                <w:color w:val="FFFFFF"/>
                <w:sz w:val="19"/>
              </w:rPr>
              <w:t>What it tells you</w:t>
            </w:r>
          </w:p>
        </w:tc>
      </w:tr>
      <w:tr>
        <w:tc>
          <w:tcPr>
            <w:tcW w:type="dxa" w:w="3400"/>
          </w:tcPr>
          <w:p>
            <w:r>
              <w:rPr>
                <w:color w:val="202020"/>
                <w:sz w:val="19"/>
              </w:rPr>
              <w:t>items_ingested_total</w:t>
            </w:r>
          </w:p>
        </w:tc>
        <w:tc>
          <w:tcPr>
            <w:tcW w:type="dxa" w:w="1000"/>
          </w:tcPr>
          <w:p>
            <w:r>
              <w:rPr>
                <w:color w:val="202020"/>
                <w:sz w:val="19"/>
              </w:rPr>
              <w:t>counter</w:t>
            </w:r>
          </w:p>
        </w:tc>
        <w:tc>
          <w:tcPr>
            <w:tcW w:type="dxa" w:w="4960"/>
          </w:tcPr>
          <w:p>
            <w:r>
              <w:rPr>
                <w:color w:val="202020"/>
                <w:sz w:val="19"/>
              </w:rPr>
              <w:t>Items successfully written to Graph.</w:t>
            </w:r>
          </w:p>
        </w:tc>
      </w:tr>
      <w:tr>
        <w:tc>
          <w:tcPr>
            <w:tcW w:type="dxa" w:w="3400"/>
            <w:shd w:val="clear" w:color="auto" w:fill="F7F9FC"/>
          </w:tcPr>
          <w:p>
            <w:r>
              <w:rPr>
                <w:color w:val="202020"/>
                <w:sz w:val="19"/>
              </w:rPr>
              <w:t>items_failed_total</w:t>
            </w:r>
          </w:p>
        </w:tc>
        <w:tc>
          <w:tcPr>
            <w:tcW w:type="dxa" w:w="1000"/>
            <w:shd w:val="clear" w:color="auto" w:fill="F7F9FC"/>
          </w:tcPr>
          <w:p>
            <w:r>
              <w:rPr>
                <w:color w:val="202020"/>
                <w:sz w:val="19"/>
              </w:rPr>
              <w:t>counter</w:t>
            </w:r>
          </w:p>
        </w:tc>
        <w:tc>
          <w:tcPr>
            <w:tcW w:type="dxa" w:w="4960"/>
            <w:shd w:val="clear" w:color="auto" w:fill="F7F9FC"/>
          </w:tcPr>
          <w:p>
            <w:r>
              <w:rPr>
                <w:color w:val="202020"/>
                <w:sz w:val="19"/>
              </w:rPr>
              <w:t>Items that failed to ingest (see dead-letter).</w:t>
            </w:r>
          </w:p>
        </w:tc>
      </w:tr>
      <w:tr>
        <w:tc>
          <w:tcPr>
            <w:tcW w:type="dxa" w:w="3400"/>
          </w:tcPr>
          <w:p>
            <w:r>
              <w:rPr>
                <w:color w:val="202020"/>
                <w:sz w:val="19"/>
              </w:rPr>
              <w:t>items_deleted_total</w:t>
            </w:r>
          </w:p>
        </w:tc>
        <w:tc>
          <w:tcPr>
            <w:tcW w:type="dxa" w:w="1000"/>
          </w:tcPr>
          <w:p>
            <w:r>
              <w:rPr>
                <w:color w:val="202020"/>
                <w:sz w:val="19"/>
              </w:rPr>
              <w:t>counter</w:t>
            </w:r>
          </w:p>
        </w:tc>
        <w:tc>
          <w:tcPr>
            <w:tcW w:type="dxa" w:w="4960"/>
          </w:tcPr>
          <w:p>
            <w:r>
              <w:rPr>
                <w:color w:val="202020"/>
                <w:sz w:val="19"/>
              </w:rPr>
              <w:t>Items removed by the deletion sweep / reconcile.</w:t>
            </w:r>
          </w:p>
        </w:tc>
      </w:tr>
      <w:tr>
        <w:tc>
          <w:tcPr>
            <w:tcW w:type="dxa" w:w="3400"/>
            <w:shd w:val="clear" w:color="auto" w:fill="F7F9FC"/>
          </w:tcPr>
          <w:p>
            <w:r>
              <w:rPr>
                <w:color w:val="202020"/>
                <w:sz w:val="19"/>
              </w:rPr>
              <w:t>items_skipped_total</w:t>
            </w:r>
          </w:p>
        </w:tc>
        <w:tc>
          <w:tcPr>
            <w:tcW w:type="dxa" w:w="1000"/>
            <w:shd w:val="clear" w:color="auto" w:fill="F7F9FC"/>
          </w:tcPr>
          <w:p>
            <w:r>
              <w:rPr>
                <w:color w:val="202020"/>
                <w:sz w:val="19"/>
              </w:rPr>
              <w:t>counter</w:t>
            </w:r>
          </w:p>
        </w:tc>
        <w:tc>
          <w:tcPr>
            <w:tcW w:type="dxa" w:w="4960"/>
            <w:shd w:val="clear" w:color="auto" w:fill="F7F9FC"/>
          </w:tcPr>
          <w:p>
            <w:r>
              <w:rPr>
                <w:color w:val="202020"/>
                <w:sz w:val="19"/>
              </w:rPr>
              <w:t>Items skipped (e.g. already checkpointed).</w:t>
            </w:r>
          </w:p>
        </w:tc>
      </w:tr>
      <w:tr>
        <w:tc>
          <w:tcPr>
            <w:tcW w:type="dxa" w:w="3400"/>
          </w:tcPr>
          <w:p>
            <w:r>
              <w:rPr>
                <w:color w:val="202020"/>
                <w:sz w:val="19"/>
              </w:rPr>
              <w:t>crawls_started_total / crawls_completed_total</w:t>
            </w:r>
          </w:p>
        </w:tc>
        <w:tc>
          <w:tcPr>
            <w:tcW w:type="dxa" w:w="1000"/>
          </w:tcPr>
          <w:p>
            <w:r>
              <w:rPr>
                <w:color w:val="202020"/>
                <w:sz w:val="19"/>
              </w:rPr>
              <w:t>counter</w:t>
            </w:r>
          </w:p>
        </w:tc>
        <w:tc>
          <w:tcPr>
            <w:tcW w:type="dxa" w:w="4960"/>
          </w:tcPr>
          <w:p>
            <w:r>
              <w:rPr>
                <w:color w:val="202020"/>
                <w:sz w:val="19"/>
              </w:rPr>
              <w:t>Crawl runs started vs finished. Started &gt; completed for long = running or stalled.</w:t>
            </w:r>
          </w:p>
        </w:tc>
      </w:tr>
      <w:tr>
        <w:tc>
          <w:tcPr>
            <w:tcW w:type="dxa" w:w="3400"/>
            <w:shd w:val="clear" w:color="auto" w:fill="F7F9FC"/>
          </w:tcPr>
          <w:p>
            <w:r>
              <w:rPr>
                <w:color w:val="202020"/>
                <w:sz w:val="19"/>
              </w:rPr>
              <w:t>throttled_429_total</w:t>
            </w:r>
          </w:p>
        </w:tc>
        <w:tc>
          <w:tcPr>
            <w:tcW w:type="dxa" w:w="1000"/>
            <w:shd w:val="clear" w:color="auto" w:fill="F7F9FC"/>
          </w:tcPr>
          <w:p>
            <w:r>
              <w:rPr>
                <w:color w:val="202020"/>
                <w:sz w:val="19"/>
              </w:rPr>
              <w:t>counter</w:t>
            </w:r>
          </w:p>
        </w:tc>
        <w:tc>
          <w:tcPr>
            <w:tcW w:type="dxa" w:w="4960"/>
            <w:shd w:val="clear" w:color="auto" w:fill="F7F9FC"/>
          </w:tcPr>
          <w:p>
            <w:r>
              <w:rPr>
                <w:color w:val="202020"/>
                <w:sz w:val="19"/>
              </w:rPr>
              <w:t>HTTP 429 throttling responses from Graph.</w:t>
            </w:r>
          </w:p>
        </w:tc>
      </w:tr>
      <w:tr>
        <w:tc>
          <w:tcPr>
            <w:tcW w:type="dxa" w:w="3400"/>
          </w:tcPr>
          <w:p>
            <w:r>
              <w:rPr>
                <w:color w:val="202020"/>
                <w:sz w:val="19"/>
              </w:rPr>
              <w:t>dead_letter_depth</w:t>
            </w:r>
          </w:p>
        </w:tc>
        <w:tc>
          <w:tcPr>
            <w:tcW w:type="dxa" w:w="1000"/>
          </w:tcPr>
          <w:p>
            <w:r>
              <w:rPr>
                <w:color w:val="202020"/>
                <w:sz w:val="19"/>
              </w:rPr>
              <w:t>gauge</w:t>
            </w:r>
          </w:p>
        </w:tc>
        <w:tc>
          <w:tcPr>
            <w:tcW w:type="dxa" w:w="4960"/>
          </w:tcPr>
          <w:p>
            <w:r>
              <w:rPr>
                <w:color w:val="202020"/>
                <w:sz w:val="19"/>
              </w:rPr>
              <w:t>Current dead-letter backlog.</w:t>
            </w:r>
          </w:p>
        </w:tc>
      </w:tr>
      <w:tr>
        <w:tc>
          <w:tcPr>
            <w:tcW w:type="dxa" w:w="3400"/>
            <w:shd w:val="clear" w:color="auto" w:fill="F7F9FC"/>
          </w:tcPr>
          <w:p>
            <w:r>
              <w:rPr>
                <w:color w:val="202020"/>
                <w:sz w:val="19"/>
              </w:rPr>
              <w:t>adaptive_concurrency_level</w:t>
            </w:r>
          </w:p>
        </w:tc>
        <w:tc>
          <w:tcPr>
            <w:tcW w:type="dxa" w:w="1000"/>
            <w:shd w:val="clear" w:color="auto" w:fill="F7F9FC"/>
          </w:tcPr>
          <w:p>
            <w:r>
              <w:rPr>
                <w:color w:val="202020"/>
                <w:sz w:val="19"/>
              </w:rPr>
              <w:t>gauge</w:t>
            </w:r>
          </w:p>
        </w:tc>
        <w:tc>
          <w:tcPr>
            <w:tcW w:type="dxa" w:w="4960"/>
            <w:shd w:val="clear" w:color="auto" w:fill="F7F9FC"/>
          </w:tcPr>
          <w:p>
            <w:r>
              <w:rPr>
                <w:color w:val="202020"/>
                <w:sz w:val="19"/>
              </w:rPr>
              <w:t>Current Graph batch concurrency (see §10.4).</w:t>
            </w:r>
          </w:p>
        </w:tc>
      </w:tr>
      <w:tr>
        <w:tc>
          <w:tcPr>
            <w:tcW w:type="dxa" w:w="3400"/>
          </w:tcPr>
          <w:p>
            <w:r>
              <w:rPr>
                <w:color w:val="202020"/>
                <w:sz w:val="19"/>
              </w:rPr>
              <w:t>last_crawl_completed_timestamp_seconds</w:t>
            </w:r>
          </w:p>
        </w:tc>
        <w:tc>
          <w:tcPr>
            <w:tcW w:type="dxa" w:w="1000"/>
          </w:tcPr>
          <w:p>
            <w:r>
              <w:rPr>
                <w:color w:val="202020"/>
                <w:sz w:val="19"/>
              </w:rPr>
              <w:t>gauge</w:t>
            </w:r>
          </w:p>
        </w:tc>
        <w:tc>
          <w:tcPr>
            <w:tcW w:type="dxa" w:w="4960"/>
          </w:tcPr>
          <w:p>
            <w:r>
              <w:rPr>
                <w:color w:val="202020"/>
                <w:sz w:val="19"/>
              </w:rPr>
              <w:t>When the last crawl finished (staleness check).</w:t>
            </w:r>
          </w:p>
        </w:tc>
      </w:tr>
      <w:tr>
        <w:tc>
          <w:tcPr>
            <w:tcW w:type="dxa" w:w="3400"/>
            <w:shd w:val="clear" w:color="auto" w:fill="F7F9FC"/>
          </w:tcPr>
          <w:p>
            <w:r>
              <w:rPr>
                <w:color w:val="202020"/>
                <w:sz w:val="19"/>
              </w:rPr>
              <w:t>ha_claims_held</w:t>
            </w:r>
          </w:p>
        </w:tc>
        <w:tc>
          <w:tcPr>
            <w:tcW w:type="dxa" w:w="1000"/>
            <w:shd w:val="clear" w:color="auto" w:fill="F7F9FC"/>
          </w:tcPr>
          <w:p>
            <w:r>
              <w:rPr>
                <w:color w:val="202020"/>
                <w:sz w:val="19"/>
              </w:rPr>
              <w:t>gauge</w:t>
            </w:r>
          </w:p>
        </w:tc>
        <w:tc>
          <w:tcPr>
            <w:tcW w:type="dxa" w:w="4960"/>
            <w:shd w:val="clear" w:color="auto" w:fill="F7F9FC"/>
          </w:tcPr>
          <w:p>
            <w:r>
              <w:rPr>
                <w:color w:val="202020"/>
                <w:sz w:val="19"/>
              </w:rPr>
              <w:t>HA object claims this node is heartbeating (0 outside HA).</w:t>
            </w:r>
          </w:p>
        </w:tc>
      </w:tr>
      <w:tr>
        <w:tc>
          <w:tcPr>
            <w:tcW w:type="dxa" w:w="3400"/>
          </w:tcPr>
          <w:p>
            <w:r>
              <w:rPr>
                <w:color w:val="202020"/>
                <w:sz w:val="19"/>
              </w:rPr>
              <w:t>uptime_seconds</w:t>
            </w:r>
          </w:p>
        </w:tc>
        <w:tc>
          <w:tcPr>
            <w:tcW w:type="dxa" w:w="1000"/>
          </w:tcPr>
          <w:p>
            <w:r>
              <w:rPr>
                <w:color w:val="202020"/>
                <w:sz w:val="19"/>
              </w:rPr>
              <w:t>gauge</w:t>
            </w:r>
          </w:p>
        </w:tc>
        <w:tc>
          <w:tcPr>
            <w:tcW w:type="dxa" w:w="4960"/>
          </w:tcPr>
          <w:p>
            <w:r>
              <w:rPr>
                <w:color w:val="202020"/>
                <w:sz w:val="19"/>
              </w:rPr>
              <w:t>Seconds since process start (resets = restarts).</w:t>
            </w:r>
          </w:p>
        </w:tc>
      </w:tr>
      <w:tr>
        <w:tc>
          <w:tcPr>
            <w:tcW w:type="dxa" w:w="3400"/>
            <w:shd w:val="clear" w:color="auto" w:fill="F7F9FC"/>
          </w:tcPr>
          <w:p>
            <w:r>
              <w:rPr>
                <w:color w:val="202020"/>
                <w:sz w:val="19"/>
              </w:rPr>
              <w:t>object_records_fetched / object_records_total {object_type}</w:t>
            </w:r>
          </w:p>
        </w:tc>
        <w:tc>
          <w:tcPr>
            <w:tcW w:type="dxa" w:w="1000"/>
            <w:shd w:val="clear" w:color="auto" w:fill="F7F9FC"/>
          </w:tcPr>
          <w:p>
            <w:r>
              <w:rPr>
                <w:color w:val="202020"/>
                <w:sz w:val="19"/>
              </w:rPr>
              <w:t>gauge</w:t>
            </w:r>
          </w:p>
        </w:tc>
        <w:tc>
          <w:tcPr>
            <w:tcW w:type="dxa" w:w="4960"/>
            <w:shd w:val="clear" w:color="auto" w:fill="F7F9FC"/>
          </w:tcPr>
          <w:p>
            <w:r>
              <w:rPr>
                <w:color w:val="202020"/>
                <w:sz w:val="19"/>
              </w:rPr>
              <w:t>Per-object crawl progress vs the count Salesforce reported at start.</w:t>
            </w:r>
          </w:p>
        </w:tc>
      </w:tr>
      <w:tr>
        <w:tc>
          <w:tcPr>
            <w:tcW w:type="dxa" w:w="3400"/>
          </w:tcPr>
          <w:p>
            <w:r>
              <w:rPr>
                <w:color w:val="202020"/>
                <w:sz w:val="19"/>
              </w:rPr>
              <w:t>max_item_ace_count</w:t>
            </w:r>
          </w:p>
        </w:tc>
        <w:tc>
          <w:tcPr>
            <w:tcW w:type="dxa" w:w="1000"/>
          </w:tcPr>
          <w:p>
            <w:r>
              <w:rPr>
                <w:color w:val="202020"/>
                <w:sz w:val="19"/>
              </w:rPr>
              <w:t>gauge</w:t>
            </w:r>
          </w:p>
        </w:tc>
        <w:tc>
          <w:tcPr>
            <w:tcW w:type="dxa" w:w="4960"/>
          </w:tcPr>
          <w:p>
            <w:r>
              <w:rPr>
                <w:color w:val="202020"/>
                <w:sz w:val="19"/>
              </w:rPr>
              <w:t>Largest per-item ACL size (ACE count) seen — always exported; watch it against Graph's per-item ACL / 4 MB ceiling. Drives the ACL scale guard (§12.5).</w:t>
            </w:r>
          </w:p>
        </w:tc>
      </w:tr>
    </w:tbl>
    <w:p>
      <w:pPr>
        <w:spacing w:after="40"/>
      </w:pPr>
    </w:p>
    <w:p>
      <w:pPr>
        <w:pStyle w:val="Heading2"/>
      </w:pPr>
      <w:r>
        <w:rPr>
          <w:color w:val="2E5496"/>
        </w:rPr>
        <w:t>10.3 Dashboard panels</w:t>
      </w:r>
    </w:p>
    <w:p>
      <w:pPr>
        <w:spacing w:after="120"/>
      </w:pPr>
      <w:r>
        <w:rPr>
          <w:color w:val="202020"/>
        </w:rPr>
        <w:t>The shipped Grafana dashboard (</w:t>
      </w:r>
      <w:r>
        <w:rPr>
          <w:rFonts w:ascii="Consolas" w:hAnsi="Consolas"/>
          <w:color w:val="202020"/>
          <w:sz w:val="19"/>
        </w:rPr>
        <w:t>ops/grafana-dashboard.json</w:t>
      </w:r>
      <w:r>
        <w:rPr>
          <w:color w:val="202020"/>
        </w:rPr>
        <w:t>, title "Salesforce Copilot Connector") has stat tiles for crawl throughput (items/s), dead-letter depth, 429 rate, adaptive concurrency, HA claims and last-crawl age, plus time-series for ingested/failed/deleted/skipped rates, 429s vs concurrency, crawls started/completed with dead-letter depth, node uptime (restart detection), and a per-object progress bar-gauge and table. Import it against your Prometheus data source.</w:t>
      </w:r>
    </w:p>
    <w:p>
      <w:pPr>
        <w:pStyle w:val="Heading2"/>
      </w:pPr>
      <w:r>
        <w:rPr>
          <w:color w:val="2E5496"/>
        </w:rPr>
        <w:t>10.4 Key alerts</w:t>
      </w:r>
    </w:p>
    <w:p>
      <w:pPr>
        <w:spacing w:after="120"/>
      </w:pPr>
      <w:r>
        <w:rPr>
          <w:color w:val="202020"/>
        </w:rPr>
        <w:t>The shipped Prometheus rules (</w:t>
      </w:r>
      <w:r>
        <w:rPr>
          <w:rFonts w:ascii="Consolas" w:hAnsi="Consolas"/>
          <w:color w:val="202020"/>
          <w:sz w:val="19"/>
        </w:rPr>
        <w:t>ops/prometheus-alerts.yml</w:t>
      </w:r>
      <w:r>
        <w:rPr>
          <w:color w:val="202020"/>
        </w:rPr>
        <w:t>) each link to a runbook in §11. The most important: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100"/>
        <w:gridCol w:w="3860"/>
        <w:gridCol w:w="2400"/>
      </w:tblGrid>
      <w:tr>
        <w:tc>
          <w:tcPr>
            <w:tcW w:type="dxa" w:w="3100"/>
            <w:shd w:val="clear" w:color="auto" w:fill="2E5496"/>
          </w:tcPr>
          <w:p>
            <w:r>
              <w:rPr>
                <w:b/>
                <w:color w:val="FFFFFF"/>
                <w:sz w:val="19"/>
              </w:rPr>
              <w:t>Alert</w:t>
            </w:r>
          </w:p>
        </w:tc>
        <w:tc>
          <w:tcPr>
            <w:tcW w:type="dxa" w:w="3860"/>
            <w:shd w:val="clear" w:color="auto" w:fill="2E5496"/>
          </w:tcPr>
          <w:p>
            <w:r>
              <w:rPr>
                <w:b/>
                <w:color w:val="FFFFFF"/>
                <w:sz w:val="19"/>
              </w:rPr>
              <w:t>Fires when</w:t>
            </w:r>
          </w:p>
        </w:tc>
        <w:tc>
          <w:tcPr>
            <w:tcW w:type="dxa" w:w="2400"/>
            <w:shd w:val="clear" w:color="auto" w:fill="2E5496"/>
          </w:tcPr>
          <w:p>
            <w:r>
              <w:rPr>
                <w:b/>
                <w:color w:val="FFFFFF"/>
                <w:sz w:val="19"/>
              </w:rPr>
              <w:t>Runbook (§11)</w:t>
            </w:r>
          </w:p>
        </w:tc>
      </w:tr>
      <w:tr>
        <w:tc>
          <w:tcPr>
            <w:tcW w:type="dxa" w:w="3100"/>
          </w:tcPr>
          <w:p>
            <w:r>
              <w:rPr>
                <w:color w:val="202020"/>
                <w:sz w:val="19"/>
              </w:rPr>
              <w:t>SfConnectorDown</w:t>
            </w:r>
          </w:p>
        </w:tc>
        <w:tc>
          <w:tcPr>
            <w:tcW w:type="dxa" w:w="3860"/>
          </w:tcPr>
          <w:p>
            <w:r>
              <w:rPr>
                <w:color w:val="202020"/>
                <w:sz w:val="19"/>
              </w:rPr>
              <w:t>/metrics stops answering for 5m.</w:t>
            </w:r>
          </w:p>
        </w:tc>
        <w:tc>
          <w:tcPr>
            <w:tcW w:type="dxa" w:w="2400"/>
          </w:tcPr>
          <w:p>
            <w:r>
              <w:rPr>
                <w:color w:val="202020"/>
                <w:sz w:val="19"/>
              </w:rPr>
              <w:t>Crawl stalled</w:t>
            </w:r>
          </w:p>
        </w:tc>
      </w:tr>
      <w:tr>
        <w:tc>
          <w:tcPr>
            <w:tcW w:type="dxa" w:w="3100"/>
            <w:shd w:val="clear" w:color="auto" w:fill="F7F9FC"/>
          </w:tcPr>
          <w:p>
            <w:r>
              <w:rPr>
                <w:color w:val="202020"/>
                <w:sz w:val="19"/>
              </w:rPr>
              <w:t>SfConnectorRestartLoop</w:t>
            </w:r>
          </w:p>
        </w:tc>
        <w:tc>
          <w:tcPr>
            <w:tcW w:type="dxa" w:w="3860"/>
            <w:shd w:val="clear" w:color="auto" w:fill="F7F9FC"/>
          </w:tcPr>
          <w:p>
            <w:r>
              <w:rPr>
                <w:color w:val="202020"/>
                <w:sz w:val="19"/>
              </w:rPr>
              <w:t>&gt; 2 restarts in 1h (crash loop).</w:t>
            </w:r>
          </w:p>
        </w:tc>
        <w:tc>
          <w:tcPr>
            <w:tcW w:type="dxa" w:w="2400"/>
            <w:shd w:val="clear" w:color="auto" w:fill="F7F9FC"/>
          </w:tcPr>
          <w:p>
            <w:r>
              <w:rPr>
                <w:color w:val="202020"/>
                <w:sz w:val="19"/>
              </w:rPr>
              <w:t>Crawl stalled</w:t>
            </w:r>
          </w:p>
        </w:tc>
      </w:tr>
      <w:tr>
        <w:tc>
          <w:tcPr>
            <w:tcW w:type="dxa" w:w="3100"/>
          </w:tcPr>
          <w:p>
            <w:r>
              <w:rPr>
                <w:color w:val="202020"/>
                <w:sz w:val="19"/>
              </w:rPr>
              <w:t>SfConnectorCrawlStalled</w:t>
            </w:r>
          </w:p>
        </w:tc>
        <w:tc>
          <w:tcPr>
            <w:tcW w:type="dxa" w:w="3860"/>
          </w:tcPr>
          <w:p>
            <w:r>
              <w:rPr>
                <w:color w:val="202020"/>
                <w:sz w:val="19"/>
              </w:rPr>
              <w:t>No completed crawl in &gt; 30h.</w:t>
            </w:r>
          </w:p>
        </w:tc>
        <w:tc>
          <w:tcPr>
            <w:tcW w:type="dxa" w:w="2400"/>
          </w:tcPr>
          <w:p>
            <w:r>
              <w:rPr>
                <w:color w:val="202020"/>
                <w:sz w:val="19"/>
              </w:rPr>
              <w:t>Crawl stalled</w:t>
            </w:r>
          </w:p>
        </w:tc>
      </w:tr>
      <w:tr>
        <w:tc>
          <w:tcPr>
            <w:tcW w:type="dxa" w:w="3100"/>
            <w:shd w:val="clear" w:color="auto" w:fill="F7F9FC"/>
          </w:tcPr>
          <w:p>
            <w:r>
              <w:rPr>
                <w:color w:val="202020"/>
                <w:sz w:val="19"/>
              </w:rPr>
              <w:t>SfConnectorLeaseStuck</w:t>
            </w:r>
          </w:p>
        </w:tc>
        <w:tc>
          <w:tcPr>
            <w:tcW w:type="dxa" w:w="3860"/>
            <w:shd w:val="clear" w:color="auto" w:fill="F7F9FC"/>
          </w:tcPr>
          <w:p>
            <w:r>
              <w:rPr>
                <w:color w:val="202020"/>
                <w:sz w:val="19"/>
              </w:rPr>
              <w:t>Crawl open but no per-object progress for 45m.</w:t>
            </w:r>
          </w:p>
        </w:tc>
        <w:tc>
          <w:tcPr>
            <w:tcW w:type="dxa" w:w="2400"/>
            <w:shd w:val="clear" w:color="auto" w:fill="F7F9FC"/>
          </w:tcPr>
          <w:p>
            <w:r>
              <w:rPr>
                <w:color w:val="202020"/>
                <w:sz w:val="19"/>
              </w:rPr>
              <w:t>Lease stuck</w:t>
            </w:r>
          </w:p>
        </w:tc>
      </w:tr>
      <w:tr>
        <w:tc>
          <w:tcPr>
            <w:tcW w:type="dxa" w:w="3100"/>
          </w:tcPr>
          <w:p>
            <w:r>
              <w:rPr>
                <w:color w:val="202020"/>
                <w:sz w:val="19"/>
              </w:rPr>
              <w:t>SfConnectorThrottle429Storm</w:t>
            </w:r>
          </w:p>
        </w:tc>
        <w:tc>
          <w:tcPr>
            <w:tcW w:type="dxa" w:w="3860"/>
          </w:tcPr>
          <w:p>
            <w:r>
              <w:rPr>
                <w:color w:val="202020"/>
                <w:sz w:val="19"/>
              </w:rPr>
              <w:t>Sustained 429s (&gt; 0.5/s over 15m).</w:t>
            </w:r>
          </w:p>
        </w:tc>
        <w:tc>
          <w:tcPr>
            <w:tcW w:type="dxa" w:w="2400"/>
          </w:tcPr>
          <w:p>
            <w:r>
              <w:rPr>
                <w:color w:val="202020"/>
                <w:sz w:val="19"/>
              </w:rPr>
              <w:t>429 storm</w:t>
            </w:r>
          </w:p>
        </w:tc>
      </w:tr>
      <w:tr>
        <w:tc>
          <w:tcPr>
            <w:tcW w:type="dxa" w:w="3100"/>
            <w:shd w:val="clear" w:color="auto" w:fill="F7F9FC"/>
          </w:tcPr>
          <w:p>
            <w:r>
              <w:rPr>
                <w:color w:val="202020"/>
                <w:sz w:val="19"/>
              </w:rPr>
              <w:t>SfConnectorConcurrencyPinned</w:t>
            </w:r>
          </w:p>
        </w:tc>
        <w:tc>
          <w:tcPr>
            <w:tcW w:type="dxa" w:w="3860"/>
            <w:shd w:val="clear" w:color="auto" w:fill="F7F9FC"/>
          </w:tcPr>
          <w:p>
            <w:r>
              <w:rPr>
                <w:color w:val="202020"/>
                <w:sz w:val="19"/>
              </w:rPr>
              <w:t>adaptive_concurrency_level == 1 while still ingesting.</w:t>
            </w:r>
          </w:p>
        </w:tc>
        <w:tc>
          <w:tcPr>
            <w:tcW w:type="dxa" w:w="2400"/>
            <w:shd w:val="clear" w:color="auto" w:fill="F7F9FC"/>
          </w:tcPr>
          <w:p>
            <w:r>
              <w:rPr>
                <w:color w:val="202020"/>
                <w:sz w:val="19"/>
              </w:rPr>
              <w:t>Adaptive concurrency degradation</w:t>
            </w:r>
          </w:p>
        </w:tc>
      </w:tr>
      <w:tr>
        <w:tc>
          <w:tcPr>
            <w:tcW w:type="dxa" w:w="3100"/>
          </w:tcPr>
          <w:p>
            <w:r>
              <w:rPr>
                <w:color w:val="202020"/>
                <w:sz w:val="19"/>
              </w:rPr>
              <w:t>SfConnectorDeadLetterDepthHigh</w:t>
            </w:r>
          </w:p>
        </w:tc>
        <w:tc>
          <w:tcPr>
            <w:tcW w:type="dxa" w:w="3860"/>
          </w:tcPr>
          <w:p>
            <w:r>
              <w:rPr>
                <w:color w:val="202020"/>
                <w:sz w:val="19"/>
              </w:rPr>
              <w:t>dead_letter_depth &gt; 100 for 30m.</w:t>
            </w:r>
          </w:p>
        </w:tc>
        <w:tc>
          <w:tcPr>
            <w:tcW w:type="dxa" w:w="2400"/>
          </w:tcPr>
          <w:p>
            <w:r>
              <w:rPr>
                <w:color w:val="202020"/>
                <w:sz w:val="19"/>
              </w:rPr>
              <w:t>Dead-letter growth</w:t>
            </w:r>
          </w:p>
        </w:tc>
      </w:tr>
      <w:tr>
        <w:tc>
          <w:tcPr>
            <w:tcW w:type="dxa" w:w="3100"/>
            <w:shd w:val="clear" w:color="auto" w:fill="F7F9FC"/>
          </w:tcPr>
          <w:p>
            <w:r>
              <w:rPr>
                <w:color w:val="202020"/>
                <w:sz w:val="19"/>
              </w:rPr>
              <w:t>SfConnectorHighFailureRatio</w:t>
            </w:r>
          </w:p>
        </w:tc>
        <w:tc>
          <w:tcPr>
            <w:tcW w:type="dxa" w:w="3860"/>
            <w:shd w:val="clear" w:color="auto" w:fill="F7F9FC"/>
          </w:tcPr>
          <w:p>
            <w:r>
              <w:rPr>
                <w:color w:val="202020"/>
                <w:sz w:val="19"/>
              </w:rPr>
              <w:t>&gt; 5% of items failing over 1h.</w:t>
            </w:r>
          </w:p>
        </w:tc>
        <w:tc>
          <w:tcPr>
            <w:tcW w:type="dxa" w:w="2400"/>
            <w:shd w:val="clear" w:color="auto" w:fill="F7F9FC"/>
          </w:tcPr>
          <w:p>
            <w:r>
              <w:rPr>
                <w:color w:val="202020"/>
                <w:sz w:val="19"/>
              </w:rPr>
              <w:t>Dead-letter growth</w:t>
            </w:r>
          </w:p>
        </w:tc>
      </w:tr>
    </w:tbl>
    <w:p>
      <w:pPr>
        <w:spacing w:after="40"/>
      </w:pPr>
    </w:p>
    <w:p>
      <w:pPr>
        <w:pStyle w:val="Heading2"/>
      </w:pPr>
      <w:r>
        <w:rPr>
          <w:color w:val="2E5496"/>
        </w:rPr>
        <w:t>10.5 What good looks like</w:t>
      </w:r>
    </w:p>
    <w:p>
      <w:pPr>
        <w:pStyle w:val="ListBullet"/>
        <w:spacing w:after="40"/>
      </w:pPr>
      <w:r>
        <w:rPr>
          <w:rFonts w:ascii="Consolas" w:hAnsi="Consolas"/>
          <w:color w:val="202020"/>
          <w:sz w:val="19"/>
        </w:rPr>
        <w:t>adaptive_concurrency_level</w:t>
      </w:r>
      <w:r>
        <w:rPr>
          <w:color w:val="202020"/>
        </w:rPr>
        <w:t xml:space="preserve"> sits at your </w:t>
      </w:r>
      <w:r>
        <w:rPr>
          <w:rFonts w:ascii="Consolas" w:hAnsi="Consolas"/>
          <w:color w:val="202020"/>
          <w:sz w:val="19"/>
        </w:rPr>
        <w:t>GRAPH_BATCH_WORKERS</w:t>
      </w:r>
      <w:r>
        <w:rPr>
          <w:color w:val="202020"/>
        </w:rPr>
        <w:t xml:space="preserve"> (default 8), not pinned at 1.</w:t>
      </w:r>
    </w:p>
    <w:p>
      <w:pPr>
        <w:pStyle w:val="ListBullet"/>
        <w:spacing w:after="40"/>
      </w:pPr>
      <w:r>
        <w:rPr>
          <w:rFonts w:ascii="Consolas" w:hAnsi="Consolas"/>
          <w:color w:val="202020"/>
          <w:sz w:val="19"/>
        </w:rPr>
        <w:t>crawls_completed_total</w:t>
      </w:r>
      <w:r>
        <w:rPr>
          <w:color w:val="202020"/>
        </w:rPr>
        <w:t xml:space="preserve"> advances each cycle and </w:t>
      </w:r>
      <w:r>
        <w:rPr>
          <w:rFonts w:ascii="Consolas" w:hAnsi="Consolas"/>
          <w:color w:val="202020"/>
          <w:sz w:val="19"/>
        </w:rPr>
        <w:t>last_crawl_completed_timestamp_seconds</w:t>
      </w:r>
      <w:r>
        <w:rPr>
          <w:color w:val="202020"/>
        </w:rPr>
        <w:t xml:space="preserve"> is recent (within your schedule + a crawl window).</w:t>
      </w:r>
    </w:p>
    <w:p>
      <w:pPr>
        <w:pStyle w:val="ListBullet"/>
        <w:spacing w:after="40"/>
      </w:pPr>
      <w:r>
        <w:rPr>
          <w:rFonts w:ascii="Consolas" w:hAnsi="Consolas"/>
          <w:color w:val="202020"/>
          <w:sz w:val="19"/>
        </w:rPr>
        <w:t>dead_letter_depth</w:t>
      </w:r>
      <w:r>
        <w:rPr>
          <w:color w:val="202020"/>
        </w:rPr>
        <w:t xml:space="preserve"> is 0 (or draining after a known blip); </w:t>
      </w:r>
      <w:r>
        <w:rPr>
          <w:rFonts w:ascii="Consolas" w:hAnsi="Consolas"/>
          <w:color w:val="202020"/>
          <w:sz w:val="19"/>
        </w:rPr>
        <w:t>throttled_429_total</w:t>
      </w:r>
      <w:r>
        <w:rPr>
          <w:color w:val="202020"/>
        </w:rPr>
        <w:t xml:space="preserve"> is flat or only briefly rising.</w:t>
      </w:r>
    </w:p>
    <w:p>
      <w:pPr>
        <w:pStyle w:val="ListBullet"/>
        <w:spacing w:after="40"/>
      </w:pPr>
      <w:r>
        <w:rPr>
          <w:color w:val="202020"/>
        </w:rPr>
        <w:t xml:space="preserve">Steady ingest rate around </w:t>
      </w:r>
      <w:r>
        <w:rPr>
          <w:b/>
          <w:color w:val="202020"/>
        </w:rPr>
        <w:t>25 items/second per connection</w:t>
      </w:r>
      <w:r>
        <w:rPr>
          <w:color w:val="202020"/>
        </w:rPr>
        <w:t xml:space="preserve"> during a full crawl; per-object progress bars all march to 100%.</w:t>
      </w:r>
    </w:p>
    <w:p>
      <w:pPr>
        <w:pStyle w:val="ListBullet"/>
        <w:spacing w:after="40"/>
      </w:pPr>
      <w:r>
        <w:rPr>
          <w:rFonts w:ascii="Consolas" w:hAnsi="Consolas"/>
          <w:color w:val="202020"/>
          <w:sz w:val="19"/>
        </w:rPr>
        <w:t>uptime_seconds</w:t>
      </w:r>
      <w:r>
        <w:rPr>
          <w:color w:val="202020"/>
        </w:rPr>
        <w:t xml:space="preserve"> climbs steadily with no sawtooth (no crash loop).</w:t>
      </w:r>
    </w:p>
    <w:p>
      <w:pPr>
        <w:spacing w:after="120"/>
      </w:pPr>
      <w:r>
        <w:rPr>
          <w:color w:val="202020"/>
        </w:rPr>
        <w:t xml:space="preserve">There is deliberately </w:t>
      </w:r>
      <w:r>
        <w:rPr>
          <w:b/>
          <w:color w:val="202020"/>
        </w:rPr>
        <w:t>no circuit-breaker metric</w:t>
      </w:r>
      <w:r>
        <w:rPr>
          <w:color w:val="202020"/>
        </w:rPr>
        <w:t xml:space="preserve"> to watch — this connector has no breaker. The equivalent signal is </w:t>
      </w:r>
      <w:r>
        <w:rPr>
          <w:rFonts w:ascii="Consolas" w:hAnsi="Consolas"/>
          <w:color w:val="202020"/>
          <w:sz w:val="19"/>
        </w:rPr>
        <w:t>adaptive_concurrency_level</w:t>
      </w:r>
      <w:r>
        <w:rPr>
          <w:color w:val="202020"/>
        </w:rPr>
        <w:t xml:space="preserve"> pinned at 1 (see §10.4 and §11).</w:t>
      </w:r>
    </w:p>
    <w:p>
      <w:pPr>
        <w:pStyle w:val="Heading1"/>
      </w:pPr>
      <w:r>
        <w:rPr>
          <w:color w:val="1F3864"/>
        </w:rPr>
        <w:t>11. Troubleshooting</w:t>
      </w:r>
    </w:p>
    <w:p>
      <w:pPr>
        <w:spacing w:after="200"/>
      </w:pPr>
      <w:r>
        <w:rPr>
          <w:color w:val="595959"/>
          <w:sz w:val="23"/>
        </w:rPr>
        <w:t xml:space="preserve">Symptom to likely cause to what to do. Log lines shown are the exact strings the connector emits — grep for them. </w:t>
      </w:r>
      <w:r>
        <w:rPr>
          <w:rFonts w:ascii="Consolas" w:hAnsi="Consolas"/>
          <w:color w:val="595959"/>
          <w:sz w:val="19"/>
        </w:rPr>
        <w:t>&lt;logdir&gt;</w:t>
      </w:r>
      <w:r>
        <w:rPr>
          <w:color w:val="595959"/>
          <w:sz w:val="23"/>
        </w:rPr>
        <w:t xml:space="preserve"> is the current </w:t>
      </w:r>
      <w:r>
        <w:rPr>
          <w:rFonts w:ascii="Consolas" w:hAnsi="Consolas"/>
          <w:color w:val="595959"/>
          <w:sz w:val="19"/>
        </w:rPr>
        <w:t>logs\{prefix}_{timestamp}\</w:t>
      </w:r>
      <w:r>
        <w:rPr>
          <w:color w:val="595959"/>
          <w:sz w:val="23"/>
        </w:rPr>
        <w:t xml:space="preserve"> run directory.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2760"/>
        <w:gridCol w:w="4000"/>
      </w:tblGrid>
      <w:tr>
        <w:tc>
          <w:tcPr>
            <w:tcW w:type="dxa" w:w="2600"/>
            <w:shd w:val="clear" w:color="auto" w:fill="2E5496"/>
          </w:tcPr>
          <w:p>
            <w:r>
              <w:rPr>
                <w:b/>
                <w:color w:val="FFFFFF"/>
                <w:sz w:val="19"/>
              </w:rPr>
              <w:t>Symptom</w:t>
            </w:r>
          </w:p>
        </w:tc>
        <w:tc>
          <w:tcPr>
            <w:tcW w:type="dxa" w:w="2760"/>
            <w:shd w:val="clear" w:color="auto" w:fill="2E5496"/>
          </w:tcPr>
          <w:p>
            <w:r>
              <w:rPr>
                <w:b/>
                <w:color w:val="FFFFFF"/>
                <w:sz w:val="19"/>
              </w:rPr>
              <w:t>Likely cause</w:t>
            </w:r>
          </w:p>
        </w:tc>
        <w:tc>
          <w:tcPr>
            <w:tcW w:type="dxa" w:w="4000"/>
            <w:shd w:val="clear" w:color="auto" w:fill="2E5496"/>
          </w:tcPr>
          <w:p>
            <w:r>
              <w:rPr>
                <w:b/>
                <w:color w:val="FFFFFF"/>
                <w:sz w:val="19"/>
              </w:rPr>
              <w:t>What to do</w:t>
            </w:r>
          </w:p>
        </w:tc>
      </w:tr>
      <w:tr>
        <w:tc>
          <w:tcPr>
            <w:tcW w:type="dxa" w:w="2600"/>
          </w:tcPr>
          <w:p>
            <w:r>
              <w:rPr>
                <w:color w:val="202020"/>
                <w:sz w:val="19"/>
              </w:rPr>
              <w:t>Crawl aborts immediately; log shows invalid_client / invalid_grant (Salesforce) or 401 InvalidAuthenticationToken / AuthenticationFailedException (Graph).</w:t>
            </w:r>
          </w:p>
        </w:tc>
        <w:tc>
          <w:tcPr>
            <w:tcW w:type="dxa" w:w="2760"/>
          </w:tcPr>
          <w:p>
            <w:r>
              <w:rPr>
                <w:color w:val="202020"/>
                <w:sz w:val="19"/>
              </w:rPr>
              <w:t>Bad or expired credential; wrong auth mode; conditional-access policy.</w:t>
            </w:r>
          </w:p>
        </w:tc>
        <w:tc>
          <w:tcPr>
            <w:tcW w:type="dxa" w:w="4000"/>
          </w:tcPr>
          <w:p>
            <w:r>
              <w:rPr>
                <w:color w:val="202020"/>
                <w:sz w:val="19"/>
              </w:rPr>
              <w:t>Run validate-config --strict (it names the failing credential). Check the startup line 'Graph auth mode: …'. Check secret/cert expiry. Rotate per §12.6 / SECURITY. Confirm Salesforce Connected App client-credentials + run-as user.</w:t>
            </w:r>
          </w:p>
        </w:tc>
      </w:tr>
      <w:tr>
        <w:tc>
          <w:tcPr>
            <w:tcW w:type="dxa" w:w="2600"/>
            <w:shd w:val="clear" w:color="auto" w:fill="F7F9FC"/>
          </w:tcPr>
          <w:p>
            <w:r>
              <w:rPr>
                <w:color w:val="202020"/>
                <w:sz w:val="19"/>
              </w:rPr>
              <w:t>Users miss records they should see in Copilot; identity-dry-run shows many unmapped users.</w:t>
            </w:r>
          </w:p>
        </w:tc>
        <w:tc>
          <w:tcPr>
            <w:tcW w:type="dxa" w:w="2760"/>
            <w:shd w:val="clear" w:color="auto" w:fill="F7F9FC"/>
          </w:tcPr>
          <w:p>
            <w:r>
              <w:rPr>
                <w:color w:val="202020"/>
                <w:sz w:val="19"/>
              </w:rPr>
              <w:t>Salesforce users not matching an Entra identity (FederationIdentifier / UserName / Email mismatch).</w:t>
            </w:r>
          </w:p>
        </w:tc>
        <w:tc>
          <w:tcPr>
            <w:tcW w:type="dxa" w:w="4000"/>
            <w:shd w:val="clear" w:color="auto" w:fill="F7F9FC"/>
          </w:tcPr>
          <w:p>
            <w:r>
              <w:rPr>
                <w:color w:val="202020"/>
                <w:sz w:val="19"/>
              </w:rPr>
              <w:t>Fix the identity data with the Salesforce and Entra admins; re-run identity-dry-run; then a full crawl. Confirm User.Read.All is granted.</w:t>
            </w:r>
          </w:p>
        </w:tc>
      </w:tr>
      <w:tr>
        <w:tc>
          <w:tcPr>
            <w:tcW w:type="dxa" w:w="2600"/>
          </w:tcPr>
          <w:p>
            <w:r>
              <w:rPr>
                <w:color w:val="202020"/>
                <w:sz w:val="19"/>
              </w:rPr>
              <w:t>A record is visible to the wrong people, or to nobody.</w:t>
            </w:r>
          </w:p>
        </w:tc>
        <w:tc>
          <w:tcPr>
            <w:tcW w:type="dxa" w:w="2760"/>
          </w:tcPr>
          <w:p>
            <w:r>
              <w:rPr>
                <w:color w:val="202020"/>
                <w:sz w:val="19"/>
              </w:rPr>
              <w:t>OWD override wrong; over-permissioned run-as user; incomplete identity crawl; cyclic/depth-capped group.</w:t>
            </w:r>
          </w:p>
        </w:tc>
        <w:tc>
          <w:tcPr>
            <w:tcW w:type="dxa" w:w="4000"/>
          </w:tcPr>
          <w:p>
            <w:r>
              <w:rPr>
                <w:color w:val="202020"/>
                <w:sz w:val="19"/>
              </w:rPr>
              <w:t>Re-check OWD_OVERRIDES; confirm the integration user is read-only and correctly scoped; grep the log for 'Cyclic group membership detected' / depth-cap warnings and give the named group to the SF admin. Re-run full crawl.</w:t>
            </w:r>
          </w:p>
        </w:tc>
      </w:tr>
      <w:tr>
        <w:tc>
          <w:tcPr>
            <w:tcW w:type="dxa" w:w="2600"/>
            <w:shd w:val="clear" w:color="auto" w:fill="F7F9FC"/>
          </w:tcPr>
          <w:p>
            <w:r>
              <w:rPr>
                <w:color w:val="202020"/>
                <w:sz w:val="19"/>
              </w:rPr>
              <w:t>throttled_429_total spiking; log floods with 'Graph API transient error 429 … retrying in Ns'.</w:t>
            </w:r>
          </w:p>
        </w:tc>
        <w:tc>
          <w:tcPr>
            <w:tcW w:type="dxa" w:w="2760"/>
            <w:shd w:val="clear" w:color="auto" w:fill="F7F9FC"/>
          </w:tcPr>
          <w:p>
            <w:r>
              <w:rPr>
                <w:color w:val="202020"/>
                <w:sz w:val="19"/>
              </w:rPr>
              <w:t>Too much concurrency, or several jobs hitting one connection at once (HA nodes, retry-failed + full crawl).</w:t>
            </w:r>
          </w:p>
        </w:tc>
        <w:tc>
          <w:tcPr>
            <w:tcW w:type="dxa" w:w="4000"/>
            <w:shd w:val="clear" w:color="auto" w:fill="F7F9FC"/>
          </w:tcPr>
          <w:p>
            <w:r>
              <w:rPr>
                <w:color w:val="202020"/>
                <w:sz w:val="19"/>
              </w:rPr>
              <w:t>The client already backs off (Retry-After honoured, 60s cap). Stagger jobs; restore GRAPH_BATCH_WORKERS defaults; set GRAPH_RETRY_JITTER=true on every HA node. Drain the dead-letter with retry-failed after the storm.</w:t>
            </w:r>
          </w:p>
        </w:tc>
      </w:tr>
      <w:tr>
        <w:tc>
          <w:tcPr>
            <w:tcW w:type="dxa" w:w="2600"/>
          </w:tcPr>
          <w:p>
            <w:r>
              <w:rPr>
                <w:color w:val="202020"/>
                <w:sz w:val="19"/>
              </w:rPr>
              <w:t>adaptive_concurrency_level pinned at 1 for &gt; 15m; no 'concurrency ramped up' lines.</w:t>
            </w:r>
          </w:p>
        </w:tc>
        <w:tc>
          <w:tcPr>
            <w:tcW w:type="dxa" w:w="2760"/>
          </w:tcPr>
          <w:p>
            <w:r>
              <w:rPr>
                <w:color w:val="202020"/>
                <w:sz w:val="19"/>
              </w:rPr>
              <w:t>Sustained Graph throttling — the no-breaker equivalent of 'open'. Ingestion degrades to one worker.</w:t>
            </w:r>
          </w:p>
        </w:tc>
        <w:tc>
          <w:tcPr>
            <w:tcW w:type="dxa" w:w="4000"/>
          </w:tcPr>
          <w:p>
            <w:r>
              <w:rPr>
                <w:color w:val="202020"/>
                <w:sz w:val="19"/>
              </w:rPr>
              <w:t>Usually self-recovers (3 successes per step ramp). If sustained: lower GRAPH_BATCH_WORKERS (divide by node count in HA), enable jitter, or shard connections. Check no runaway retry-failed competes with a crawl.</w:t>
            </w:r>
          </w:p>
        </w:tc>
      </w:tr>
      <w:tr>
        <w:tc>
          <w:tcPr>
            <w:tcW w:type="dxa" w:w="2600"/>
            <w:shd w:val="clear" w:color="auto" w:fill="F7F9FC"/>
          </w:tcPr>
          <w:p>
            <w:r>
              <w:rPr>
                <w:color w:val="202020"/>
                <w:sz w:val="19"/>
              </w:rPr>
              <w:t>Crawl open but one object shows no progress; object_records_fetched flat.</w:t>
            </w:r>
          </w:p>
        </w:tc>
        <w:tc>
          <w:tcPr>
            <w:tcW w:type="dxa" w:w="2760"/>
            <w:shd w:val="clear" w:color="auto" w:fill="F7F9FC"/>
          </w:tcPr>
          <w:p>
            <w:r>
              <w:rPr>
                <w:color w:val="202020"/>
                <w:sz w:val="19"/>
              </w:rPr>
              <w:t>Stalled worker / stuck HA claim on a giant chunk or slow SOQL.</w:t>
            </w:r>
          </w:p>
        </w:tc>
        <w:tc>
          <w:tcPr>
            <w:tcW w:type="dxa" w:w="4000"/>
            <w:shd w:val="clear" w:color="auto" w:fill="F7F9FC"/>
          </w:tcPr>
          <w:p>
            <w:r>
              <w:rPr>
                <w:color w:val="202020"/>
                <w:sz w:val="19"/>
              </w:rPr>
              <w:t>Single node: graceful stop then start — it resumes from the checkpoint. HA: the claim expires after HA_CLAIM_TIMEOUT_SECONDS and a survivor reclaims it. Never delete ObjectClaims rows by hand.</w:t>
            </w:r>
          </w:p>
        </w:tc>
      </w:tr>
      <w:tr>
        <w:tc>
          <w:tcPr>
            <w:tcW w:type="dxa" w:w="2600"/>
          </w:tcPr>
          <w:p>
            <w:r>
              <w:rPr>
                <w:color w:val="202020"/>
                <w:sz w:val="19"/>
              </w:rPr>
              <w:t>dead_letter_depth climbing; dead_letter webhook alert.</w:t>
            </w:r>
          </w:p>
        </w:tc>
        <w:tc>
          <w:tcPr>
            <w:tcW w:type="dxa" w:w="2760"/>
          </w:tcPr>
          <w:p>
            <w:r>
              <w:rPr>
                <w:color w:val="202020"/>
                <w:sz w:val="19"/>
              </w:rPr>
              <w:t>Systematic failure (schema/property mismatch, one object hitting a Graph limit) or a transient tail after throttling.</w:t>
            </w:r>
          </w:p>
        </w:tc>
        <w:tc>
          <w:tcPr>
            <w:tcW w:type="dxa" w:w="4000"/>
          </w:tcPr>
          <w:p>
            <w:r>
              <w:rPr>
                <w:color w:val="202020"/>
                <w:sz w:val="19"/>
              </w:rPr>
              <w:t>Inspect error signatures (jq over failed_records_*.jsonl, or dbo.DeadLetter). One dominant signature = fix the cause (validate-config --strict helps) then retry-failed; long tail = retry-failed --clear-on-success off-peak.</w:t>
            </w:r>
          </w:p>
        </w:tc>
      </w:tr>
      <w:tr>
        <w:tc>
          <w:tcPr>
            <w:tcW w:type="dxa" w:w="2600"/>
            <w:shd w:val="clear" w:color="auto" w:fill="F7F9FC"/>
          </w:tcPr>
          <w:p>
            <w:r>
              <w:rPr>
                <w:color w:val="202020"/>
                <w:sz w:val="19"/>
              </w:rPr>
              <w:t>deletion_sweep_skipped alert; '… of the inventory would be deleted, above the DELETION_SYNC_MAX_PERCENT guard'.</w:t>
            </w:r>
          </w:p>
        </w:tc>
        <w:tc>
          <w:tcPr>
            <w:tcW w:type="dxa" w:w="2760"/>
            <w:shd w:val="clear" w:color="auto" w:fill="F7F9FC"/>
          </w:tcPr>
          <w:p>
            <w:r>
              <w:rPr>
                <w:color w:val="202020"/>
                <w:sz w:val="19"/>
              </w:rPr>
              <w:t>A large fraction of an object looked deleted — real cleanup, or a Salesforce outage / partial fetch.</w:t>
            </w:r>
          </w:p>
        </w:tc>
        <w:tc>
          <w:tcPr>
            <w:tcW w:type="dxa" w:w="4000"/>
            <w:shd w:val="clear" w:color="auto" w:fill="F7F9FC"/>
          </w:tcPr>
          <w:p>
            <w:r>
              <w:rPr>
                <w:color w:val="202020"/>
                <w:sz w:val="19"/>
              </w:rPr>
              <w:t>Decide real vs false: reconcile --type &lt;object&gt; (no --fix) re-checks. False: do nothing (next crawl re-sweeps). Real: reconcile --type &lt;object&gt; --fix, or raise the threshold and re-run.</w:t>
            </w:r>
          </w:p>
        </w:tc>
      </w:tr>
      <w:tr>
        <w:tc>
          <w:tcPr>
            <w:tcW w:type="dxa" w:w="2600"/>
          </w:tcPr>
          <w:p>
            <w:r>
              <w:rPr>
                <w:color w:val="202020"/>
                <w:sz w:val="19"/>
              </w:rPr>
              <w:t>SqliteException naming *_identity.db / *_inventory.db, or 'checkpoint … corrupt', or 'Dead-letter file … corrupt entry at line N'.</w:t>
            </w:r>
          </w:p>
        </w:tc>
        <w:tc>
          <w:tcPr>
            <w:tcW w:type="dxa" w:w="2760"/>
          </w:tcPr>
          <w:p>
            <w:r>
              <w:rPr>
                <w:color w:val="202020"/>
                <w:sz w:val="19"/>
              </w:rPr>
              <w:t>Local state file damaged (often two non-HA processes sharing one state dir).</w:t>
            </w:r>
          </w:p>
        </w:tc>
        <w:tc>
          <w:tcPr>
            <w:tcW w:type="dxa" w:w="4000"/>
          </w:tcPr>
          <w:p>
            <w:r>
              <w:rPr>
                <w:color w:val="202020"/>
                <w:sz w:val="19"/>
              </w:rPr>
              <w:t>State loss = re-crawl cost, not data loss. Corrupt checkpoint: delete it (next crawl restarts that object). Corrupt identity/inventory DB: restore from backup or delete and run a full crawl. Ensure only one process per state dir unless USE_SQL_SERVER + HA_MODE.</w:t>
            </w:r>
          </w:p>
        </w:tc>
      </w:tr>
      <w:tr>
        <w:tc>
          <w:tcPr>
            <w:tcW w:type="dxa" w:w="2600"/>
            <w:shd w:val="clear" w:color="auto" w:fill="F7F9FC"/>
          </w:tcPr>
          <w:p>
            <w:r>
              <w:rPr>
                <w:color w:val="202020"/>
                <w:sz w:val="19"/>
              </w:rPr>
              <w:t>HA: a node stopped heartbeating.</w:t>
            </w:r>
          </w:p>
        </w:tc>
        <w:tc>
          <w:tcPr>
            <w:tcW w:type="dxa" w:w="2760"/>
            <w:shd w:val="clear" w:color="auto" w:fill="F7F9FC"/>
          </w:tcPr>
          <w:p>
            <w:r>
              <w:rPr>
                <w:color w:val="202020"/>
                <w:sz w:val="19"/>
              </w:rPr>
              <w:t>Host down / network partition.</w:t>
            </w:r>
          </w:p>
        </w:tc>
        <w:tc>
          <w:tcPr>
            <w:tcW w:type="dxa" w:w="4000"/>
            <w:shd w:val="clear" w:color="auto" w:fill="F7F9FC"/>
          </w:tcPr>
          <w:p>
            <w:r>
              <w:rPr>
                <w:color w:val="202020"/>
                <w:sz w:val="19"/>
              </w:rPr>
              <w:t>Designed path — a survivor reclaims the expired claim and resumes from the checkpoint; exactly one node closes the crawl. Restart the dead node when convenient. Verify crawls_completed_total advanced.</w:t>
            </w:r>
          </w:p>
        </w:tc>
      </w:tr>
    </w:tbl>
    <w:p>
      <w:pPr>
        <w:spacing w:after="40"/>
      </w:pPr>
    </w:p>
    <w:p>
      <w:pPr>
        <w:pStyle w:val="Heading1"/>
      </w:pPr>
      <w:r>
        <w:rPr>
          <w:color w:val="1F3864"/>
        </w:rPr>
        <w:t>12. Configuration reference</w:t>
      </w:r>
    </w:p>
    <w:p>
      <w:pPr>
        <w:spacing w:after="200"/>
      </w:pPr>
      <w:r>
        <w:rPr>
          <w:color w:val="595959"/>
          <w:sz w:val="23"/>
        </w:rPr>
        <w:t xml:space="preserve">Every environment variable the connector reads, grouped by purpose. Booleans are true for true / 1 / yes. "REQUIRED" values must be set or startup fails naming the missing one. The authoritative source is </w:t>
      </w:r>
      <w:r>
        <w:rPr>
          <w:rFonts w:ascii="Consolas" w:hAnsi="Consolas"/>
          <w:color w:val="595959"/>
          <w:sz w:val="19"/>
        </w:rPr>
        <w:t>env/.env.local.example</w:t>
      </w:r>
      <w:r>
        <w:rPr>
          <w:color w:val="595959"/>
          <w:sz w:val="23"/>
        </w:rPr>
        <w:t>.</w:t>
      </w:r>
    </w:p>
    <w:p>
      <w:pPr>
        <w:pStyle w:val="Heading2"/>
      </w:pPr>
      <w:r>
        <w:rPr>
          <w:color w:val="2E5496"/>
        </w:rPr>
        <w:t>12.1 Core, Salesforce &amp; Graph auth</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4160"/>
        <w:gridCol w:w="2200"/>
      </w:tblGrid>
      <w:tr>
        <w:tc>
          <w:tcPr>
            <w:tcW w:type="dxa" w:w="3000"/>
            <w:shd w:val="clear" w:color="auto" w:fill="2E5496"/>
          </w:tcPr>
          <w:p>
            <w:r>
              <w:rPr>
                <w:b/>
                <w:color w:val="FFFFFF"/>
                <w:sz w:val="19"/>
              </w:rPr>
              <w:t>Variable</w:t>
            </w:r>
          </w:p>
        </w:tc>
        <w:tc>
          <w:tcPr>
            <w:tcW w:type="dxa" w:w="4160"/>
            <w:shd w:val="clear" w:color="auto" w:fill="2E5496"/>
          </w:tcPr>
          <w:p>
            <w:r>
              <w:rPr>
                <w:b/>
                <w:color w:val="FFFFFF"/>
                <w:sz w:val="19"/>
              </w:rPr>
              <w:t>What it does</w:t>
            </w:r>
          </w:p>
        </w:tc>
        <w:tc>
          <w:tcPr>
            <w:tcW w:type="dxa" w:w="2200"/>
            <w:shd w:val="clear" w:color="auto" w:fill="2E5496"/>
          </w:tcPr>
          <w:p>
            <w:r>
              <w:rPr>
                <w:b/>
                <w:color w:val="FFFFFF"/>
                <w:sz w:val="19"/>
              </w:rPr>
              <w:t>Example / default</w:t>
            </w:r>
          </w:p>
        </w:tc>
      </w:tr>
      <w:tr>
        <w:tc>
          <w:tcPr>
            <w:tcW w:type="dxa" w:w="3000"/>
          </w:tcPr>
          <w:p>
            <w:r>
              <w:rPr>
                <w:color w:val="202020"/>
                <w:sz w:val="19"/>
              </w:rPr>
              <w:t>CONNECTOR_ID (req.)</w:t>
            </w:r>
          </w:p>
        </w:tc>
        <w:tc>
          <w:tcPr>
            <w:tcW w:type="dxa" w:w="4160"/>
          </w:tcPr>
          <w:p>
            <w:r>
              <w:rPr>
                <w:color w:val="202020"/>
                <w:sz w:val="19"/>
              </w:rPr>
              <w:t>Unique id for the external connection; the on-disk state key. 3-32 alnum, no reserved prefix.</w:t>
            </w:r>
          </w:p>
        </w:tc>
        <w:tc>
          <w:tcPr>
            <w:tcW w:type="dxa" w:w="2200"/>
          </w:tcPr>
          <w:p>
            <w:r>
              <w:rPr>
                <w:color w:val="202020"/>
                <w:sz w:val="19"/>
              </w:rPr>
              <w:t>SalesforceCRM</w:t>
            </w:r>
          </w:p>
        </w:tc>
      </w:tr>
      <w:tr>
        <w:tc>
          <w:tcPr>
            <w:tcW w:type="dxa" w:w="3000"/>
            <w:shd w:val="clear" w:color="auto" w:fill="F7F9FC"/>
          </w:tcPr>
          <w:p>
            <w:r>
              <w:rPr>
                <w:color w:val="202020"/>
                <w:sz w:val="19"/>
              </w:rPr>
              <w:t>CONNECTOR_NAME / CONNECTOR_DESCRIPTION (req.)</w:t>
            </w:r>
          </w:p>
        </w:tc>
        <w:tc>
          <w:tcPr>
            <w:tcW w:type="dxa" w:w="4160"/>
            <w:shd w:val="clear" w:color="auto" w:fill="F7F9FC"/>
          </w:tcPr>
          <w:p>
            <w:r>
              <w:rPr>
                <w:color w:val="202020"/>
                <w:sz w:val="19"/>
              </w:rPr>
              <w:t>Display name / description shown in the Microsoft admin UI and Search.</w:t>
            </w:r>
          </w:p>
        </w:tc>
        <w:tc>
          <w:tcPr>
            <w:tcW w:type="dxa" w:w="2200"/>
            <w:shd w:val="clear" w:color="auto" w:fill="F7F9FC"/>
          </w:tcPr>
          <w:p>
            <w:r>
              <w:rPr>
                <w:color w:val="202020"/>
                <w:sz w:val="19"/>
              </w:rPr>
              <w:t>Salesforce CRM</w:t>
            </w:r>
          </w:p>
        </w:tc>
      </w:tr>
      <w:tr>
        <w:tc>
          <w:tcPr>
            <w:tcW w:type="dxa" w:w="3000"/>
          </w:tcPr>
          <w:p>
            <w:r>
              <w:rPr>
                <w:color w:val="202020"/>
                <w:sz w:val="19"/>
              </w:rPr>
              <w:t>SALESFORCE_INSTANCE_URL (req.)</w:t>
            </w:r>
          </w:p>
        </w:tc>
        <w:tc>
          <w:tcPr>
            <w:tcW w:type="dxa" w:w="4160"/>
          </w:tcPr>
          <w:p>
            <w:r>
              <w:rPr>
                <w:color w:val="202020"/>
                <w:sz w:val="19"/>
              </w:rPr>
              <w:t>Org base URL (My Domain).</w:t>
            </w:r>
          </w:p>
        </w:tc>
        <w:tc>
          <w:tcPr>
            <w:tcW w:type="dxa" w:w="2200"/>
          </w:tcPr>
          <w:p>
            <w:r>
              <w:rPr>
                <w:color w:val="202020"/>
                <w:sz w:val="19"/>
              </w:rPr>
              <w:t>https://your-org.my.salesforce.com/</w:t>
            </w:r>
          </w:p>
        </w:tc>
      </w:tr>
      <w:tr>
        <w:tc>
          <w:tcPr>
            <w:tcW w:type="dxa" w:w="3000"/>
            <w:shd w:val="clear" w:color="auto" w:fill="F7F9FC"/>
          </w:tcPr>
          <w:p>
            <w:r>
              <w:rPr>
                <w:color w:val="202020"/>
                <w:sz w:val="19"/>
              </w:rPr>
              <w:t>SALESFORCE_API_VERSION (req.)</w:t>
            </w:r>
          </w:p>
        </w:tc>
        <w:tc>
          <w:tcPr>
            <w:tcW w:type="dxa" w:w="4160"/>
            <w:shd w:val="clear" w:color="auto" w:fill="F7F9FC"/>
          </w:tcPr>
          <w:p>
            <w:r>
              <w:rPr>
                <w:color w:val="202020"/>
                <w:sz w:val="19"/>
              </w:rPr>
              <w:t>Salesforce REST API version.</w:t>
            </w:r>
          </w:p>
        </w:tc>
        <w:tc>
          <w:tcPr>
            <w:tcW w:type="dxa" w:w="2200"/>
            <w:shd w:val="clear" w:color="auto" w:fill="F7F9FC"/>
          </w:tcPr>
          <w:p>
            <w:r>
              <w:rPr>
                <w:color w:val="202020"/>
                <w:sz w:val="19"/>
              </w:rPr>
              <w:t>v60.0</w:t>
            </w:r>
          </w:p>
        </w:tc>
      </w:tr>
      <w:tr>
        <w:tc>
          <w:tcPr>
            <w:tcW w:type="dxa" w:w="3000"/>
          </w:tcPr>
          <w:p>
            <w:r>
              <w:rPr>
                <w:color w:val="202020"/>
                <w:sz w:val="19"/>
              </w:rPr>
              <w:t>SALESFORCE_CLIENT_ID (req.)</w:t>
            </w:r>
          </w:p>
        </w:tc>
        <w:tc>
          <w:tcPr>
            <w:tcW w:type="dxa" w:w="4160"/>
          </w:tcPr>
          <w:p>
            <w:r>
              <w:rPr>
                <w:color w:val="202020"/>
                <w:sz w:val="19"/>
              </w:rPr>
              <w:t>Connected App consumer key.</w:t>
            </w:r>
          </w:p>
        </w:tc>
        <w:tc>
          <w:tcPr>
            <w:tcW w:type="dxa" w:w="2200"/>
          </w:tcPr>
          <w:p>
            <w:r>
              <w:rPr>
                <w:color w:val="202020"/>
                <w:sz w:val="19"/>
              </w:rPr>
              <w:t>(from SF admin)</w:t>
            </w:r>
          </w:p>
        </w:tc>
      </w:tr>
      <w:tr>
        <w:tc>
          <w:tcPr>
            <w:tcW w:type="dxa" w:w="3000"/>
            <w:shd w:val="clear" w:color="auto" w:fill="F7F9FC"/>
          </w:tcPr>
          <w:p>
            <w:r>
              <w:rPr>
                <w:color w:val="202020"/>
                <w:sz w:val="19"/>
              </w:rPr>
              <w:t>SECRET_SALESFORCE_CLIENT_SECRET (req.)</w:t>
            </w:r>
          </w:p>
        </w:tc>
        <w:tc>
          <w:tcPr>
            <w:tcW w:type="dxa" w:w="4160"/>
            <w:shd w:val="clear" w:color="auto" w:fill="F7F9FC"/>
          </w:tcPr>
          <w:p>
            <w:r>
              <w:rPr>
                <w:color w:val="202020"/>
                <w:sz w:val="19"/>
              </w:rPr>
              <w:t>Connected App consumer secret — secret file / Key Vault only.</w:t>
            </w:r>
          </w:p>
        </w:tc>
        <w:tc>
          <w:tcPr>
            <w:tcW w:type="dxa" w:w="2200"/>
            <w:shd w:val="clear" w:color="auto" w:fill="F7F9FC"/>
          </w:tcPr>
          <w:p>
            <w:r>
              <w:rPr>
                <w:color w:val="202020"/>
                <w:sz w:val="19"/>
              </w:rPr>
              <w:t>(secret)</w:t>
            </w:r>
          </w:p>
        </w:tc>
      </w:tr>
      <w:tr>
        <w:tc>
          <w:tcPr>
            <w:tcW w:type="dxa" w:w="3000"/>
          </w:tcPr>
          <w:p>
            <w:r>
              <w:rPr>
                <w:color w:val="202020"/>
                <w:sz w:val="19"/>
              </w:rPr>
              <w:t>SALESFORCE_QUERY_LIMIT / SALESFORCE_BATCH_SIZE</w:t>
            </w:r>
          </w:p>
        </w:tc>
        <w:tc>
          <w:tcPr>
            <w:tcW w:type="dxa" w:w="4160"/>
          </w:tcPr>
          <w:p>
            <w:r>
              <w:rPr>
                <w:color w:val="202020"/>
                <w:sz w:val="19"/>
              </w:rPr>
              <w:t>SOQL LIMIT (0 = full pagination) / max ids per SOQL IN.</w:t>
            </w:r>
          </w:p>
        </w:tc>
        <w:tc>
          <w:tcPr>
            <w:tcW w:type="dxa" w:w="2200"/>
          </w:tcPr>
          <w:p>
            <w:r>
              <w:rPr>
                <w:color w:val="202020"/>
                <w:sz w:val="19"/>
              </w:rPr>
              <w:t>0 / 100</w:t>
            </w:r>
          </w:p>
        </w:tc>
      </w:tr>
      <w:tr>
        <w:tc>
          <w:tcPr>
            <w:tcW w:type="dxa" w:w="3000"/>
            <w:shd w:val="clear" w:color="auto" w:fill="F7F9FC"/>
          </w:tcPr>
          <w:p>
            <w:r>
              <w:rPr>
                <w:color w:val="202020"/>
                <w:sz w:val="19"/>
              </w:rPr>
              <w:t>AAD_APP_TENANT_ID / _CLIENT_ID / _OBJECT_ID (req.)</w:t>
            </w:r>
          </w:p>
        </w:tc>
        <w:tc>
          <w:tcPr>
            <w:tcW w:type="dxa" w:w="4160"/>
            <w:shd w:val="clear" w:color="auto" w:fill="F7F9FC"/>
          </w:tcPr>
          <w:p>
            <w:r>
              <w:rPr>
                <w:color w:val="202020"/>
                <w:sz w:val="19"/>
              </w:rPr>
              <w:t>Entra tenant, application client and object ids.</w:t>
            </w:r>
          </w:p>
        </w:tc>
        <w:tc>
          <w:tcPr>
            <w:tcW w:type="dxa" w:w="2200"/>
            <w:shd w:val="clear" w:color="auto" w:fill="F7F9FC"/>
          </w:tcPr>
          <w:p>
            <w:r>
              <w:rPr>
                <w:color w:val="202020"/>
                <w:sz w:val="19"/>
              </w:rPr>
              <w:t>(GUIDs)</w:t>
            </w:r>
          </w:p>
        </w:tc>
      </w:tr>
      <w:tr>
        <w:tc>
          <w:tcPr>
            <w:tcW w:type="dxa" w:w="3000"/>
          </w:tcPr>
          <w:p>
            <w:r>
              <w:rPr>
                <w:color w:val="202020"/>
                <w:sz w:val="19"/>
              </w:rPr>
              <w:t>AAD_APP_OAUTH_AUTHORITY / _HOST (req.)</w:t>
            </w:r>
          </w:p>
        </w:tc>
        <w:tc>
          <w:tcPr>
            <w:tcW w:type="dxa" w:w="4160"/>
          </w:tcPr>
          <w:p>
            <w:r>
              <w:rPr>
                <w:color w:val="202020"/>
                <w:sz w:val="19"/>
              </w:rPr>
              <w:t>Entra OAuth authority URL / host.</w:t>
            </w:r>
          </w:p>
        </w:tc>
        <w:tc>
          <w:tcPr>
            <w:tcW w:type="dxa" w:w="2200"/>
          </w:tcPr>
          <w:p>
            <w:r>
              <w:rPr>
                <w:color w:val="202020"/>
                <w:sz w:val="19"/>
              </w:rPr>
              <w:t>https://login.microsoftonline.com/&lt;tenant&gt;</w:t>
            </w:r>
          </w:p>
        </w:tc>
      </w:tr>
      <w:tr>
        <w:tc>
          <w:tcPr>
            <w:tcW w:type="dxa" w:w="3000"/>
            <w:shd w:val="clear" w:color="auto" w:fill="F7F9FC"/>
          </w:tcPr>
          <w:p>
            <w:r>
              <w:rPr>
                <w:color w:val="202020"/>
                <w:sz w:val="19"/>
              </w:rPr>
              <w:t>SECRET_AAD_APP_CLIENT_SECRET (req. unless cert)</w:t>
            </w:r>
          </w:p>
        </w:tc>
        <w:tc>
          <w:tcPr>
            <w:tcW w:type="dxa" w:w="4160"/>
            <w:shd w:val="clear" w:color="auto" w:fill="F7F9FC"/>
          </w:tcPr>
          <w:p>
            <w:r>
              <w:rPr>
                <w:color w:val="202020"/>
                <w:sz w:val="19"/>
              </w:rPr>
              <w:t>Entra app client secret value.</w:t>
            </w:r>
          </w:p>
        </w:tc>
        <w:tc>
          <w:tcPr>
            <w:tcW w:type="dxa" w:w="2200"/>
            <w:shd w:val="clear" w:color="auto" w:fill="F7F9FC"/>
          </w:tcPr>
          <w:p>
            <w:r>
              <w:rPr>
                <w:color w:val="202020"/>
                <w:sz w:val="19"/>
              </w:rPr>
              <w:t>(secret)</w:t>
            </w:r>
          </w:p>
        </w:tc>
      </w:tr>
      <w:tr>
        <w:tc>
          <w:tcPr>
            <w:tcW w:type="dxa" w:w="3000"/>
          </w:tcPr>
          <w:p>
            <w:r>
              <w:rPr>
                <w:color w:val="202020"/>
                <w:sz w:val="19"/>
              </w:rPr>
              <w:t>GRAPH_API_VERSION</w:t>
            </w:r>
          </w:p>
        </w:tc>
        <w:tc>
          <w:tcPr>
            <w:tcW w:type="dxa" w:w="4160"/>
          </w:tcPr>
          <w:p>
            <w:r>
              <w:rPr>
                <w:color w:val="202020"/>
                <w:sz w:val="19"/>
              </w:rPr>
              <w:t>Graph API version. env docs say beta; the code falls back to v1.0 — set it explicitly.</w:t>
            </w:r>
          </w:p>
        </w:tc>
        <w:tc>
          <w:tcPr>
            <w:tcW w:type="dxa" w:w="2200"/>
          </w:tcPr>
          <w:p>
            <w:r>
              <w:rPr>
                <w:color w:val="202020"/>
                <w:sz w:val="19"/>
              </w:rPr>
              <w:t>v1.0</w:t>
            </w:r>
          </w:p>
        </w:tc>
      </w:tr>
    </w:tbl>
    <w:p>
      <w:pPr>
        <w:spacing w:after="40"/>
      </w:pPr>
    </w:p>
    <w:p>
      <w:pPr>
        <w:pStyle w:val="Heading2"/>
      </w:pPr>
      <w:r>
        <w:rPr>
          <w:color w:val="2E5496"/>
        </w:rPr>
        <w:t>12.2 ACL engine, batching &amp; throttling</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4160"/>
        <w:gridCol w:w="2200"/>
      </w:tblGrid>
      <w:tr>
        <w:tc>
          <w:tcPr>
            <w:tcW w:type="dxa" w:w="3000"/>
            <w:shd w:val="clear" w:color="auto" w:fill="2E5496"/>
          </w:tcPr>
          <w:p>
            <w:r>
              <w:rPr>
                <w:b/>
                <w:color w:val="FFFFFF"/>
                <w:sz w:val="19"/>
              </w:rPr>
              <w:t>Variable</w:t>
            </w:r>
          </w:p>
        </w:tc>
        <w:tc>
          <w:tcPr>
            <w:tcW w:type="dxa" w:w="4160"/>
            <w:shd w:val="clear" w:color="auto" w:fill="2E5496"/>
          </w:tcPr>
          <w:p>
            <w:r>
              <w:rPr>
                <w:b/>
                <w:color w:val="FFFFFF"/>
                <w:sz w:val="19"/>
              </w:rPr>
              <w:t>What it does</w:t>
            </w:r>
          </w:p>
        </w:tc>
        <w:tc>
          <w:tcPr>
            <w:tcW w:type="dxa" w:w="2200"/>
            <w:shd w:val="clear" w:color="auto" w:fill="2E5496"/>
          </w:tcPr>
          <w:p>
            <w:r>
              <w:rPr>
                <w:b/>
                <w:color w:val="FFFFFF"/>
                <w:sz w:val="19"/>
              </w:rPr>
              <w:t>Example / default</w:t>
            </w:r>
          </w:p>
        </w:tc>
      </w:tr>
      <w:tr>
        <w:tc>
          <w:tcPr>
            <w:tcW w:type="dxa" w:w="3000"/>
          </w:tcPr>
          <w:p>
            <w:r>
              <w:rPr>
                <w:color w:val="202020"/>
                <w:sz w:val="19"/>
              </w:rPr>
              <w:t>USE_NEW_ACL_ENGINE</w:t>
            </w:r>
          </w:p>
        </w:tc>
        <w:tc>
          <w:tcPr>
            <w:tcW w:type="dxa" w:w="4160"/>
          </w:tcPr>
          <w:p>
            <w:r>
              <w:rPr>
                <w:color w:val="202020"/>
                <w:sz w:val="19"/>
              </w:rPr>
              <w:t>Use the modular ACL engine (vs the legacy resolver).</w:t>
            </w:r>
          </w:p>
        </w:tc>
        <w:tc>
          <w:tcPr>
            <w:tcW w:type="dxa" w:w="2200"/>
          </w:tcPr>
          <w:p>
            <w:r>
              <w:rPr>
                <w:color w:val="202020"/>
                <w:sz w:val="19"/>
              </w:rPr>
              <w:t>true</w:t>
            </w:r>
          </w:p>
        </w:tc>
      </w:tr>
      <w:tr>
        <w:tc>
          <w:tcPr>
            <w:tcW w:type="dxa" w:w="3000"/>
            <w:shd w:val="clear" w:color="auto" w:fill="F7F9FC"/>
          </w:tcPr>
          <w:p>
            <w:r>
              <w:rPr>
                <w:color w:val="202020"/>
                <w:sz w:val="19"/>
              </w:rPr>
              <w:t>USE_GROUP_ACL</w:t>
            </w:r>
          </w:p>
        </w:tc>
        <w:tc>
          <w:tcPr>
            <w:tcW w:type="dxa" w:w="4160"/>
            <w:shd w:val="clear" w:color="auto" w:fill="F7F9FC"/>
          </w:tcPr>
          <w:p>
            <w:r>
              <w:rPr>
                <w:color w:val="202020"/>
                <w:sz w:val="19"/>
              </w:rPr>
              <w:t>Enable group/queue/role/territory ACLs (needs an identity crawl; full-deployment runs it).</w:t>
            </w:r>
          </w:p>
        </w:tc>
        <w:tc>
          <w:tcPr>
            <w:tcW w:type="dxa" w:w="2200"/>
            <w:shd w:val="clear" w:color="auto" w:fill="F7F9FC"/>
          </w:tcPr>
          <w:p>
            <w:r>
              <w:rPr>
                <w:color w:val="202020"/>
                <w:sz w:val="19"/>
              </w:rPr>
              <w:t>true</w:t>
            </w:r>
          </w:p>
        </w:tc>
      </w:tr>
      <w:tr>
        <w:tc>
          <w:tcPr>
            <w:tcW w:type="dxa" w:w="3000"/>
          </w:tcPr>
          <w:p>
            <w:r>
              <w:rPr>
                <w:color w:val="202020"/>
                <w:sz w:val="19"/>
              </w:rPr>
              <w:t>ACL_MAX_PARENT_DEPTH</w:t>
            </w:r>
          </w:p>
        </w:tc>
        <w:tc>
          <w:tcPr>
            <w:tcW w:type="dxa" w:w="4160"/>
          </w:tcPr>
          <w:p>
            <w:r>
              <w:rPr>
                <w:color w:val="202020"/>
                <w:sz w:val="19"/>
              </w:rPr>
              <w:t>Max ControlledByParent chain depth before falling back to private ACL.</w:t>
            </w:r>
          </w:p>
        </w:tc>
        <w:tc>
          <w:tcPr>
            <w:tcW w:type="dxa" w:w="2200"/>
          </w:tcPr>
          <w:p>
            <w:r>
              <w:rPr>
                <w:color w:val="202020"/>
                <w:sz w:val="19"/>
              </w:rPr>
              <w:t>5</w:t>
            </w:r>
          </w:p>
        </w:tc>
      </w:tr>
      <w:tr>
        <w:tc>
          <w:tcPr>
            <w:tcW w:type="dxa" w:w="3000"/>
            <w:shd w:val="clear" w:color="auto" w:fill="F7F9FC"/>
          </w:tcPr>
          <w:p>
            <w:r>
              <w:rPr>
                <w:color w:val="202020"/>
                <w:sz w:val="19"/>
              </w:rPr>
              <w:t>OWD_OVERRIDES</w:t>
            </w:r>
          </w:p>
        </w:tc>
        <w:tc>
          <w:tcPr>
            <w:tcW w:type="dxa" w:w="4160"/>
            <w:shd w:val="clear" w:color="auto" w:fill="F7F9FC"/>
          </w:tcPr>
          <w:p>
            <w:r>
              <w:rPr>
                <w:color w:val="202020"/>
                <w:sz w:val="19"/>
              </w:rPr>
              <w:t>Force OWD values for testing, JSON e.g. {"Account":"Private"}. Invalid JSON ignored.</w:t>
            </w:r>
          </w:p>
        </w:tc>
        <w:tc>
          <w:tcPr>
            <w:tcW w:type="dxa" w:w="2200"/>
            <w:shd w:val="clear" w:color="auto" w:fill="F7F9FC"/>
          </w:tcPr>
          <w:p>
            <w:r>
              <w:rPr>
                <w:color w:val="202020"/>
                <w:sz w:val="19"/>
              </w:rPr>
              <w:t>(empty)</w:t>
            </w:r>
          </w:p>
        </w:tc>
      </w:tr>
      <w:tr>
        <w:tc>
          <w:tcPr>
            <w:tcW w:type="dxa" w:w="3000"/>
          </w:tcPr>
          <w:p>
            <w:r>
              <w:rPr>
                <w:color w:val="202020"/>
                <w:sz w:val="19"/>
              </w:rPr>
              <w:t>USE_ENTITY_DEFINITION_OWD</w:t>
            </w:r>
          </w:p>
        </w:tc>
        <w:tc>
          <w:tcPr>
            <w:tcW w:type="dxa" w:w="4160"/>
          </w:tcPr>
          <w:p>
            <w:r>
              <w:rPr>
                <w:color w:val="202020"/>
                <w:sz w:val="19"/>
              </w:rPr>
              <w:t>Read OWD from EntityDefinition metadata instead of schema.json mapping.</w:t>
            </w:r>
          </w:p>
        </w:tc>
        <w:tc>
          <w:tcPr>
            <w:tcW w:type="dxa" w:w="2200"/>
          </w:tcPr>
          <w:p>
            <w:r>
              <w:rPr>
                <w:color w:val="202020"/>
                <w:sz w:val="19"/>
              </w:rPr>
              <w:t>false</w:t>
            </w:r>
          </w:p>
        </w:tc>
      </w:tr>
      <w:tr>
        <w:tc>
          <w:tcPr>
            <w:tcW w:type="dxa" w:w="3000"/>
            <w:shd w:val="clear" w:color="auto" w:fill="F7F9FC"/>
          </w:tcPr>
          <w:p>
            <w:r>
              <w:rPr>
                <w:color w:val="202020"/>
                <w:sz w:val="19"/>
              </w:rPr>
              <w:t>INGEST_CHUNK_SIZE</w:t>
            </w:r>
          </w:p>
        </w:tc>
        <w:tc>
          <w:tcPr>
            <w:tcW w:type="dxa" w:w="4160"/>
            <w:shd w:val="clear" w:color="auto" w:fill="F7F9FC"/>
          </w:tcPr>
          <w:p>
            <w:r>
              <w:rPr>
                <w:color w:val="202020"/>
                <w:sz w:val="19"/>
              </w:rPr>
              <w:t>Salesforce records per ACL + Graph batch cycle (align to the 2000 page).</w:t>
            </w:r>
          </w:p>
        </w:tc>
        <w:tc>
          <w:tcPr>
            <w:tcW w:type="dxa" w:w="2200"/>
            <w:shd w:val="clear" w:color="auto" w:fill="F7F9FC"/>
          </w:tcPr>
          <w:p>
            <w:r>
              <w:rPr>
                <w:color w:val="202020"/>
                <w:sz w:val="19"/>
              </w:rPr>
              <w:t>2000</w:t>
            </w:r>
          </w:p>
        </w:tc>
      </w:tr>
      <w:tr>
        <w:tc>
          <w:tcPr>
            <w:tcW w:type="dxa" w:w="3000"/>
          </w:tcPr>
          <w:p>
            <w:r>
              <w:rPr>
                <w:color w:val="202020"/>
                <w:sz w:val="19"/>
              </w:rPr>
              <w:t>INGEST_GRAPH_BATCH_SIZE</w:t>
            </w:r>
          </w:p>
        </w:tc>
        <w:tc>
          <w:tcPr>
            <w:tcW w:type="dxa" w:w="4160"/>
          </w:tcPr>
          <w:p>
            <w:r>
              <w:rPr>
                <w:color w:val="202020"/>
                <w:sz w:val="19"/>
              </w:rPr>
              <w:t>Requests per Graph $batch POST (hard-capped at 20).</w:t>
            </w:r>
          </w:p>
        </w:tc>
        <w:tc>
          <w:tcPr>
            <w:tcW w:type="dxa" w:w="2200"/>
          </w:tcPr>
          <w:p>
            <w:r>
              <w:rPr>
                <w:color w:val="202020"/>
                <w:sz w:val="19"/>
              </w:rPr>
              <w:t>20</w:t>
            </w:r>
          </w:p>
        </w:tc>
      </w:tr>
      <w:tr>
        <w:tc>
          <w:tcPr>
            <w:tcW w:type="dxa" w:w="3000"/>
            <w:shd w:val="clear" w:color="auto" w:fill="F7F9FC"/>
          </w:tcPr>
          <w:p>
            <w:r>
              <w:rPr>
                <w:color w:val="202020"/>
                <w:sz w:val="19"/>
              </w:rPr>
              <w:t>GRAPH_BATCH_WORKERS</w:t>
            </w:r>
          </w:p>
        </w:tc>
        <w:tc>
          <w:tcPr>
            <w:tcW w:type="dxa" w:w="4160"/>
            <w:shd w:val="clear" w:color="auto" w:fill="F7F9FC"/>
          </w:tcPr>
          <w:p>
            <w:r>
              <w:rPr>
                <w:color w:val="202020"/>
                <w:sz w:val="19"/>
              </w:rPr>
              <w:t>Concurrent Graph $batch workers; adaptive concurrency dials 1..this on 429s. In HA divide by node count.</w:t>
            </w:r>
          </w:p>
        </w:tc>
        <w:tc>
          <w:tcPr>
            <w:tcW w:type="dxa" w:w="2200"/>
            <w:shd w:val="clear" w:color="auto" w:fill="F7F9FC"/>
          </w:tcPr>
          <w:p>
            <w:r>
              <w:rPr>
                <w:color w:val="202020"/>
                <w:sz w:val="19"/>
              </w:rPr>
              <w:t>8</w:t>
            </w:r>
          </w:p>
        </w:tc>
      </w:tr>
      <w:tr>
        <w:tc>
          <w:tcPr>
            <w:tcW w:type="dxa" w:w="3000"/>
          </w:tcPr>
          <w:p>
            <w:r>
              <w:rPr>
                <w:color w:val="202020"/>
                <w:sz w:val="19"/>
              </w:rPr>
              <w:t>PARALLEL_OBJECT_WORKERS</w:t>
            </w:r>
          </w:p>
        </w:tc>
        <w:tc>
          <w:tcPr>
            <w:tcW w:type="dxa" w:w="4160"/>
          </w:tcPr>
          <w:p>
            <w:r>
              <w:rPr>
                <w:color w:val="202020"/>
                <w:sz w:val="19"/>
              </w:rPr>
              <w:t>Salesforce object types ingested in parallel (single-node).</w:t>
            </w:r>
          </w:p>
        </w:tc>
        <w:tc>
          <w:tcPr>
            <w:tcW w:type="dxa" w:w="2200"/>
          </w:tcPr>
          <w:p>
            <w:r>
              <w:rPr>
                <w:color w:val="202020"/>
                <w:sz w:val="19"/>
              </w:rPr>
              <w:t>3</w:t>
            </w:r>
          </w:p>
        </w:tc>
      </w:tr>
      <w:tr>
        <w:tc>
          <w:tcPr>
            <w:tcW w:type="dxa" w:w="3000"/>
            <w:shd w:val="clear" w:color="auto" w:fill="F7F9FC"/>
          </w:tcPr>
          <w:p>
            <w:r>
              <w:rPr>
                <w:color w:val="202020"/>
                <w:sz w:val="19"/>
              </w:rPr>
              <w:t>GRAPH_MAX_RETRIES / GRAPH_RETRY_BACKOFF_BASE</w:t>
            </w:r>
          </w:p>
        </w:tc>
        <w:tc>
          <w:tcPr>
            <w:tcW w:type="dxa" w:w="4160"/>
            <w:shd w:val="clear" w:color="auto" w:fill="F7F9FC"/>
          </w:tcPr>
          <w:p>
            <w:r>
              <w:rPr>
                <w:color w:val="202020"/>
                <w:sz w:val="19"/>
              </w:rPr>
              <w:t>Max Graph retries / exponential base seconds (capped 60s; Retry-After honoured exactly).</w:t>
            </w:r>
          </w:p>
        </w:tc>
        <w:tc>
          <w:tcPr>
            <w:tcW w:type="dxa" w:w="2200"/>
            <w:shd w:val="clear" w:color="auto" w:fill="F7F9FC"/>
          </w:tcPr>
          <w:p>
            <w:r>
              <w:rPr>
                <w:color w:val="202020"/>
                <w:sz w:val="19"/>
              </w:rPr>
              <w:t>4 / 2</w:t>
            </w:r>
          </w:p>
        </w:tc>
      </w:tr>
      <w:tr>
        <w:tc>
          <w:tcPr>
            <w:tcW w:type="dxa" w:w="3000"/>
          </w:tcPr>
          <w:p>
            <w:r>
              <w:rPr>
                <w:color w:val="202020"/>
                <w:sz w:val="19"/>
              </w:rPr>
              <w:t>GRAPH_RETRY_JITTER</w:t>
            </w:r>
          </w:p>
        </w:tc>
        <w:tc>
          <w:tcPr>
            <w:tcW w:type="dxa" w:w="4160"/>
          </w:tcPr>
          <w:p>
            <w:r>
              <w:rPr>
                <w:color w:val="202020"/>
                <w:sz w:val="19"/>
              </w:rPr>
              <w:t>Apply +/-20% jitter to computed backoff (recommended in HA).</w:t>
            </w:r>
          </w:p>
        </w:tc>
        <w:tc>
          <w:tcPr>
            <w:tcW w:type="dxa" w:w="2200"/>
          </w:tcPr>
          <w:p>
            <w:r>
              <w:rPr>
                <w:color w:val="202020"/>
                <w:sz w:val="19"/>
              </w:rPr>
              <w:t>false</w:t>
            </w:r>
          </w:p>
        </w:tc>
      </w:tr>
    </w:tbl>
    <w:p>
      <w:pPr>
        <w:spacing w:after="40"/>
      </w:pPr>
    </w:p>
    <w:p>
      <w:pPr>
        <w:pStyle w:val="Heading2"/>
      </w:pPr>
      <w:r>
        <w:rPr>
          <w:color w:val="2E5496"/>
        </w:rPr>
        <w:t>12.3 Deployment, state &amp; high availability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4160"/>
        <w:gridCol w:w="2200"/>
      </w:tblGrid>
      <w:tr>
        <w:tc>
          <w:tcPr>
            <w:tcW w:type="dxa" w:w="3000"/>
            <w:shd w:val="clear" w:color="auto" w:fill="2E5496"/>
          </w:tcPr>
          <w:p>
            <w:r>
              <w:rPr>
                <w:b/>
                <w:color w:val="FFFFFF"/>
                <w:sz w:val="19"/>
              </w:rPr>
              <w:t>Variable</w:t>
            </w:r>
          </w:p>
        </w:tc>
        <w:tc>
          <w:tcPr>
            <w:tcW w:type="dxa" w:w="4160"/>
            <w:shd w:val="clear" w:color="auto" w:fill="2E5496"/>
          </w:tcPr>
          <w:p>
            <w:r>
              <w:rPr>
                <w:b/>
                <w:color w:val="FFFFFF"/>
                <w:sz w:val="19"/>
              </w:rPr>
              <w:t>What it does</w:t>
            </w:r>
          </w:p>
        </w:tc>
        <w:tc>
          <w:tcPr>
            <w:tcW w:type="dxa" w:w="2200"/>
            <w:shd w:val="clear" w:color="auto" w:fill="2E5496"/>
          </w:tcPr>
          <w:p>
            <w:r>
              <w:rPr>
                <w:b/>
                <w:color w:val="FFFFFF"/>
                <w:sz w:val="19"/>
              </w:rPr>
              <w:t>Example / default</w:t>
            </w:r>
          </w:p>
        </w:tc>
      </w:tr>
      <w:tr>
        <w:tc>
          <w:tcPr>
            <w:tcW w:type="dxa" w:w="3000"/>
          </w:tcPr>
          <w:p>
            <w:r>
              <w:rPr>
                <w:color w:val="202020"/>
                <w:sz w:val="19"/>
              </w:rPr>
              <w:t>SFCONNECTOR_HOME</w:t>
            </w:r>
          </w:p>
        </w:tc>
        <w:tc>
          <w:tcPr>
            <w:tcW w:type="dxa" w:w="4160"/>
          </w:tcPr>
          <w:p>
            <w:r>
              <w:rPr>
                <w:color w:val="202020"/>
                <w:sz w:val="19"/>
              </w:rPr>
              <w:t>Root that relative paths (config, env, logs, data) resolve against in service mode.</w:t>
            </w:r>
          </w:p>
        </w:tc>
        <w:tc>
          <w:tcPr>
            <w:tcW w:type="dxa" w:w="2200"/>
          </w:tcPr>
          <w:p>
            <w:r>
              <w:rPr>
                <w:color w:val="202020"/>
                <w:sz w:val="19"/>
              </w:rPr>
              <w:t>(install dir)</w:t>
            </w:r>
          </w:p>
        </w:tc>
      </w:tr>
      <w:tr>
        <w:tc>
          <w:tcPr>
            <w:tcW w:type="dxa" w:w="3000"/>
            <w:shd w:val="clear" w:color="auto" w:fill="F7F9FC"/>
          </w:tcPr>
          <w:p>
            <w:r>
              <w:rPr>
                <w:color w:val="202020"/>
                <w:sz w:val="19"/>
              </w:rPr>
              <w:t>USE_SQL_SERVER + SQL_CONNECTION_STRING</w:t>
            </w:r>
          </w:p>
        </w:tc>
        <w:tc>
          <w:tcPr>
            <w:tcW w:type="dxa" w:w="4160"/>
            <w:shd w:val="clear" w:color="auto" w:fill="F7F9FC"/>
          </w:tcPr>
          <w:p>
            <w:r>
              <w:rPr>
                <w:color w:val="202020"/>
                <w:sz w:val="19"/>
              </w:rPr>
              <w:t>Move all state to SQL Server (required for HA). Point at the AG listener.</w:t>
            </w:r>
          </w:p>
        </w:tc>
        <w:tc>
          <w:tcPr>
            <w:tcW w:type="dxa" w:w="2200"/>
            <w:shd w:val="clear" w:color="auto" w:fill="F7F9FC"/>
          </w:tcPr>
          <w:p>
            <w:r>
              <w:rPr>
                <w:color w:val="202020"/>
                <w:sz w:val="19"/>
              </w:rPr>
              <w:t>false</w:t>
            </w:r>
          </w:p>
        </w:tc>
      </w:tr>
      <w:tr>
        <w:tc>
          <w:tcPr>
            <w:tcW w:type="dxa" w:w="3000"/>
          </w:tcPr>
          <w:p>
            <w:r>
              <w:rPr>
                <w:color w:val="202020"/>
                <w:sz w:val="19"/>
              </w:rPr>
              <w:t>SQL_USE_MANAGED_IDENTITY / SQL_MAX_RETRIES</w:t>
            </w:r>
          </w:p>
        </w:tc>
        <w:tc>
          <w:tcPr>
            <w:tcW w:type="dxa" w:w="4160"/>
          </w:tcPr>
          <w:p>
            <w:r>
              <w:rPr>
                <w:color w:val="202020"/>
                <w:sz w:val="19"/>
              </w:rPr>
              <w:t>Entra auth for SQL / transient-fault retry count.</w:t>
            </w:r>
          </w:p>
        </w:tc>
        <w:tc>
          <w:tcPr>
            <w:tcW w:type="dxa" w:w="2200"/>
          </w:tcPr>
          <w:p>
            <w:r>
              <w:rPr>
                <w:color w:val="202020"/>
                <w:sz w:val="19"/>
              </w:rPr>
              <w:t>false / 5</w:t>
            </w:r>
          </w:p>
        </w:tc>
      </w:tr>
      <w:tr>
        <w:tc>
          <w:tcPr>
            <w:tcW w:type="dxa" w:w="3000"/>
            <w:shd w:val="clear" w:color="auto" w:fill="F7F9FC"/>
          </w:tcPr>
          <w:p>
            <w:r>
              <w:rPr>
                <w:color w:val="202020"/>
                <w:sz w:val="19"/>
              </w:rPr>
              <w:t>HA_MODE / NODE_ID</w:t>
            </w:r>
          </w:p>
        </w:tc>
        <w:tc>
          <w:tcPr>
            <w:tcW w:type="dxa" w:w="4160"/>
            <w:shd w:val="clear" w:color="auto" w:fill="F7F9FC"/>
          </w:tcPr>
          <w:p>
            <w:r>
              <w:rPr>
                <w:color w:val="202020"/>
                <w:sz w:val="19"/>
              </w:rPr>
              <w:t>Active-active multi-node crawling / stable node id.</w:t>
            </w:r>
          </w:p>
        </w:tc>
        <w:tc>
          <w:tcPr>
            <w:tcW w:type="dxa" w:w="2200"/>
            <w:shd w:val="clear" w:color="auto" w:fill="F7F9FC"/>
          </w:tcPr>
          <w:p>
            <w:r>
              <w:rPr>
                <w:color w:val="202020"/>
                <w:sz w:val="19"/>
              </w:rPr>
              <w:t>false / (machine name)</w:t>
            </w:r>
          </w:p>
        </w:tc>
      </w:tr>
      <w:tr>
        <w:tc>
          <w:tcPr>
            <w:tcW w:type="dxa" w:w="3000"/>
          </w:tcPr>
          <w:p>
            <w:r>
              <w:rPr>
                <w:color w:val="202020"/>
                <w:sz w:val="19"/>
              </w:rPr>
              <w:t>HA_CLAIM_TIMEOUT_SECONDS / HA_HEARTBEAT_SECONDS</w:t>
            </w:r>
          </w:p>
        </w:tc>
        <w:tc>
          <w:tcPr>
            <w:tcW w:type="dxa" w:w="4160"/>
          </w:tcPr>
          <w:p>
            <w:r>
              <w:rPr>
                <w:color w:val="202020"/>
                <w:sz w:val="19"/>
              </w:rPr>
              <w:t>When a stale claim is reclaimable / heartbeat interval.</w:t>
            </w:r>
          </w:p>
        </w:tc>
        <w:tc>
          <w:tcPr>
            <w:tcW w:type="dxa" w:w="2200"/>
          </w:tcPr>
          <w:p>
            <w:r>
              <w:rPr>
                <w:color w:val="202020"/>
                <w:sz w:val="19"/>
              </w:rPr>
              <w:t>300 / 60</w:t>
            </w:r>
          </w:p>
        </w:tc>
      </w:tr>
      <w:tr>
        <w:tc>
          <w:tcPr>
            <w:tcW w:type="dxa" w:w="3000"/>
            <w:shd w:val="clear" w:color="auto" w:fill="F7F9FC"/>
          </w:tcPr>
          <w:p>
            <w:r>
              <w:rPr>
                <w:color w:val="202020"/>
                <w:sz w:val="19"/>
              </w:rPr>
              <w:t>USE_KEY_VAULT + KEY_VAULT_URI</w:t>
            </w:r>
          </w:p>
        </w:tc>
        <w:tc>
          <w:tcPr>
            <w:tcW w:type="dxa" w:w="4160"/>
            <w:shd w:val="clear" w:color="auto" w:fill="F7F9FC"/>
          </w:tcPr>
          <w:p>
            <w:r>
              <w:rPr>
                <w:color w:val="202020"/>
                <w:sz w:val="19"/>
              </w:rPr>
              <w:t>Resolve SECRET_* from Azure Key Vault instead of env.</w:t>
            </w:r>
          </w:p>
        </w:tc>
        <w:tc>
          <w:tcPr>
            <w:tcW w:type="dxa" w:w="2200"/>
            <w:shd w:val="clear" w:color="auto" w:fill="F7F9FC"/>
          </w:tcPr>
          <w:p>
            <w:r>
              <w:rPr>
                <w:color w:val="202020"/>
                <w:sz w:val="19"/>
              </w:rPr>
              <w:t>false</w:t>
            </w:r>
          </w:p>
        </w:tc>
      </w:tr>
      <w:tr>
        <w:tc>
          <w:tcPr>
            <w:tcW w:type="dxa" w:w="3000"/>
          </w:tcPr>
          <w:p>
            <w:r>
              <w:rPr>
                <w:color w:val="202020"/>
                <w:sz w:val="19"/>
              </w:rPr>
              <w:t>DELETION_SYNC / DELETION_SYNC_MAX_PERCENT</w:t>
            </w:r>
          </w:p>
        </w:tc>
        <w:tc>
          <w:tcPr>
            <w:tcW w:type="dxa" w:w="4160"/>
          </w:tcPr>
          <w:p>
            <w:r>
              <w:rPr>
                <w:color w:val="202020"/>
                <w:sz w:val="19"/>
              </w:rPr>
              <w:t>Full-crawl deletion sweep on/off / mass-deletion guard percent.</w:t>
            </w:r>
          </w:p>
        </w:tc>
        <w:tc>
          <w:tcPr>
            <w:tcW w:type="dxa" w:w="2200"/>
          </w:tcPr>
          <w:p>
            <w:r>
              <w:rPr>
                <w:color w:val="202020"/>
                <w:sz w:val="19"/>
              </w:rPr>
              <w:t>true / 25</w:t>
            </w:r>
          </w:p>
        </w:tc>
      </w:tr>
      <w:tr>
        <w:tc>
          <w:tcPr>
            <w:tcW w:type="dxa" w:w="3000"/>
            <w:shd w:val="clear" w:color="auto" w:fill="F7F9FC"/>
          </w:tcPr>
          <w:p>
            <w:r>
              <w:rPr>
                <w:color w:val="202020"/>
                <w:sz w:val="19"/>
              </w:rPr>
              <w:t>IDENTITY_SYNC_ON_INCREMENTAL</w:t>
            </w:r>
          </w:p>
        </w:tc>
        <w:tc>
          <w:tcPr>
            <w:tcW w:type="dxa" w:w="4160"/>
            <w:shd w:val="clear" w:color="auto" w:fill="F7F9FC"/>
          </w:tcPr>
          <w:p>
            <w:r>
              <w:rPr>
                <w:color w:val="202020"/>
                <w:sz w:val="19"/>
              </w:rPr>
              <w:t>Re-run the identity sync on incremental crawls too (opt-out; only takes effect when USE_GROUP_ACL=true). false = sync identities on full crawls only.</w:t>
            </w:r>
          </w:p>
        </w:tc>
        <w:tc>
          <w:tcPr>
            <w:tcW w:type="dxa" w:w="2200"/>
            <w:shd w:val="clear" w:color="auto" w:fill="F7F9FC"/>
          </w:tcPr>
          <w:p>
            <w:r>
              <w:rPr>
                <w:color w:val="202020"/>
                <w:sz w:val="19"/>
              </w:rPr>
              <w:t>true</w:t>
            </w:r>
          </w:p>
        </w:tc>
      </w:tr>
      <w:tr>
        <w:tc>
          <w:tcPr>
            <w:tcW w:type="dxa" w:w="3000"/>
          </w:tcPr>
          <w:p>
            <w:r>
              <w:rPr>
                <w:color w:val="202020"/>
                <w:sz w:val="19"/>
              </w:rPr>
              <w:t>GRAPH_CONNECTION_SHARDS</w:t>
            </w:r>
          </w:p>
        </w:tc>
        <w:tc>
          <w:tcPr>
            <w:tcW w:type="dxa" w:w="4160"/>
          </w:tcPr>
          <w:p>
            <w:r>
              <w:rPr>
                <w:color w:val="202020"/>
                <w:sz w:val="19"/>
              </w:rPr>
              <w:t>Split objects across N Graph connections for throughput (JSON map).</w:t>
            </w:r>
          </w:p>
        </w:tc>
        <w:tc>
          <w:tcPr>
            <w:tcW w:type="dxa" w:w="2200"/>
          </w:tcPr>
          <w:p>
            <w:r>
              <w:rPr>
                <w:color w:val="202020"/>
                <w:sz w:val="19"/>
              </w:rPr>
              <w:t>(unset)</w:t>
            </w:r>
          </w:p>
        </w:tc>
      </w:tr>
      <w:tr>
        <w:tc>
          <w:tcPr>
            <w:tcW w:type="dxa" w:w="3000"/>
            <w:shd w:val="clear" w:color="auto" w:fill="F7F9FC"/>
          </w:tcPr>
          <w:p>
            <w:r>
              <w:rPr>
                <w:color w:val="202020"/>
                <w:sz w:val="19"/>
              </w:rPr>
              <w:t>GRAPH_BASE_URL / GRAPH_SCOPE</w:t>
            </w:r>
          </w:p>
        </w:tc>
        <w:tc>
          <w:tcPr>
            <w:tcW w:type="dxa" w:w="4160"/>
            <w:shd w:val="clear" w:color="auto" w:fill="F7F9FC"/>
          </w:tcPr>
          <w:p>
            <w:r>
              <w:rPr>
                <w:color w:val="202020"/>
                <w:sz w:val="19"/>
              </w:rPr>
              <w:t>Sovereign-cloud Graph endpoint / token audience.</w:t>
            </w:r>
          </w:p>
        </w:tc>
        <w:tc>
          <w:tcPr>
            <w:tcW w:type="dxa" w:w="2200"/>
            <w:shd w:val="clear" w:color="auto" w:fill="F7F9FC"/>
          </w:tcPr>
          <w:p>
            <w:r>
              <w:rPr>
                <w:color w:val="202020"/>
                <w:sz w:val="19"/>
              </w:rPr>
              <w:t>https://graph.microsoft.com</w:t>
            </w:r>
          </w:p>
        </w:tc>
      </w:tr>
    </w:tbl>
    <w:p>
      <w:pPr>
        <w:spacing w:after="40"/>
      </w:pPr>
    </w:p>
    <w:p>
      <w:pPr>
        <w:pStyle w:val="Heading2"/>
      </w:pPr>
      <w:r>
        <w:rPr>
          <w:color w:val="2E5496"/>
        </w:rPr>
        <w:t>12.4 Enterprise: proxy, TLS, logging, alerting, certificate auth</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4160"/>
        <w:gridCol w:w="2200"/>
      </w:tblGrid>
      <w:tr>
        <w:tc>
          <w:tcPr>
            <w:tcW w:type="dxa" w:w="3000"/>
            <w:shd w:val="clear" w:color="auto" w:fill="2E5496"/>
          </w:tcPr>
          <w:p>
            <w:r>
              <w:rPr>
                <w:b/>
                <w:color w:val="FFFFFF"/>
                <w:sz w:val="19"/>
              </w:rPr>
              <w:t>Variable</w:t>
            </w:r>
          </w:p>
        </w:tc>
        <w:tc>
          <w:tcPr>
            <w:tcW w:type="dxa" w:w="4160"/>
            <w:shd w:val="clear" w:color="auto" w:fill="2E5496"/>
          </w:tcPr>
          <w:p>
            <w:r>
              <w:rPr>
                <w:b/>
                <w:color w:val="FFFFFF"/>
                <w:sz w:val="19"/>
              </w:rPr>
              <w:t>What it does</w:t>
            </w:r>
          </w:p>
        </w:tc>
        <w:tc>
          <w:tcPr>
            <w:tcW w:type="dxa" w:w="2200"/>
            <w:shd w:val="clear" w:color="auto" w:fill="2E5496"/>
          </w:tcPr>
          <w:p>
            <w:r>
              <w:rPr>
                <w:b/>
                <w:color w:val="FFFFFF"/>
                <w:sz w:val="19"/>
              </w:rPr>
              <w:t>Example / default</w:t>
            </w:r>
          </w:p>
        </w:tc>
      </w:tr>
      <w:tr>
        <w:tc>
          <w:tcPr>
            <w:tcW w:type="dxa" w:w="3000"/>
          </w:tcPr>
          <w:p>
            <w:r>
              <w:rPr>
                <w:color w:val="202020"/>
                <w:sz w:val="19"/>
              </w:rPr>
              <w:t>PROXY_URL / PROXY_BYPASS</w:t>
            </w:r>
          </w:p>
        </w:tc>
        <w:tc>
          <w:tcPr>
            <w:tcW w:type="dxa" w:w="4160"/>
          </w:tcPr>
          <w:p>
            <w:r>
              <w:rPr>
                <w:color w:val="202020"/>
                <w:sz w:val="19"/>
              </w:rPr>
              <w:t>Explicit outbound proxy for all connector HTTP / bypass suffixes.</w:t>
            </w:r>
          </w:p>
        </w:tc>
        <w:tc>
          <w:tcPr>
            <w:tcW w:type="dxa" w:w="2200"/>
          </w:tcPr>
          <w:p>
            <w:r>
              <w:rPr>
                <w:color w:val="202020"/>
                <w:sz w:val="19"/>
              </w:rPr>
              <w:t>(unset)</w:t>
            </w:r>
          </w:p>
        </w:tc>
      </w:tr>
      <w:tr>
        <w:tc>
          <w:tcPr>
            <w:tcW w:type="dxa" w:w="3000"/>
            <w:shd w:val="clear" w:color="auto" w:fill="F7F9FC"/>
          </w:tcPr>
          <w:p>
            <w:r>
              <w:rPr>
                <w:color w:val="202020"/>
                <w:sz w:val="19"/>
              </w:rPr>
              <w:t>CA_BUNDLE_PATH</w:t>
            </w:r>
          </w:p>
        </w:tc>
        <w:tc>
          <w:tcPr>
            <w:tcW w:type="dxa" w:w="4160"/>
            <w:shd w:val="clear" w:color="auto" w:fill="F7F9FC"/>
          </w:tcPr>
          <w:p>
            <w:r>
              <w:rPr>
                <w:color w:val="202020"/>
                <w:sz w:val="19"/>
              </w:rPr>
              <w:t>PEM of additional trusted roots for TLS inspection (additive; fail-closed if missing).</w:t>
            </w:r>
          </w:p>
        </w:tc>
        <w:tc>
          <w:tcPr>
            <w:tcW w:type="dxa" w:w="2200"/>
            <w:shd w:val="clear" w:color="auto" w:fill="F7F9FC"/>
          </w:tcPr>
          <w:p>
            <w:r>
              <w:rPr>
                <w:color w:val="202020"/>
                <w:sz w:val="19"/>
              </w:rPr>
              <w:t>(unset)</w:t>
            </w:r>
          </w:p>
        </w:tc>
      </w:tr>
      <w:tr>
        <w:tc>
          <w:tcPr>
            <w:tcW w:type="dxa" w:w="3000"/>
          </w:tcPr>
          <w:p>
            <w:r>
              <w:rPr>
                <w:color w:val="202020"/>
                <w:sz w:val="19"/>
              </w:rPr>
              <w:t>HEALTH_PORT</w:t>
            </w:r>
          </w:p>
        </w:tc>
        <w:tc>
          <w:tcPr>
            <w:tcW w:type="dxa" w:w="4160"/>
          </w:tcPr>
          <w:p>
            <w:r>
              <w:rPr>
                <w:color w:val="202020"/>
                <w:sz w:val="19"/>
              </w:rPr>
              <w:t>Serve /health, /ready, /metrics on this port (0 = off).</w:t>
            </w:r>
          </w:p>
        </w:tc>
        <w:tc>
          <w:tcPr>
            <w:tcW w:type="dxa" w:w="2200"/>
          </w:tcPr>
          <w:p>
            <w:r>
              <w:rPr>
                <w:color w:val="202020"/>
                <w:sz w:val="19"/>
              </w:rPr>
              <w:t>0</w:t>
            </w:r>
          </w:p>
        </w:tc>
      </w:tr>
      <w:tr>
        <w:tc>
          <w:tcPr>
            <w:tcW w:type="dxa" w:w="3000"/>
            <w:shd w:val="clear" w:color="auto" w:fill="F7F9FC"/>
          </w:tcPr>
          <w:p>
            <w:r>
              <w:rPr>
                <w:color w:val="202020"/>
                <w:sz w:val="19"/>
              </w:rPr>
              <w:t>LOG_FORMAT / LOG_RETENTION_DAYS</w:t>
            </w:r>
          </w:p>
        </w:tc>
        <w:tc>
          <w:tcPr>
            <w:tcW w:type="dxa" w:w="4160"/>
            <w:shd w:val="clear" w:color="auto" w:fill="F7F9FC"/>
          </w:tcPr>
          <w:p>
            <w:r>
              <w:rPr>
                <w:color w:val="202020"/>
                <w:sz w:val="19"/>
              </w:rPr>
              <w:t>json structured logs / prune run-dir logs older than N days (state files untouched).</w:t>
            </w:r>
          </w:p>
        </w:tc>
        <w:tc>
          <w:tcPr>
            <w:tcW w:type="dxa" w:w="2200"/>
            <w:shd w:val="clear" w:color="auto" w:fill="F7F9FC"/>
          </w:tcPr>
          <w:p>
            <w:r>
              <w:rPr>
                <w:color w:val="202020"/>
                <w:sz w:val="19"/>
              </w:rPr>
              <w:t>text / 0</w:t>
            </w:r>
          </w:p>
        </w:tc>
      </w:tr>
      <w:tr>
        <w:tc>
          <w:tcPr>
            <w:tcW w:type="dxa" w:w="3000"/>
          </w:tcPr>
          <w:p>
            <w:r>
              <w:rPr>
                <w:color w:val="202020"/>
                <w:sz w:val="19"/>
              </w:rPr>
              <w:t>ALERT_WEBHOOK_URL / ALERT_DEADLETTER_THRESHOLD</w:t>
            </w:r>
          </w:p>
        </w:tc>
        <w:tc>
          <w:tcPr>
            <w:tcW w:type="dxa" w:w="4160"/>
          </w:tcPr>
          <w:p>
            <w:r>
              <w:rPr>
                <w:color w:val="202020"/>
                <w:sz w:val="19"/>
              </w:rPr>
              <w:t>POST JSON alerts (crawl_failed, dead_letter, deletion_sweep_skipped) / dead-letter alert threshold.</w:t>
            </w:r>
          </w:p>
        </w:tc>
        <w:tc>
          <w:tcPr>
            <w:tcW w:type="dxa" w:w="2200"/>
          </w:tcPr>
          <w:p>
            <w:r>
              <w:rPr>
                <w:color w:val="202020"/>
                <w:sz w:val="19"/>
              </w:rPr>
              <w:t>(unset) / 0</w:t>
            </w:r>
          </w:p>
        </w:tc>
      </w:tr>
      <w:tr>
        <w:tc>
          <w:tcPr>
            <w:tcW w:type="dxa" w:w="3000"/>
            <w:shd w:val="clear" w:color="auto" w:fill="F7F9FC"/>
          </w:tcPr>
          <w:p>
            <w:r>
              <w:rPr>
                <w:color w:val="202020"/>
                <w:sz w:val="19"/>
              </w:rPr>
              <w:t>EVENTLOG_ENABLED / EVENTLOG_LEVEL</w:t>
            </w:r>
          </w:p>
        </w:tc>
        <w:tc>
          <w:tcPr>
            <w:tcW w:type="dxa" w:w="4160"/>
            <w:shd w:val="clear" w:color="auto" w:fill="F7F9FC"/>
          </w:tcPr>
          <w:p>
            <w:r>
              <w:rPr>
                <w:color w:val="202020"/>
                <w:sz w:val="19"/>
              </w:rPr>
              <w:t>Mirror events to the Windows Application log (source SalesforceConnector, ids 1000/2000/3000).</w:t>
            </w:r>
          </w:p>
        </w:tc>
        <w:tc>
          <w:tcPr>
            <w:tcW w:type="dxa" w:w="2200"/>
            <w:shd w:val="clear" w:color="auto" w:fill="F7F9FC"/>
          </w:tcPr>
          <w:p>
            <w:r>
              <w:rPr>
                <w:color w:val="202020"/>
                <w:sz w:val="19"/>
              </w:rPr>
              <w:t>false / warning+</w:t>
            </w:r>
          </w:p>
        </w:tc>
      </w:tr>
      <w:tr>
        <w:tc>
          <w:tcPr>
            <w:tcW w:type="dxa" w:w="3000"/>
          </w:tcPr>
          <w:p>
            <w:r>
              <w:rPr>
                <w:color w:val="202020"/>
                <w:sz w:val="19"/>
              </w:rPr>
              <w:t>DEADLETTER_PAYLOAD_MODE</w:t>
            </w:r>
          </w:p>
        </w:tc>
        <w:tc>
          <w:tcPr>
            <w:tcW w:type="dxa" w:w="4160"/>
          </w:tcPr>
          <w:p>
            <w:r>
              <w:rPr>
                <w:color w:val="202020"/>
                <w:sz w:val="19"/>
              </w:rPr>
              <w:t>redacted (default) strips item property values/content before a failed record hits disk (keeps ids, object type, error, ACLs, field names + sha256 hashes); full keeps the raw request/response payloads (use only in a locked-down env). Any other value fails config-load naming this setting — never silently downgraded to full.</w:t>
            </w:r>
          </w:p>
        </w:tc>
        <w:tc>
          <w:tcPr>
            <w:tcW w:type="dxa" w:w="2200"/>
          </w:tcPr>
          <w:p>
            <w:r>
              <w:rPr>
                <w:color w:val="202020"/>
                <w:sz w:val="19"/>
              </w:rPr>
              <w:t>redacted</w:t>
            </w:r>
          </w:p>
        </w:tc>
      </w:tr>
      <w:tr>
        <w:tc>
          <w:tcPr>
            <w:tcW w:type="dxa" w:w="3000"/>
            <w:shd w:val="clear" w:color="auto" w:fill="F7F9FC"/>
          </w:tcPr>
          <w:p>
            <w:r>
              <w:rPr>
                <w:color w:val="202020"/>
                <w:sz w:val="19"/>
              </w:rPr>
              <w:t>GRAPH_CLIENT_CERT_PATH / _PASSWORD</w:t>
            </w:r>
          </w:p>
        </w:tc>
        <w:tc>
          <w:tcPr>
            <w:tcW w:type="dxa" w:w="4160"/>
            <w:shd w:val="clear" w:color="auto" w:fill="F7F9FC"/>
          </w:tcPr>
          <w:p>
            <w:r>
              <w:rPr>
                <w:color w:val="202020"/>
                <w:sz w:val="19"/>
              </w:rPr>
              <w:t>Use a PFX certificate for Graph auth (client_assertion) instead of a secret.</w:t>
            </w:r>
          </w:p>
        </w:tc>
        <w:tc>
          <w:tcPr>
            <w:tcW w:type="dxa" w:w="2200"/>
            <w:shd w:val="clear" w:color="auto" w:fill="F7F9FC"/>
          </w:tcPr>
          <w:p>
            <w:r>
              <w:rPr>
                <w:color w:val="202020"/>
                <w:sz w:val="19"/>
              </w:rPr>
              <w:t>(unset)</w:t>
            </w:r>
          </w:p>
        </w:tc>
      </w:tr>
      <w:tr>
        <w:tc>
          <w:tcPr>
            <w:tcW w:type="dxa" w:w="3000"/>
          </w:tcPr>
          <w:p>
            <w:r>
              <w:rPr>
                <w:color w:val="202020"/>
                <w:sz w:val="19"/>
              </w:rPr>
              <w:t>GRAPH_CLIENT_CERT_THUMBPRINT</w:t>
            </w:r>
          </w:p>
        </w:tc>
        <w:tc>
          <w:tcPr>
            <w:tcW w:type="dxa" w:w="4160"/>
          </w:tcPr>
          <w:p>
            <w:r>
              <w:rPr>
                <w:color w:val="202020"/>
                <w:sz w:val="19"/>
              </w:rPr>
              <w:t>Use a cert from the Windows store (CurrentUser\My then LocalMachine\My). Cert wins over secret.</w:t>
            </w:r>
          </w:p>
        </w:tc>
        <w:tc>
          <w:tcPr>
            <w:tcW w:type="dxa" w:w="2200"/>
          </w:tcPr>
          <w:p>
            <w:r>
              <w:rPr>
                <w:color w:val="202020"/>
                <w:sz w:val="19"/>
              </w:rPr>
              <w:t>(unset)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Graph auth mode is chosen at startup and logged: </w:t>
            </w:r>
            <w:r>
              <w:rPr>
                <w:rFonts w:ascii="Consolas" w:hAnsi="Consolas"/>
                <w:color w:val="202020"/>
                <w:sz w:val="19"/>
              </w:rPr>
              <w:t>Graph auth mode: default credential chain (…)</w:t>
            </w:r>
            <w:r>
              <w:rPr>
                <w:color w:val="202020"/>
                <w:sz w:val="20"/>
              </w:rPr>
              <w:t xml:space="preserve"> for the client secret, or </w:t>
            </w:r>
            <w:r>
              <w:rPr>
                <w:rFonts w:ascii="Consolas" w:hAnsi="Consolas"/>
                <w:color w:val="202020"/>
                <w:sz w:val="19"/>
              </w:rPr>
              <w:t>Graph auth mode: client certificate (… expires YYYY-MM-DD)</w:t>
            </w:r>
            <w:r>
              <w:rPr>
                <w:color w:val="202020"/>
                <w:sz w:val="20"/>
              </w:rPr>
              <w:t xml:space="preserve"> when a certificate is configured. A certificate (ideally a non-exportable key referenced by thumbprint) is the stronger, FIPS-friendly option and the recommended choice for a bank.</w:t>
            </w:r>
          </w:p>
        </w:tc>
      </w:tr>
    </w:tbl>
    <w:p>
      <w:pPr>
        <w:spacing w:after="40"/>
      </w:pPr>
    </w:p>
    <w:p>
      <w:pPr>
        <w:pStyle w:val="Heading2"/>
      </w:pPr>
      <w:r>
        <w:rPr>
          <w:color w:val="2E5496"/>
        </w:rPr>
        <w:t>12.5 Data governance &amp; compliance controls</w:t>
      </w:r>
    </w:p>
    <w:p>
      <w:pPr>
        <w:spacing w:after="120"/>
      </w:pPr>
      <w:r>
        <w:rPr>
          <w:color w:val="202020"/>
        </w:rPr>
        <w:t xml:space="preserve">These controls all ship </w:t>
      </w:r>
      <w:r>
        <w:rPr>
          <w:b/>
          <w:color w:val="202020"/>
        </w:rPr>
        <w:t>off / advisory by default</w:t>
      </w:r>
      <w:r>
        <w:rPr>
          <w:color w:val="202020"/>
        </w:rPr>
        <w:t xml:space="preserve"> — leaving them unset keeps the connector's classic behaviour. Turn them on deliberately, per the bank's data-governance requirements. They live in </w:t>
      </w:r>
      <w:r>
        <w:rPr>
          <w:rFonts w:ascii="Consolas" w:hAnsi="Consolas"/>
          <w:color w:val="202020"/>
          <w:sz w:val="19"/>
        </w:rPr>
        <w:t>env/.env.local.example</w:t>
      </w:r>
      <w:r>
        <w:rPr>
          <w:color w:val="202020"/>
        </w:rPr>
        <w:t xml:space="preserve"> alongside everything else.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3960"/>
        <w:gridCol w:w="2200"/>
      </w:tblGrid>
      <w:tr>
        <w:tc>
          <w:tcPr>
            <w:tcW w:type="dxa" w:w="3200"/>
            <w:shd w:val="clear" w:color="auto" w:fill="2E5496"/>
          </w:tcPr>
          <w:p>
            <w:r>
              <w:rPr>
                <w:b/>
                <w:color w:val="FFFFFF"/>
                <w:sz w:val="19"/>
              </w:rPr>
              <w:t>Variable</w:t>
            </w:r>
          </w:p>
        </w:tc>
        <w:tc>
          <w:tcPr>
            <w:tcW w:type="dxa" w:w="3960"/>
            <w:shd w:val="clear" w:color="auto" w:fill="2E5496"/>
          </w:tcPr>
          <w:p>
            <w:r>
              <w:rPr>
                <w:b/>
                <w:color w:val="FFFFFF"/>
                <w:sz w:val="19"/>
              </w:rPr>
              <w:t>What it does</w:t>
            </w:r>
          </w:p>
        </w:tc>
        <w:tc>
          <w:tcPr>
            <w:tcW w:type="dxa" w:w="2200"/>
            <w:shd w:val="clear" w:color="auto" w:fill="2E5496"/>
          </w:tcPr>
          <w:p>
            <w:r>
              <w:rPr>
                <w:b/>
                <w:color w:val="FFFFFF"/>
                <w:sz w:val="19"/>
              </w:rPr>
              <w:t>Example / default</w:t>
            </w:r>
          </w:p>
        </w:tc>
      </w:tr>
      <w:tr>
        <w:tc>
          <w:tcPr>
            <w:tcW w:type="dxa" w:w="3200"/>
          </w:tcPr>
          <w:p>
            <w:r>
              <w:rPr>
                <w:color w:val="202020"/>
                <w:sz w:val="19"/>
              </w:rPr>
              <w:t>CLASSIFICATION_FIELD</w:t>
            </w:r>
          </w:p>
        </w:tc>
        <w:tc>
          <w:tcPr>
            <w:tcW w:type="dxa" w:w="3960"/>
          </w:tcPr>
          <w:p>
            <w:r>
              <w:rPr>
                <w:color w:val="202020"/>
                <w:sz w:val="19"/>
              </w:rPr>
              <w:t>Salesforce field whose value is read as an advisory classification tag. Unset = classification off.</w:t>
            </w:r>
          </w:p>
        </w:tc>
        <w:tc>
          <w:tcPr>
            <w:tcW w:type="dxa" w:w="2200"/>
          </w:tcPr>
          <w:p>
            <w:r>
              <w:rPr>
                <w:color w:val="202020"/>
                <w:sz w:val="19"/>
              </w:rPr>
              <w:t>(unset) e.g. Data_Classification__c</w:t>
            </w:r>
          </w:p>
        </w:tc>
      </w:tr>
      <w:tr>
        <w:tc>
          <w:tcPr>
            <w:tcW w:type="dxa" w:w="3200"/>
            <w:shd w:val="clear" w:color="auto" w:fill="F7F9FC"/>
          </w:tcPr>
          <w:p>
            <w:r>
              <w:rPr>
                <w:color w:val="202020"/>
                <w:sz w:val="19"/>
              </w:rPr>
              <w:t>CLASSIFICATION_RESTRICTED_VALUES</w:t>
            </w:r>
          </w:p>
        </w:tc>
        <w:tc>
          <w:tcPr>
            <w:tcW w:type="dxa" w:w="3960"/>
            <w:shd w:val="clear" w:color="auto" w:fill="F7F9FC"/>
          </w:tcPr>
          <w:p>
            <w:r>
              <w:rPr>
                <w:color w:val="202020"/>
                <w:sz w:val="19"/>
              </w:rPr>
              <w:t>CSV of tag values treated as the top (Restricted) tier; case-insensitive.</w:t>
            </w:r>
          </w:p>
        </w:tc>
        <w:tc>
          <w:tcPr>
            <w:tcW w:type="dxa" w:w="2200"/>
            <w:shd w:val="clear" w:color="auto" w:fill="F7F9FC"/>
          </w:tcPr>
          <w:p>
            <w:r>
              <w:rPr>
                <w:color w:val="202020"/>
                <w:sz w:val="19"/>
              </w:rPr>
              <w:t>Restricted</w:t>
            </w:r>
          </w:p>
        </w:tc>
      </w:tr>
      <w:tr>
        <w:tc>
          <w:tcPr>
            <w:tcW w:type="dxa" w:w="3200"/>
          </w:tcPr>
          <w:p>
            <w:r>
              <w:rPr>
                <w:color w:val="202020"/>
                <w:sz w:val="19"/>
              </w:rPr>
              <w:t>CLASSIFICATION_ENFORCE_ACL</w:t>
            </w:r>
          </w:p>
        </w:tc>
        <w:tc>
          <w:tcPr>
            <w:tcW w:type="dxa" w:w="3960"/>
          </w:tcPr>
          <w:p>
            <w:r>
              <w:rPr>
                <w:color w:val="202020"/>
                <w:sz w:val="19"/>
              </w:rPr>
              <w:t>true = replace a top-tier item's Graph ACL with a single grant to CLASSIFICATION_RESTRICTED_GROUP (belt-and-braces on the Salesforce ACL). Default off = advisory tag only, ACLs untouched.</w:t>
            </w:r>
          </w:p>
        </w:tc>
        <w:tc>
          <w:tcPr>
            <w:tcW w:type="dxa" w:w="2200"/>
          </w:tcPr>
          <w:p>
            <w:r>
              <w:rPr>
                <w:color w:val="202020"/>
                <w:sz w:val="19"/>
              </w:rPr>
              <w:t>false</w:t>
            </w:r>
          </w:p>
        </w:tc>
      </w:tr>
      <w:tr>
        <w:tc>
          <w:tcPr>
            <w:tcW w:type="dxa" w:w="3200"/>
            <w:shd w:val="clear" w:color="auto" w:fill="F7F9FC"/>
          </w:tcPr>
          <w:p>
            <w:r>
              <w:rPr>
                <w:color w:val="202020"/>
                <w:sz w:val="19"/>
              </w:rPr>
              <w:t>CLASSIFICATION_RESTRICTED_GROUP</w:t>
            </w:r>
          </w:p>
        </w:tc>
        <w:tc>
          <w:tcPr>
            <w:tcW w:type="dxa" w:w="3960"/>
            <w:shd w:val="clear" w:color="auto" w:fill="F7F9FC"/>
          </w:tcPr>
          <w:p>
            <w:r>
              <w:rPr>
                <w:color w:val="202020"/>
                <w:sz w:val="19"/>
              </w:rPr>
              <w:t>Entra group object id the restricted ACL grants to. Required for enforcement to take effect.</w:t>
            </w:r>
          </w:p>
        </w:tc>
        <w:tc>
          <w:tcPr>
            <w:tcW w:type="dxa" w:w="2200"/>
            <w:shd w:val="clear" w:color="auto" w:fill="F7F9FC"/>
          </w:tcPr>
          <w:p>
            <w:r>
              <w:rPr>
                <w:color w:val="202020"/>
                <w:sz w:val="19"/>
              </w:rPr>
              <w:t>(unset)</w:t>
            </w:r>
          </w:p>
        </w:tc>
      </w:tr>
      <w:tr>
        <w:tc>
          <w:tcPr>
            <w:tcW w:type="dxa" w:w="3200"/>
          </w:tcPr>
          <w:p>
            <w:r>
              <w:rPr>
                <w:color w:val="202020"/>
                <w:sz w:val="19"/>
              </w:rPr>
              <w:t>GRAPH_ITEM_TTL_DAYS</w:t>
            </w:r>
          </w:p>
        </w:tc>
        <w:tc>
          <w:tcPr>
            <w:tcW w:type="dxa" w:w="3960"/>
          </w:tcPr>
          <w:p>
            <w:r>
              <w:rPr>
                <w:color w:val="202020"/>
                <w:sz w:val="19"/>
              </w:rPr>
              <w:t>&gt; 0 stamps each item with a top-level expirationDateTime = ingest time + TTL, so the index self-expires if crawling stops; a healthy crawl re-stamps every item. Set several times the full-crawl cadence. Unset/0 = never expire.</w:t>
            </w:r>
          </w:p>
        </w:tc>
        <w:tc>
          <w:tcPr>
            <w:tcW w:type="dxa" w:w="2200"/>
          </w:tcPr>
          <w:p>
            <w:r>
              <w:rPr>
                <w:color w:val="202020"/>
                <w:sz w:val="19"/>
              </w:rPr>
              <w:t>(unset) / 0</w:t>
            </w:r>
          </w:p>
        </w:tc>
      </w:tr>
      <w:tr>
        <w:tc>
          <w:tcPr>
            <w:tcW w:type="dxa" w:w="3200"/>
            <w:shd w:val="clear" w:color="auto" w:fill="F7F9FC"/>
          </w:tcPr>
          <w:p>
            <w:r>
              <w:rPr>
                <w:color w:val="202020"/>
                <w:sz w:val="19"/>
              </w:rPr>
              <w:t>ACL_MAX_ACES</w:t>
            </w:r>
          </w:p>
        </w:tc>
        <w:tc>
          <w:tcPr>
            <w:tcW w:type="dxa" w:w="3960"/>
            <w:shd w:val="clear" w:color="auto" w:fill="F7F9FC"/>
          </w:tcPr>
          <w:p>
            <w:r>
              <w:rPr>
                <w:color w:val="202020"/>
                <w:sz w:val="19"/>
              </w:rPr>
              <w:t>&gt; 0 = trip the large-group ACL scale guard when an item's ACE count exceeds this. 0 = guard off (metric max_item_ace_count still exported).</w:t>
            </w:r>
          </w:p>
        </w:tc>
        <w:tc>
          <w:tcPr>
            <w:tcW w:type="dxa" w:w="2200"/>
            <w:shd w:val="clear" w:color="auto" w:fill="F7F9FC"/>
          </w:tcPr>
          <w:p>
            <w:r>
              <w:rPr>
                <w:color w:val="202020"/>
                <w:sz w:val="19"/>
              </w:rPr>
              <w:t>0</w:t>
            </w:r>
          </w:p>
        </w:tc>
      </w:tr>
      <w:tr>
        <w:tc>
          <w:tcPr>
            <w:tcW w:type="dxa" w:w="3200"/>
          </w:tcPr>
          <w:p>
            <w:r>
              <w:rPr>
                <w:color w:val="202020"/>
                <w:sz w:val="19"/>
              </w:rPr>
              <w:t>ACL_SCALE_GUARD_ACTION</w:t>
            </w:r>
          </w:p>
        </w:tc>
        <w:tc>
          <w:tcPr>
            <w:tcW w:type="dxa" w:w="3960"/>
          </w:tcPr>
          <w:p>
            <w:r>
              <w:rPr>
                <w:color w:val="202020"/>
                <w:sz w:val="19"/>
              </w:rPr>
              <w:t>What the guard does when tripped: warn (keep ACL, log + fired metric), group (replace ACL with a grant to ACL_SCALE_GUARD_GROUP), or fallback (deny-everyone until re-resolved smaller).</w:t>
            </w:r>
          </w:p>
        </w:tc>
        <w:tc>
          <w:tcPr>
            <w:tcW w:type="dxa" w:w="2200"/>
          </w:tcPr>
          <w:p>
            <w:r>
              <w:rPr>
                <w:color w:val="202020"/>
                <w:sz w:val="19"/>
              </w:rPr>
              <w:t>warn</w:t>
            </w:r>
          </w:p>
        </w:tc>
      </w:tr>
      <w:tr>
        <w:tc>
          <w:tcPr>
            <w:tcW w:type="dxa" w:w="3200"/>
            <w:shd w:val="clear" w:color="auto" w:fill="F7F9FC"/>
          </w:tcPr>
          <w:p>
            <w:r>
              <w:rPr>
                <w:color w:val="202020"/>
                <w:sz w:val="19"/>
              </w:rPr>
              <w:t>ACL_SCALE_GUARD_GROUP</w:t>
            </w:r>
          </w:p>
        </w:tc>
        <w:tc>
          <w:tcPr>
            <w:tcW w:type="dxa" w:w="3960"/>
            <w:shd w:val="clear" w:color="auto" w:fill="F7F9FC"/>
          </w:tcPr>
          <w:p>
            <w:r>
              <w:rPr>
                <w:color w:val="202020"/>
                <w:sz w:val="19"/>
              </w:rPr>
              <w:t>Entra group id used by ACL_SCALE_GUARD_ACTION=group. Required for the group action, else it falls back to warn.</w:t>
            </w:r>
          </w:p>
        </w:tc>
        <w:tc>
          <w:tcPr>
            <w:tcW w:type="dxa" w:w="2200"/>
            <w:shd w:val="clear" w:color="auto" w:fill="F7F9FC"/>
          </w:tcPr>
          <w:p>
            <w:r>
              <w:rPr>
                <w:color w:val="202020"/>
                <w:sz w:val="19"/>
              </w:rPr>
              <w:t>(unset)</w:t>
            </w:r>
          </w:p>
        </w:tc>
      </w:tr>
      <w:tr>
        <w:tc>
          <w:tcPr>
            <w:tcW w:type="dxa" w:w="3200"/>
          </w:tcPr>
          <w:p>
            <w:r>
              <w:rPr>
                <w:color w:val="202020"/>
                <w:sz w:val="19"/>
              </w:rPr>
              <w:t>DECISION_LEDGER</w:t>
            </w:r>
          </w:p>
        </w:tc>
        <w:tc>
          <w:tcPr>
            <w:tcW w:type="dxa" w:w="3960"/>
          </w:tcPr>
          <w:p>
            <w:r>
              <w:rPr>
                <w:color w:val="202020"/>
                <w:sz w:val="19"/>
              </w:rPr>
              <w:t>true = append each access-affecting decision (classification ACL restriction, scale-guard group/fallback drop) to a tamper-evident, SHA-256 hash-chained ledger logs\decision_ledger_{CONNECTOR_ID}.jsonl; Verify() detects any edit/reorder/delete. Low-volume; default off.</w:t>
            </w:r>
          </w:p>
        </w:tc>
        <w:tc>
          <w:tcPr>
            <w:tcW w:type="dxa" w:w="2200"/>
          </w:tcPr>
          <w:p>
            <w:r>
              <w:rPr>
                <w:color w:val="202020"/>
                <w:sz w:val="19"/>
              </w:rPr>
              <w:t>false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The classification value is an </w:t>
            </w:r>
            <w:r>
              <w:rPr>
                <w:b/>
                <w:color w:val="202020"/>
                <w:sz w:val="20"/>
              </w:rPr>
              <w:t>advisory, connector-applied tag</w:t>
            </w:r>
            <w:r>
              <w:rPr>
                <w:color w:val="202020"/>
                <w:sz w:val="20"/>
              </w:rPr>
              <w:t xml:space="preserve"> read from the Salesforce field named by </w:t>
            </w:r>
            <w:r>
              <w:rPr>
                <w:rFonts w:ascii="Consolas" w:hAnsi="Consolas"/>
                <w:color w:val="202020"/>
                <w:sz w:val="19"/>
              </w:rPr>
              <w:t>CLASSIFICATION_FIELD</w:t>
            </w:r>
            <w:r>
              <w:rPr>
                <w:color w:val="202020"/>
                <w:sz w:val="20"/>
              </w:rPr>
              <w:t xml:space="preserve"> — it is </w:t>
            </w:r>
            <w:r>
              <w:rPr>
                <w:b/>
                <w:color w:val="202020"/>
                <w:sz w:val="20"/>
              </w:rPr>
              <w:t>Purview-aligned in naming only, NOT a Microsoft Purview sensitivity label</w:t>
            </w:r>
            <w:r>
              <w:rPr>
                <w:color w:val="202020"/>
                <w:sz w:val="20"/>
              </w:rPr>
              <w:t xml:space="preserve">. The connector neither applies nor honours any Purview label, and by itself the tag does </w:t>
            </w:r>
            <w:r>
              <w:rPr>
                <w:b/>
                <w:color w:val="202020"/>
                <w:sz w:val="20"/>
              </w:rPr>
              <w:t>not</w:t>
            </w:r>
            <w:r>
              <w:rPr>
                <w:color w:val="202020"/>
                <w:sz w:val="20"/>
              </w:rPr>
              <w:t xml:space="preserve"> change who can see an item: the access control the connector actually enforces is always the ACL derived from the Salesforce sharing model (§5-§6). Only </w:t>
            </w:r>
            <w:r>
              <w:rPr>
                <w:rFonts w:ascii="Consolas" w:hAnsi="Consolas"/>
                <w:color w:val="202020"/>
                <w:sz w:val="19"/>
              </w:rPr>
              <w:t>CLASSIFICATION_ENFORCE_ACL=true</w:t>
            </w:r>
            <w:r>
              <w:rPr>
                <w:color w:val="202020"/>
                <w:sz w:val="20"/>
              </w:rPr>
              <w:t xml:space="preserve"> </w:t>
            </w:r>
            <w:r>
              <w:rPr>
                <w:b/>
                <w:color w:val="202020"/>
                <w:sz w:val="20"/>
              </w:rPr>
              <w:t>together with</w:t>
            </w:r>
            <w:r>
              <w:rPr>
                <w:color w:val="202020"/>
                <w:sz w:val="20"/>
              </w:rPr>
              <w:t xml:space="preserve"> a configured </w:t>
            </w:r>
            <w:r>
              <w:rPr>
                <w:rFonts w:ascii="Consolas" w:hAnsi="Consolas"/>
                <w:color w:val="202020"/>
                <w:sz w:val="19"/>
              </w:rPr>
              <w:t>CLASSIFICATION_RESTRICTED_GROUP</w:t>
            </w:r>
            <w:r>
              <w:rPr>
                <w:color w:val="202020"/>
                <w:sz w:val="20"/>
              </w:rPr>
              <w:t xml:space="preserve"> adds a belt-and-braces ACL lock on top-tier items; with the flag on but no group, enforcement simply does not take effect. </w:t>
            </w:r>
            <w:r>
              <w:rPr>
                <w:rFonts w:ascii="Consolas" w:hAnsi="Consolas"/>
                <w:color w:val="202020"/>
                <w:sz w:val="19"/>
              </w:rPr>
              <w:t>ACL_SCALE_GUARD_ACTION=group</w:t>
            </w:r>
            <w:r>
              <w:rPr>
                <w:color w:val="202020"/>
                <w:sz w:val="20"/>
              </w:rPr>
              <w:t xml:space="preserve"> likewise needs </w:t>
            </w:r>
            <w:r>
              <w:rPr>
                <w:rFonts w:ascii="Consolas" w:hAnsi="Consolas"/>
                <w:color w:val="202020"/>
                <w:sz w:val="19"/>
              </w:rPr>
              <w:t>ACL_SCALE_GUARD_GROUP</w:t>
            </w:r>
            <w:r>
              <w:rPr>
                <w:color w:val="202020"/>
                <w:sz w:val="20"/>
              </w:rPr>
              <w:t xml:space="preserve"> or it falls back to </w:t>
            </w:r>
            <w:r>
              <w:rPr>
                <w:rFonts w:ascii="Consolas" w:hAnsi="Consolas"/>
                <w:color w:val="202020"/>
                <w:sz w:val="19"/>
              </w:rPr>
              <w:t>warn</w:t>
            </w:r>
            <w:r>
              <w:rPr>
                <w:color w:val="202020"/>
                <w:sz w:val="20"/>
              </w:rPr>
              <w:t xml:space="preserve">. For large orgs the durable fix for oversized ACLs is </w:t>
            </w:r>
            <w:r>
              <w:rPr>
                <w:rFonts w:ascii="Consolas" w:hAnsi="Consolas"/>
                <w:color w:val="202020"/>
                <w:sz w:val="19"/>
              </w:rPr>
              <w:t>USE_GROUP_ACL=true</w:t>
            </w:r>
            <w:r>
              <w:rPr>
                <w:color w:val="202020"/>
                <w:sz w:val="20"/>
              </w:rPr>
              <w:t xml:space="preserve"> (the default), whose group-reference ACLs stay small instead of expanding to thousands of per-user ACEs.</w:t>
            </w:r>
          </w:p>
        </w:tc>
      </w:tr>
    </w:tbl>
    <w:p>
      <w:pPr>
        <w:spacing w:after="40"/>
      </w:pPr>
    </w:p>
    <w:p>
      <w:pPr>
        <w:pStyle w:val="Heading2"/>
      </w:pPr>
      <w:r>
        <w:rPr>
          <w:color w:val="2E5496"/>
        </w:rPr>
        <w:t>12.6 Secret rotation (summary)</w:t>
      </w:r>
    </w:p>
    <w:p>
      <w:pPr>
        <w:spacing w:after="120"/>
      </w:pPr>
      <w:r>
        <w:rPr>
          <w:color w:val="202020"/>
        </w:rPr>
        <w:t>Four credentials exist: the Entra client secret, the Graph certificate, the Salesforce Connected App consumer secret, and (if used) the Key Vault copies. All rotations are zero-downtime — add new, point config at new, restart the service (it resumes from the checkpoint), retire old. The Salesforce consumer secret regenerates in place (no dual window), so rotate it off-peak. Full runbooks are in SECURITY.md; the Common Guide §5 covers the shared rotation model.</w:t>
      </w:r>
    </w:p>
    <w:p>
      <w:pPr>
        <w:pStyle w:val="Heading2"/>
      </w:pPr>
      <w:r>
        <w:rPr>
          <w:color w:val="2E5496"/>
        </w:rPr>
        <w:t>12.7 Field-level security (FLS)</w:t>
      </w:r>
    </w:p>
    <w:p>
      <w:pPr>
        <w:spacing w:after="120"/>
      </w:pPr>
      <w:r>
        <w:rPr>
          <w:color w:val="202020"/>
        </w:rPr>
        <w:t xml:space="preserve">The FLS behaviour these control is described in §5.7; the authoritative design document is </w:t>
      </w:r>
      <w:r>
        <w:rPr>
          <w:rFonts w:ascii="Consolas" w:hAnsi="Consolas"/>
          <w:color w:val="202020"/>
          <w:sz w:val="19"/>
        </w:rPr>
        <w:t>docs/FLS.md</w:t>
      </w:r>
      <w:r>
        <w:rPr>
          <w:color w:val="202020"/>
        </w:rPr>
        <w:t xml:space="preserve"> in the repository.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4160"/>
        <w:gridCol w:w="2200"/>
      </w:tblGrid>
      <w:tr>
        <w:tc>
          <w:tcPr>
            <w:tcW w:type="dxa" w:w="3000"/>
            <w:shd w:val="clear" w:color="auto" w:fill="2E5496"/>
          </w:tcPr>
          <w:p>
            <w:r>
              <w:rPr>
                <w:b/>
                <w:color w:val="FFFFFF"/>
                <w:sz w:val="19"/>
              </w:rPr>
              <w:t>Variable</w:t>
            </w:r>
          </w:p>
        </w:tc>
        <w:tc>
          <w:tcPr>
            <w:tcW w:type="dxa" w:w="4160"/>
            <w:shd w:val="clear" w:color="auto" w:fill="2E5496"/>
          </w:tcPr>
          <w:p>
            <w:r>
              <w:rPr>
                <w:b/>
                <w:color w:val="FFFFFF"/>
                <w:sz w:val="19"/>
              </w:rPr>
              <w:t>What it does</w:t>
            </w:r>
          </w:p>
        </w:tc>
        <w:tc>
          <w:tcPr>
            <w:tcW w:type="dxa" w:w="2200"/>
            <w:shd w:val="clear" w:color="auto" w:fill="2E5496"/>
          </w:tcPr>
          <w:p>
            <w:r>
              <w:rPr>
                <w:b/>
                <w:color w:val="FFFFFF"/>
                <w:sz w:val="19"/>
              </w:rPr>
              <w:t>Example / default</w:t>
            </w:r>
          </w:p>
        </w:tc>
      </w:tr>
      <w:tr>
        <w:tc>
          <w:tcPr>
            <w:tcW w:type="dxa" w:w="3000"/>
          </w:tcPr>
          <w:p>
            <w:r>
              <w:rPr>
                <w:color w:val="202020"/>
                <w:sz w:val="19"/>
              </w:rPr>
              <w:t>FLS_ENFORCEMENT</w:t>
            </w:r>
          </w:p>
        </w:tc>
        <w:tc>
          <w:tcPr>
            <w:tcW w:type="dxa" w:w="4160"/>
          </w:tcPr>
          <w:p>
            <w:r>
              <w:rPr>
                <w:color w:val="202020"/>
                <w:sz w:val="19"/>
              </w:rPr>
              <w:t>Opt-out master switch. false/0/no/off restores the pre-FLS behaviour, including the historical content-body leak of the manual list and indexing of raw compound values. Two fixes apply in both states: flsFields matching is case-insensitive, and a non-property flsFields entry no longer emits an undeclared null property.</w:t>
            </w:r>
          </w:p>
        </w:tc>
        <w:tc>
          <w:tcPr>
            <w:tcW w:type="dxa" w:w="2200"/>
          </w:tcPr>
          <w:p>
            <w:r>
              <w:rPr>
                <w:color w:val="202020"/>
                <w:sz w:val="19"/>
              </w:rPr>
              <w:t>true</w:t>
            </w:r>
          </w:p>
        </w:tc>
      </w:tr>
      <w:tr>
        <w:tc>
          <w:tcPr>
            <w:tcW w:type="dxa" w:w="3000"/>
            <w:shd w:val="clear" w:color="auto" w:fill="F7F9FC"/>
          </w:tcPr>
          <w:p>
            <w:r>
              <w:rPr>
                <w:color w:val="202020"/>
                <w:sz w:val="19"/>
              </w:rPr>
              <w:t>FLS_MODE</w:t>
            </w:r>
          </w:p>
        </w:tc>
        <w:tc>
          <w:tcPr>
            <w:tcW w:type="dxa" w:w="4160"/>
            <w:shd w:val="clear" w:color="auto" w:fill="F7F9FC"/>
          </w:tcPr>
          <w:p>
            <w:r>
              <w:rPr>
                <w:color w:val="202020"/>
                <w:sz w:val="19"/>
              </w:rPr>
              <w:t>strict = drop any field not readable by every principal in scope (least-privilege union). permissive = drop only fields no principal can read — can expose a field Salesforce would deny (§5.7). Anything unrecognised means strict.</w:t>
            </w:r>
          </w:p>
        </w:tc>
        <w:tc>
          <w:tcPr>
            <w:tcW w:type="dxa" w:w="2200"/>
            <w:shd w:val="clear" w:color="auto" w:fill="F7F9FC"/>
          </w:tcPr>
          <w:p>
            <w:r>
              <w:rPr>
                <w:color w:val="202020"/>
                <w:sz w:val="19"/>
              </w:rPr>
              <w:t>strict</w:t>
            </w:r>
          </w:p>
        </w:tc>
      </w:tr>
      <w:tr>
        <w:tc>
          <w:tcPr>
            <w:tcW w:type="dxa" w:w="3000"/>
          </w:tcPr>
          <w:p>
            <w:r>
              <w:rPr>
                <w:color w:val="202020"/>
                <w:sz w:val="19"/>
              </w:rPr>
              <w:t>FLS_RELATIONSHIP_FIELDS</w:t>
            </w:r>
          </w:p>
        </w:tc>
        <w:tc>
          <w:tcPr>
            <w:tcW w:type="dxa" w:w="4160"/>
          </w:tcPr>
          <w:p>
            <w:r>
              <w:rPr>
                <w:color w:val="202020"/>
                <w:sz w:val="19"/>
              </w:rPr>
              <w:t>Dotted cross-object fields: evaluate (resolve via relationshipObjects; unresolvable = dropped), drop (drop all dotted fields), or ignore (do not evaluate — re-opens a known over-sharing gap). Anything unrecognised means evaluate.</w:t>
            </w:r>
          </w:p>
        </w:tc>
        <w:tc>
          <w:tcPr>
            <w:tcW w:type="dxa" w:w="2200"/>
          </w:tcPr>
          <w:p>
            <w:r>
              <w:rPr>
                <w:color w:val="202020"/>
                <w:sz w:val="19"/>
              </w:rPr>
              <w:t>evaluate</w:t>
            </w:r>
          </w:p>
        </w:tc>
      </w:tr>
      <w:tr>
        <w:tc>
          <w:tcPr>
            <w:tcW w:type="dxa" w:w="3000"/>
            <w:shd w:val="clear" w:color="auto" w:fill="F7F9FC"/>
          </w:tcPr>
          <w:p>
            <w:r>
              <w:rPr>
                <w:color w:val="202020"/>
                <w:sz w:val="19"/>
              </w:rPr>
              <w:t>FLS_CACHE_TTL_HOURS</w:t>
            </w:r>
          </w:p>
        </w:tc>
        <w:tc>
          <w:tcPr>
            <w:tcW w:type="dxa" w:w="4160"/>
            <w:shd w:val="clear" w:color="auto" w:fill="F7F9FC"/>
          </w:tcPr>
          <w:p>
            <w:r>
              <w:rPr>
                <w:color w:val="202020"/>
                <w:sz w:val="19"/>
              </w:rPr>
              <w:t>Lifetime of a cached permission snapshot before re-query (per org + object, in the identity store). Bounds FLS freshness lag.</w:t>
            </w:r>
          </w:p>
        </w:tc>
        <w:tc>
          <w:tcPr>
            <w:tcW w:type="dxa" w:w="2200"/>
            <w:shd w:val="clear" w:color="auto" w:fill="F7F9FC"/>
          </w:tcPr>
          <w:p>
            <w:r>
              <w:rPr>
                <w:color w:val="202020"/>
                <w:sz w:val="19"/>
              </w:rPr>
              <w:t>24</w:t>
            </w:r>
          </w:p>
        </w:tc>
      </w:tr>
    </w:tbl>
    <w:p>
      <w:pPr>
        <w:spacing w:after="40"/>
      </w:pPr>
    </w:p>
    <w:p>
      <w:pPr>
        <w:pStyle w:val="Heading1"/>
      </w:pPr>
      <w:r>
        <w:rPr>
          <w:color w:val="1F3864"/>
        </w:rPr>
        <w:t>13. Glossary — Salesforce-specific terms</w:t>
      </w:r>
    </w:p>
    <w:p>
      <w:pPr>
        <w:spacing w:after="120"/>
      </w:pPr>
      <w:r>
        <w:rPr>
          <w:color w:val="202020"/>
        </w:rPr>
        <w:t xml:space="preserve">Only Salesforce-specific terms are defined here. For shared connector terms (external connection, external item, ACL, checkpoint, dead-letter, adaptive concurrency, sharding, high availability, and so on) see the </w:t>
      </w:r>
      <w:r>
        <w:rPr>
          <w:b/>
          <w:color w:val="202020"/>
        </w:rPr>
        <w:t>Common Guide §13 Master glossary</w:t>
      </w:r>
      <w:r>
        <w:rPr>
          <w:color w:val="202020"/>
        </w:rPr>
        <w:t>.</w:t>
      </w:r>
    </w:p>
    <w:p>
      <w:pPr>
        <w:spacing w:after="20"/>
        <w:keepNext/>
      </w:pPr>
      <w:r>
        <w:rPr>
          <w:b/>
          <w:color w:val="1F3864"/>
          <w:sz w:val="22"/>
        </w:rPr>
        <w:t>SOQL</w:t>
      </w:r>
    </w:p>
    <w:p>
      <w:pPr>
        <w:spacing w:after="20"/>
        <w:ind w:left="240"/>
      </w:pPr>
      <w:r>
        <w:rPr>
          <w:b/>
          <w:color w:val="595959"/>
          <w:sz w:val="19"/>
        </w:rPr>
        <w:t xml:space="preserve">What it is  </w:t>
      </w:r>
      <w:r>
        <w:rPr>
          <w:color w:val="202020"/>
          <w:sz w:val="20"/>
        </w:rPr>
        <w:t>Salesforce Object Query Language — the SQL-like language the connector uses to read records, e.g. SELECT Id, Name FROM Account.</w:t>
      </w:r>
    </w:p>
    <w:p>
      <w:pPr>
        <w:spacing w:after="160"/>
        <w:ind w:left="240"/>
      </w:pPr>
      <w:r>
        <w:rPr>
          <w:b/>
          <w:color w:val="595959"/>
          <w:sz w:val="19"/>
        </w:rPr>
        <w:t xml:space="preserve">Why it matters  </w:t>
      </w:r>
      <w:r>
        <w:rPr>
          <w:color w:val="202020"/>
          <w:sz w:val="20"/>
        </w:rPr>
        <w:t>Every fetch and every sharing-model query is SOQL; log lines quote the exact query, so recognising it helps you diagnose fetch problems.</w:t>
      </w:r>
    </w:p>
    <w:p>
      <w:pPr>
        <w:spacing w:after="20"/>
        <w:keepNext/>
      </w:pPr>
      <w:r>
        <w:rPr>
          <w:b/>
          <w:color w:val="1F3864"/>
          <w:sz w:val="22"/>
        </w:rPr>
        <w:t>Org-Wide Defaults (OWD)</w:t>
      </w:r>
    </w:p>
    <w:p>
      <w:pPr>
        <w:spacing w:after="20"/>
        <w:ind w:left="240"/>
      </w:pPr>
      <w:r>
        <w:rPr>
          <w:b/>
          <w:color w:val="595959"/>
          <w:sz w:val="19"/>
        </w:rPr>
        <w:t xml:space="preserve">What it is  </w:t>
      </w:r>
      <w:r>
        <w:rPr>
          <w:color w:val="202020"/>
          <w:sz w:val="20"/>
        </w:rPr>
        <w:t>The baseline record visibility per object (Private, Public Read, Public Read/Write, ControlledByParent, …), e.g. DefaultAccountAccess.</w:t>
      </w:r>
    </w:p>
    <w:p>
      <w:pPr>
        <w:spacing w:after="160"/>
        <w:ind w:left="240"/>
      </w:pPr>
      <w:r>
        <w:rPr>
          <w:b/>
          <w:color w:val="595959"/>
          <w:sz w:val="19"/>
        </w:rPr>
        <w:t xml:space="preserve">Why it matters  </w:t>
      </w:r>
      <w:r>
        <w:rPr>
          <w:color w:val="202020"/>
          <w:sz w:val="20"/>
        </w:rPr>
        <w:t>The OWD is the first decision the ACL engine makes: public means everyone; private means build a per-record ACL. A wrong OWD (or override) changes who sees everything of that type.</w:t>
      </w:r>
    </w:p>
    <w:p>
      <w:pPr>
        <w:spacing w:after="20"/>
        <w:keepNext/>
      </w:pPr>
      <w:r>
        <w:rPr>
          <w:b/>
          <w:color w:val="1F3864"/>
          <w:sz w:val="22"/>
        </w:rPr>
        <w:t>Role hierarchy / Grant Access Using Hierarchies</w:t>
      </w:r>
    </w:p>
    <w:p>
      <w:pPr>
        <w:spacing w:after="20"/>
        <w:ind w:left="240"/>
      </w:pPr>
      <w:r>
        <w:rPr>
          <w:b/>
          <w:color w:val="595959"/>
          <w:sz w:val="19"/>
        </w:rPr>
        <w:t xml:space="preserve">What it is  </w:t>
      </w:r>
      <w:r>
        <w:rPr>
          <w:color w:val="202020"/>
          <w:sz w:val="20"/>
        </w:rPr>
        <w:t>Salesforce's management tree; by default a manager inherits access to records owned by people below them.</w:t>
      </w:r>
    </w:p>
    <w:p>
      <w:pPr>
        <w:spacing w:after="160"/>
        <w:ind w:left="240"/>
      </w:pPr>
      <w:r>
        <w:rPr>
          <w:b/>
          <w:color w:val="595959"/>
          <w:sz w:val="19"/>
        </w:rPr>
        <w:t xml:space="preserve">Why it matters  </w:t>
      </w:r>
      <w:r>
        <w:rPr>
          <w:color w:val="202020"/>
          <w:sz w:val="20"/>
        </w:rPr>
        <w:t>The engine grants records to users in roles above the owner, so Copilot mirrors upward sharing. Missing role data under-grants managers.</w:t>
      </w:r>
    </w:p>
    <w:p>
      <w:pPr>
        <w:spacing w:after="20"/>
        <w:keepNext/>
      </w:pPr>
      <w:r>
        <w:rPr>
          <w:b/>
          <w:color w:val="1F3864"/>
          <w:sz w:val="22"/>
        </w:rPr>
        <w:t>Sharing rule / manual share</w:t>
      </w:r>
    </w:p>
    <w:p>
      <w:pPr>
        <w:spacing w:after="20"/>
        <w:ind w:left="240"/>
      </w:pPr>
      <w:r>
        <w:rPr>
          <w:b/>
          <w:color w:val="595959"/>
          <w:sz w:val="19"/>
        </w:rPr>
        <w:t xml:space="preserve">What it is  </w:t>
      </w:r>
      <w:r>
        <w:rPr>
          <w:color w:val="202020"/>
          <w:sz w:val="20"/>
        </w:rPr>
        <w:t>Configured or ad-hoc rules that widen access to specific users or groups beyond the owner, recorded in each object's share table (AccountShare, etc.).</w:t>
      </w:r>
    </w:p>
    <w:p>
      <w:pPr>
        <w:spacing w:after="160"/>
        <w:ind w:left="240"/>
      </w:pPr>
      <w:r>
        <w:rPr>
          <w:b/>
          <w:color w:val="595959"/>
          <w:sz w:val="19"/>
        </w:rPr>
        <w:t xml:space="preserve">Why it matters  </w:t>
      </w:r>
      <w:r>
        <w:rPr>
          <w:color w:val="202020"/>
          <w:sz w:val="20"/>
        </w:rPr>
        <w:t>These are the extra grantees the engine reads and expands; they are why two records of the same object can have different audiences.</w:t>
      </w:r>
    </w:p>
    <w:p>
      <w:pPr>
        <w:spacing w:after="20"/>
        <w:keepNext/>
      </w:pPr>
      <w:r>
        <w:rPr>
          <w:b/>
          <w:color w:val="1F3864"/>
          <w:sz w:val="22"/>
        </w:rPr>
        <w:t>Public group</w:t>
      </w:r>
    </w:p>
    <w:p>
      <w:pPr>
        <w:spacing w:after="20"/>
        <w:ind w:left="240"/>
      </w:pPr>
      <w:r>
        <w:rPr>
          <w:b/>
          <w:color w:val="595959"/>
          <w:sz w:val="19"/>
        </w:rPr>
        <w:t xml:space="preserve">What it is  </w:t>
      </w:r>
      <w:r>
        <w:rPr>
          <w:color w:val="202020"/>
          <w:sz w:val="20"/>
        </w:rPr>
        <w:t>A named, reusable collection of users, roles and other groups used in sharing.</w:t>
      </w:r>
    </w:p>
    <w:p>
      <w:pPr>
        <w:spacing w:after="160"/>
        <w:ind w:left="240"/>
      </w:pPr>
      <w:r>
        <w:rPr>
          <w:b/>
          <w:color w:val="595959"/>
          <w:sz w:val="19"/>
        </w:rPr>
        <w:t xml:space="preserve">Why it matters  </w:t>
      </w:r>
      <w:r>
        <w:rPr>
          <w:color w:val="202020"/>
          <w:sz w:val="20"/>
        </w:rPr>
        <w:t>A share to a group means everyone in it; the engine expands groups recursively to their member users.</w:t>
      </w:r>
    </w:p>
    <w:p>
      <w:pPr>
        <w:spacing w:after="20"/>
        <w:keepNext/>
      </w:pPr>
      <w:r>
        <w:rPr>
          <w:b/>
          <w:color w:val="1F3864"/>
          <w:sz w:val="22"/>
        </w:rPr>
        <w:t>Queue</w:t>
      </w:r>
    </w:p>
    <w:p>
      <w:pPr>
        <w:spacing w:after="20"/>
        <w:ind w:left="240"/>
      </w:pPr>
      <w:r>
        <w:rPr>
          <w:b/>
          <w:color w:val="595959"/>
          <w:sz w:val="19"/>
        </w:rPr>
        <w:t xml:space="preserve">What it is  </w:t>
      </w:r>
      <w:r>
        <w:rPr>
          <w:color w:val="202020"/>
          <w:sz w:val="20"/>
        </w:rPr>
        <w:t>A shared holding area for records (commonly Cases and Leads) that a team works from; implemented as a Group.</w:t>
      </w:r>
    </w:p>
    <w:p>
      <w:pPr>
        <w:spacing w:after="160"/>
        <w:ind w:left="240"/>
      </w:pPr>
      <w:r>
        <w:rPr>
          <w:b/>
          <w:color w:val="595959"/>
          <w:sz w:val="19"/>
        </w:rPr>
        <w:t xml:space="preserve">Why it matters  </w:t>
      </w:r>
      <w:r>
        <w:rPr>
          <w:color w:val="202020"/>
          <w:sz w:val="20"/>
        </w:rPr>
        <w:t>Members of a queue get access to its records; the engine expands queues like groups, so queue membership flows into Copilot trimming.</w:t>
      </w:r>
    </w:p>
    <w:p>
      <w:pPr>
        <w:spacing w:after="20"/>
        <w:keepNext/>
      </w:pPr>
      <w:r>
        <w:rPr>
          <w:b/>
          <w:color w:val="1F3864"/>
          <w:sz w:val="22"/>
        </w:rPr>
        <w:t>ControlledByParent</w:t>
      </w:r>
    </w:p>
    <w:p>
      <w:pPr>
        <w:spacing w:after="20"/>
        <w:ind w:left="240"/>
      </w:pPr>
      <w:r>
        <w:rPr>
          <w:b/>
          <w:color w:val="595959"/>
          <w:sz w:val="19"/>
        </w:rPr>
        <w:t xml:space="preserve">What it is  </w:t>
      </w:r>
      <w:r>
        <w:rPr>
          <w:color w:val="202020"/>
          <w:sz w:val="20"/>
        </w:rPr>
        <w:t>An OWD where a record's access is inherited from a controlling parent record (typically a master-detail relationship).</w:t>
      </w:r>
    </w:p>
    <w:p>
      <w:pPr>
        <w:spacing w:after="160"/>
        <w:ind w:left="240"/>
      </w:pPr>
      <w:r>
        <w:rPr>
          <w:b/>
          <w:color w:val="595959"/>
          <w:sz w:val="19"/>
        </w:rPr>
        <w:t xml:space="preserve">Why it matters  </w:t>
      </w:r>
      <w:r>
        <w:rPr>
          <w:color w:val="202020"/>
          <w:sz w:val="20"/>
        </w:rPr>
        <w:t>The engine follows the parent chain (up to ACL_MAX_PARENT_DEPTH) and reuses the parent's ACL; a missing parent mapping in schema.json causes a fallback warning.</w:t>
      </w:r>
    </w:p>
    <w:p>
      <w:pPr>
        <w:spacing w:after="20"/>
        <w:keepNext/>
      </w:pPr>
      <w:r>
        <w:rPr>
          <w:b/>
          <w:color w:val="1F3864"/>
          <w:sz w:val="22"/>
        </w:rPr>
        <w:t>Territory (Territory2 / Enterprise Territory Management)</w:t>
      </w:r>
    </w:p>
    <w:p>
      <w:pPr>
        <w:spacing w:after="20"/>
        <w:ind w:left="240"/>
      </w:pPr>
      <w:r>
        <w:rPr>
          <w:b/>
          <w:color w:val="595959"/>
          <w:sz w:val="19"/>
        </w:rPr>
        <w:t xml:space="preserve">What it is  </w:t>
      </w:r>
      <w:r>
        <w:rPr>
          <w:color w:val="202020"/>
          <w:sz w:val="20"/>
        </w:rPr>
        <w:t>An optional model that assigns users to sales territories and links accounts/opportunities to them.</w:t>
      </w:r>
    </w:p>
    <w:p>
      <w:pPr>
        <w:spacing w:after="160"/>
        <w:ind w:left="240"/>
      </w:pPr>
      <w:r>
        <w:rPr>
          <w:b/>
          <w:color w:val="595959"/>
          <w:sz w:val="19"/>
        </w:rPr>
        <w:t xml:space="preserve">Why it matters  </w:t>
      </w:r>
      <w:r>
        <w:rPr>
          <w:color w:val="202020"/>
          <w:sz w:val="20"/>
        </w:rPr>
        <w:t>For Account and Opportunity the engine adds users from the record's territory and its ancestors. If Territory Management is off, the harmless warning simply means no territory grants.</w:t>
      </w:r>
    </w:p>
    <w:p>
      <w:pPr>
        <w:spacing w:after="20"/>
        <w:keepNext/>
      </w:pPr>
      <w:r>
        <w:rPr>
          <w:b/>
          <w:color w:val="1F3864"/>
          <w:sz w:val="22"/>
        </w:rPr>
        <w:t>Connected App</w:t>
      </w:r>
    </w:p>
    <w:p>
      <w:pPr>
        <w:spacing w:after="20"/>
        <w:ind w:left="240"/>
      </w:pPr>
      <w:r>
        <w:rPr>
          <w:b/>
          <w:color w:val="595959"/>
          <w:sz w:val="19"/>
        </w:rPr>
        <w:t xml:space="preserve">What it is  </w:t>
      </w:r>
      <w:r>
        <w:rPr>
          <w:color w:val="202020"/>
          <w:sz w:val="20"/>
        </w:rPr>
        <w:t>The Salesforce app registration the connector authenticates against, holding the OAuth consumer key and secret.</w:t>
      </w:r>
    </w:p>
    <w:p>
      <w:pPr>
        <w:spacing w:after="160"/>
        <w:ind w:left="240"/>
      </w:pPr>
      <w:r>
        <w:rPr>
          <w:b/>
          <w:color w:val="595959"/>
          <w:sz w:val="19"/>
        </w:rPr>
        <w:t xml:space="preserve">Why it matters  </w:t>
      </w:r>
      <w:r>
        <w:rPr>
          <w:color w:val="202020"/>
          <w:sz w:val="20"/>
        </w:rPr>
        <w:t>It defines the client-credentials flow and the run-as integration user; its consumer secret is one of the four credentials you rotate.</w:t>
      </w:r>
    </w:p>
    <w:p>
      <w:pPr>
        <w:spacing w:after="20"/>
        <w:keepNext/>
      </w:pPr>
      <w:r>
        <w:rPr>
          <w:b/>
          <w:color w:val="1F3864"/>
          <w:sz w:val="22"/>
        </w:rPr>
        <w:t>Consumer key / consumer secret</w:t>
      </w:r>
    </w:p>
    <w:p>
      <w:pPr>
        <w:spacing w:after="20"/>
        <w:ind w:left="240"/>
      </w:pPr>
      <w:r>
        <w:rPr>
          <w:b/>
          <w:color w:val="595959"/>
          <w:sz w:val="19"/>
        </w:rPr>
        <w:t xml:space="preserve">What it is  </w:t>
      </w:r>
      <w:r>
        <w:rPr>
          <w:color w:val="202020"/>
          <w:sz w:val="20"/>
        </w:rPr>
        <w:t>The OAuth client id (key) and client secret of the Connected App.</w:t>
      </w:r>
    </w:p>
    <w:p>
      <w:pPr>
        <w:spacing w:after="160"/>
        <w:ind w:left="240"/>
      </w:pPr>
      <w:r>
        <w:rPr>
          <w:b/>
          <w:color w:val="595959"/>
          <w:sz w:val="19"/>
        </w:rPr>
        <w:t xml:space="preserve">Why it matters  </w:t>
      </w:r>
      <w:r>
        <w:rPr>
          <w:color w:val="202020"/>
          <w:sz w:val="20"/>
        </w:rPr>
        <w:t>The connector presents these to get a Salesforce access token; the secret must live only in the secret env file or Key Vault.</w:t>
      </w:r>
    </w:p>
    <w:p>
      <w:pPr>
        <w:spacing w:after="20"/>
        <w:keepNext/>
      </w:pPr>
      <w:r>
        <w:rPr>
          <w:b/>
          <w:color w:val="1F3864"/>
          <w:sz w:val="22"/>
        </w:rPr>
        <w:t>Client-credentials flow / run-as user</w:t>
      </w:r>
    </w:p>
    <w:p>
      <w:pPr>
        <w:spacing w:after="20"/>
        <w:ind w:left="240"/>
      </w:pPr>
      <w:r>
        <w:rPr>
          <w:b/>
          <w:color w:val="595959"/>
          <w:sz w:val="19"/>
        </w:rPr>
        <w:t xml:space="preserve">What it is  </w:t>
      </w:r>
      <w:r>
        <w:rPr>
          <w:color w:val="202020"/>
          <w:sz w:val="20"/>
        </w:rPr>
        <w:t>The OAuth grant used (no interactive login); the Connected App executes as a designated integration user.</w:t>
      </w:r>
    </w:p>
    <w:p>
      <w:pPr>
        <w:spacing w:after="160"/>
        <w:ind w:left="240"/>
      </w:pPr>
      <w:r>
        <w:rPr>
          <w:b/>
          <w:color w:val="595959"/>
          <w:sz w:val="19"/>
        </w:rPr>
        <w:t xml:space="preserve">Why it matters  </w:t>
      </w:r>
      <w:r>
        <w:rPr>
          <w:color w:val="202020"/>
          <w:sz w:val="20"/>
        </w:rPr>
        <w:t>Everything the connector can read equals what the run-as user can read, so this user should be read-only and correctly scoped — over-permissioning it broadens what gets indexed.</w:t>
      </w:r>
    </w:p>
    <w:p>
      <w:pPr>
        <w:spacing w:after="20"/>
        <w:keepNext/>
      </w:pPr>
      <w:r>
        <w:rPr>
          <w:b/>
          <w:color w:val="1F3864"/>
          <w:sz w:val="22"/>
        </w:rPr>
        <w:t>API-enabled user</w:t>
      </w:r>
    </w:p>
    <w:p>
      <w:pPr>
        <w:spacing w:after="20"/>
        <w:ind w:left="240"/>
      </w:pPr>
      <w:r>
        <w:rPr>
          <w:b/>
          <w:color w:val="595959"/>
          <w:sz w:val="19"/>
        </w:rPr>
        <w:t xml:space="preserve">What it is  </w:t>
      </w:r>
      <w:r>
        <w:rPr>
          <w:color w:val="202020"/>
          <w:sz w:val="20"/>
        </w:rPr>
        <w:t>A Salesforce user whose profile permits API access.</w:t>
      </w:r>
    </w:p>
    <w:p>
      <w:pPr>
        <w:spacing w:after="160"/>
        <w:ind w:left="240"/>
      </w:pPr>
      <w:r>
        <w:rPr>
          <w:b/>
          <w:color w:val="595959"/>
          <w:sz w:val="19"/>
        </w:rPr>
        <w:t xml:space="preserve">Why it matters  </w:t>
      </w:r>
      <w:r>
        <w:rPr>
          <w:color w:val="202020"/>
          <w:sz w:val="20"/>
        </w:rPr>
        <w:t>The integration/run-as user must be API-enabled or authentication and queries fail.</w:t>
      </w:r>
    </w:p>
    <w:p>
      <w:pPr>
        <w:spacing w:after="20"/>
        <w:keepNext/>
      </w:pPr>
      <w:r>
        <w:rPr>
          <w:b/>
          <w:color w:val="1F3864"/>
          <w:sz w:val="22"/>
        </w:rPr>
        <w:t>FederationIdentifier</w:t>
      </w:r>
    </w:p>
    <w:p>
      <w:pPr>
        <w:spacing w:after="20"/>
        <w:ind w:left="240"/>
      </w:pPr>
      <w:r>
        <w:rPr>
          <w:b/>
          <w:color w:val="595959"/>
          <w:sz w:val="19"/>
        </w:rPr>
        <w:t xml:space="preserve">What it is  </w:t>
      </w:r>
      <w:r>
        <w:rPr>
          <w:color w:val="202020"/>
          <w:sz w:val="20"/>
        </w:rPr>
        <w:t>The SSO identifier on a Salesforce user, ideally the same value used in Microsoft Entra.</w:t>
      </w:r>
    </w:p>
    <w:p>
      <w:pPr>
        <w:spacing w:after="160"/>
        <w:ind w:left="240"/>
      </w:pPr>
      <w:r>
        <w:rPr>
          <w:b/>
          <w:color w:val="595959"/>
          <w:sz w:val="19"/>
        </w:rPr>
        <w:t xml:space="preserve">Why it matters  </w:t>
      </w:r>
      <w:r>
        <w:rPr>
          <w:color w:val="202020"/>
          <w:sz w:val="20"/>
        </w:rPr>
        <w:t>It is the first and most reliable key for matching a Salesforce user to an Entra identity when building ACLs; a good FederationIdentifier means accurate trimming.</w:t>
      </w:r>
    </w:p>
    <w:p>
      <w:pPr>
        <w:spacing w:after="20"/>
        <w:keepNext/>
      </w:pPr>
      <w:r>
        <w:rPr>
          <w:b/>
          <w:color w:val="1F3864"/>
          <w:sz w:val="22"/>
        </w:rPr>
        <w:t>Frozen user</w:t>
      </w:r>
    </w:p>
    <w:p>
      <w:pPr>
        <w:spacing w:after="20"/>
        <w:ind w:left="240"/>
      </w:pPr>
      <w:r>
        <w:rPr>
          <w:b/>
          <w:color w:val="595959"/>
          <w:sz w:val="19"/>
        </w:rPr>
        <w:t xml:space="preserve">What it is  </w:t>
      </w:r>
      <w:r>
        <w:rPr>
          <w:color w:val="202020"/>
          <w:sz w:val="20"/>
        </w:rPr>
        <w:t>A Salesforce user account that has been frozen (temporarily disabled).</w:t>
      </w:r>
    </w:p>
    <w:p>
      <w:pPr>
        <w:spacing w:after="160"/>
        <w:ind w:left="240"/>
      </w:pPr>
      <w:r>
        <w:rPr>
          <w:b/>
          <w:color w:val="595959"/>
          <w:sz w:val="19"/>
        </w:rPr>
        <w:t xml:space="preserve">Why it matters  </w:t>
      </w:r>
      <w:r>
        <w:rPr>
          <w:color w:val="202020"/>
          <w:sz w:val="20"/>
        </w:rPr>
        <w:t>Frozen users are dropped from ACLs, matching Salesforce behaviour, so they do not see records in Copilot.</w:t>
      </w:r>
    </w:p>
    <w:p>
      <w:pPr>
        <w:spacing w:after="20"/>
        <w:keepNext/>
      </w:pPr>
      <w:r>
        <w:rPr>
          <w:b/>
          <w:color w:val="1F3864"/>
          <w:sz w:val="22"/>
        </w:rPr>
        <w:t>Standard vs custom object/field</w:t>
      </w:r>
    </w:p>
    <w:p>
      <w:pPr>
        <w:spacing w:after="20"/>
        <w:ind w:left="240"/>
      </w:pPr>
      <w:r>
        <w:rPr>
          <w:b/>
          <w:color w:val="595959"/>
          <w:sz w:val="19"/>
        </w:rPr>
        <w:t xml:space="preserve">What it is  </w:t>
      </w:r>
      <w:r>
        <w:rPr>
          <w:color w:val="202020"/>
          <w:sz w:val="20"/>
        </w:rPr>
        <w:t>Standard objects/fields ship with Salesforce; custom ones are added per org and end in __c (e.g. PotentialLiability__c).</w:t>
      </w:r>
    </w:p>
    <w:p>
      <w:pPr>
        <w:spacing w:after="160"/>
        <w:ind w:left="240"/>
      </w:pPr>
      <w:r>
        <w:rPr>
          <w:b/>
          <w:color w:val="595959"/>
          <w:sz w:val="19"/>
        </w:rPr>
        <w:t xml:space="preserve">Why it matters  </w:t>
      </w:r>
      <w:r>
        <w:rPr>
          <w:color w:val="202020"/>
          <w:sz w:val="20"/>
        </w:rPr>
        <w:t>The schema can index both; confirm with the Salesforce admin which custom objects/fields are in scope, and expect INVALID_FIELD auto-drops for fields not present in this org.</w:t>
      </w:r>
    </w:p>
    <w:p>
      <w:pPr>
        <w:spacing w:after="20"/>
        <w:keepNext/>
      </w:pPr>
      <w:r>
        <w:rPr>
          <w:b/>
          <w:color w:val="1F3864"/>
          <w:sz w:val="22"/>
        </w:rPr>
        <w:t>queryAll / IsDeleted / Recycle Bin</w:t>
      </w:r>
    </w:p>
    <w:p>
      <w:pPr>
        <w:spacing w:after="20"/>
        <w:ind w:left="240"/>
      </w:pPr>
      <w:r>
        <w:rPr>
          <w:b/>
          <w:color w:val="595959"/>
          <w:sz w:val="19"/>
        </w:rPr>
        <w:t xml:space="preserve">What it is  </w:t>
      </w:r>
      <w:r>
        <w:rPr>
          <w:color w:val="202020"/>
          <w:sz w:val="20"/>
        </w:rPr>
        <w:t>The Salesforce endpoint and flag that surface recently deleted records, retained in the Recycle Bin for ~15 days.</w:t>
      </w:r>
    </w:p>
    <w:p>
      <w:pPr>
        <w:spacing w:after="160"/>
        <w:ind w:left="240"/>
      </w:pPr>
      <w:r>
        <w:rPr>
          <w:b/>
          <w:color w:val="595959"/>
          <w:sz w:val="19"/>
        </w:rPr>
        <w:t xml:space="preserve">Why it matters  </w:t>
      </w:r>
      <w:r>
        <w:rPr>
          <w:color w:val="202020"/>
          <w:sz w:val="20"/>
        </w:rPr>
        <w:t>Because this only covers a short window, the connector adds its own deletion existence-sweep (§9.3) to catch older or hard deletions.</w:t>
      </w:r>
    </w:p>
    <w:p>
      <w:pPr>
        <w:spacing w:after="20"/>
        <w:keepNext/>
      </w:pPr>
      <w:r>
        <w:rPr>
          <w:b/>
          <w:color w:val="1F3864"/>
          <w:sz w:val="22"/>
        </w:rPr>
        <w:t>Sovereign cloud</w:t>
      </w:r>
    </w:p>
    <w:p>
      <w:pPr>
        <w:spacing w:after="20"/>
        <w:ind w:left="240"/>
      </w:pPr>
      <w:r>
        <w:rPr>
          <w:b/>
          <w:color w:val="595959"/>
          <w:sz w:val="19"/>
        </w:rPr>
        <w:t xml:space="preserve">What it is  </w:t>
      </w:r>
      <w:r>
        <w:rPr>
          <w:color w:val="202020"/>
          <w:sz w:val="20"/>
        </w:rPr>
        <w:t>A Microsoft national/government cloud with its own Graph endpoint (e.g. graph.microsoft.us).</w:t>
      </w:r>
    </w:p>
    <w:p>
      <w:pPr>
        <w:spacing w:after="160"/>
        <w:ind w:left="240"/>
      </w:pPr>
      <w:r>
        <w:rPr>
          <w:b/>
          <w:color w:val="595959"/>
          <w:sz w:val="19"/>
        </w:rPr>
        <w:t xml:space="preserve">Why it matters  </w:t>
      </w:r>
      <w:r>
        <w:rPr>
          <w:color w:val="202020"/>
          <w:sz w:val="20"/>
        </w:rPr>
        <w:t>Set GRAPH_BASE_URL / GRAPH_SCOPE / AZURE_AUTHORITY_HOST for these tenants so the connector writes to the correct cloud (see the Common Guide for shared endpoint details).</w:t>
      </w:r>
    </w:p>
    <w:p>
      <w:pPr>
        <w:spacing w:after="20"/>
        <w:keepNext/>
      </w:pPr>
      <w:r>
        <w:rPr>
          <w:b/>
          <w:color w:val="1F3864"/>
          <w:sz w:val="22"/>
        </w:rPr>
        <w:t>Dead-letter redaction (DEADLETTER_PAYLOAD_MODE)</w:t>
      </w:r>
    </w:p>
    <w:p>
      <w:pPr>
        <w:spacing w:after="20"/>
        <w:ind w:left="240"/>
      </w:pPr>
      <w:r>
        <w:rPr>
          <w:b/>
          <w:color w:val="595959"/>
          <w:sz w:val="19"/>
        </w:rPr>
        <w:t xml:space="preserve">What it is  </w:t>
      </w:r>
      <w:r>
        <w:rPr>
          <w:color w:val="202020"/>
          <w:sz w:val="20"/>
        </w:rPr>
        <w:t>The default dead-letter mode (redacted) strips item property values and content before a failed record is written to disk, keeping only ids, object type, error text, ACLs, field names and sha256 hashes of the removed values; full instead keeps the raw request/response payloads.</w:t>
      </w:r>
    </w:p>
    <w:p>
      <w:pPr>
        <w:spacing w:after="160"/>
        <w:ind w:left="240"/>
      </w:pPr>
      <w:r>
        <w:rPr>
          <w:b/>
          <w:color w:val="595959"/>
          <w:sz w:val="19"/>
        </w:rPr>
        <w:t xml:space="preserve">Why it matters  </w:t>
      </w:r>
      <w:r>
        <w:rPr>
          <w:color w:val="202020"/>
          <w:sz w:val="20"/>
        </w:rPr>
        <w:t>Raw CRM field values and PII no longer sit at rest in logs\failed_records_*.jsonl / dbo.DeadLetter by default. retry-failed re-fetches items from Salesforce, so redaction costs nothing at retry time, and an unrecognised value fails config-load naming the setting — a typo can never silently leave data in the clear.</w:t>
      </w:r>
    </w:p>
    <w:p>
      <w:pPr>
        <w:spacing w:after="20"/>
        <w:keepNext/>
      </w:pPr>
      <w:r>
        <w:rPr>
          <w:b/>
          <w:color w:val="1F3864"/>
          <w:sz w:val="22"/>
        </w:rPr>
        <w:t>Classification enforcement (advisory tag → ACL)</w:t>
      </w:r>
    </w:p>
    <w:p>
      <w:pPr>
        <w:spacing w:after="20"/>
        <w:ind w:left="240"/>
      </w:pPr>
      <w:r>
        <w:rPr>
          <w:b/>
          <w:color w:val="595959"/>
          <w:sz w:val="19"/>
        </w:rPr>
        <w:t xml:space="preserve">What it is  </w:t>
      </w:r>
      <w:r>
        <w:rPr>
          <w:color w:val="202020"/>
          <w:sz w:val="20"/>
        </w:rPr>
        <w:t>An opt-in control (CLASSIFICATION_ENFORCE_ACL) that reads an advisory classification tag from a Salesforce field (CLASSIFICATION_FIELD) and, for top-tier values (CLASSIFICATION_RESTRICTED_VALUES), replaces the item's Graph ACL with a single grant to one Entra group (CLASSIFICATION_RESTRICTED_GROUP).</w:t>
      </w:r>
    </w:p>
    <w:p>
      <w:pPr>
        <w:spacing w:after="160"/>
        <w:ind w:left="240"/>
      </w:pPr>
      <w:r>
        <w:rPr>
          <w:b/>
          <w:color w:val="595959"/>
          <w:sz w:val="19"/>
        </w:rPr>
        <w:t xml:space="preserve">Why it matters  </w:t>
      </w:r>
      <w:r>
        <w:rPr>
          <w:color w:val="202020"/>
          <w:sz w:val="20"/>
        </w:rPr>
        <w:t>The tag itself is advisory metadata — Purview-aligned in naming only, NOT a Purview-enforced label — and changes nothing on its own. Enforcement is a belt-and-braces ACL lock on the most sensitive records on top of the normal Salesforce-derived ACL, and is off unless both the flag and the group are set.</w:t>
      </w:r>
    </w:p>
    <w:p>
      <w:pPr>
        <w:spacing w:after="20"/>
        <w:keepNext/>
      </w:pPr>
      <w:r>
        <w:rPr>
          <w:b/>
          <w:color w:val="1F3864"/>
          <w:sz w:val="22"/>
        </w:rPr>
        <w:t>ACL scale guard (ACL_MAX_ACES)</w:t>
      </w:r>
    </w:p>
    <w:p>
      <w:pPr>
        <w:spacing w:after="20"/>
        <w:ind w:left="240"/>
      </w:pPr>
      <w:r>
        <w:rPr>
          <w:b/>
          <w:color w:val="595959"/>
          <w:sz w:val="19"/>
        </w:rPr>
        <w:t xml:space="preserve">What it is  </w:t>
      </w:r>
      <w:r>
        <w:rPr>
          <w:color w:val="202020"/>
          <w:sz w:val="20"/>
        </w:rPr>
        <w:t>A safety net for per-user ACL expansion: when an item's ACL exceeds ACL_MAX_ACES entries the guard fires and, per ACL_SCALE_GUARD_ACTION, warns, swaps the ACL for a single group grant, or drops it to deny-everyone.</w:t>
      </w:r>
    </w:p>
    <w:p>
      <w:pPr>
        <w:spacing w:after="160"/>
        <w:ind w:left="240"/>
      </w:pPr>
      <w:r>
        <w:rPr>
          <w:b/>
          <w:color w:val="595959"/>
          <w:sz w:val="19"/>
        </w:rPr>
        <w:t xml:space="preserve">Why it matters  </w:t>
      </w:r>
      <w:r>
        <w:rPr>
          <w:color w:val="202020"/>
          <w:sz w:val="20"/>
        </w:rPr>
        <w:t>A record shared to a huge role/group/queue can produce thousands of per-user ACEs and blow Graph's per-item ACL / 4 MB ceiling. The guard keeps such items ingestable and the max_item_ace_count metric makes the risk visible first; the durable fix for large orgs is USE_GROUP_ACL=true (the default), whose group-reference ACLs stay small.</w:t>
      </w:r>
    </w:p>
    <w:p>
      <w:pPr>
        <w:spacing w:after="20"/>
        <w:keepNext/>
      </w:pPr>
      <w:r>
        <w:rPr>
          <w:b/>
          <w:color w:val="1F3864"/>
          <w:sz w:val="22"/>
        </w:rPr>
        <w:t>Stale-index item TTL / expirationDateTime (GRAPH_ITEM_TTL_DAYS)</w:t>
      </w:r>
    </w:p>
    <w:p>
      <w:pPr>
        <w:spacing w:after="20"/>
        <w:ind w:left="240"/>
      </w:pPr>
      <w:r>
        <w:rPr>
          <w:b/>
          <w:color w:val="595959"/>
          <w:sz w:val="19"/>
        </w:rPr>
        <w:t xml:space="preserve">What it is  </w:t>
      </w:r>
      <w:r>
        <w:rPr>
          <w:color w:val="202020"/>
          <w:sz w:val="20"/>
        </w:rPr>
        <w:t>When GRAPH_ITEM_TTL_DAYS &gt; 0, every ingested item is stamped with a top-level expirationDateTime of ingest time + TTL; Graph then auto-expires items that stop being refreshed. A healthy connector re-stamps every item on each crawl.</w:t>
      </w:r>
    </w:p>
    <w:p>
      <w:pPr>
        <w:spacing w:after="160"/>
        <w:ind w:left="240"/>
      </w:pPr>
      <w:r>
        <w:rPr>
          <w:b/>
          <w:color w:val="595959"/>
          <w:sz w:val="19"/>
        </w:rPr>
        <w:t xml:space="preserve">Why it matters  </w:t>
      </w:r>
      <w:r>
        <w:rPr>
          <w:color w:val="202020"/>
          <w:sz w:val="20"/>
        </w:rPr>
        <w:t>If crawling stops after an outage, stale or over-permissioned content ages out of the index instead of being served forever. Choose a TTL several times the full-crawl cadence so a single missed crawl never expires live content; unset/0 keeps today's never-expire behaviour.</w:t>
      </w:r>
    </w:p>
    <w:p>
      <w:pPr>
        <w:spacing w:after="20"/>
        <w:keepNext/>
      </w:pPr>
      <w:r>
        <w:rPr>
          <w:b/>
          <w:color w:val="1F3864"/>
          <w:sz w:val="22"/>
        </w:rPr>
        <w:t>Decision ledger (DECISION_LEDGER)</w:t>
      </w:r>
    </w:p>
    <w:p>
      <w:pPr>
        <w:spacing w:after="20"/>
        <w:ind w:left="240"/>
      </w:pPr>
      <w:r>
        <w:rPr>
          <w:b/>
          <w:color w:val="595959"/>
          <w:sz w:val="19"/>
        </w:rPr>
        <w:t xml:space="preserve">What it is  </w:t>
      </w:r>
      <w:r>
        <w:rPr>
          <w:color w:val="202020"/>
          <w:sz w:val="20"/>
        </w:rPr>
        <w:t>An opt-in, append-only, SHA-256 hash-chained record (logs\decision_ledger_{CONNECTOR_ID}.jsonl) of access-affecting decisions only — classification ACL restrictions and ACL scale-guard group/fallback drops (ids, decision and reason; no CRM content or PII). Its Verify() step detects any edit, reorder or deletion.</w:t>
      </w:r>
    </w:p>
    <w:p>
      <w:pPr>
        <w:spacing w:after="160"/>
        <w:ind w:left="240"/>
      </w:pPr>
      <w:r>
        <w:rPr>
          <w:b/>
          <w:color w:val="595959"/>
          <w:sz w:val="19"/>
        </w:rPr>
        <w:t xml:space="preserve">Why it matters  </w:t>
      </w:r>
      <w:r>
        <w:rPr>
          <w:color w:val="202020"/>
          <w:sz w:val="20"/>
        </w:rPr>
        <w:t>Gives a tamper-evident audit trail of the deliberate access restrictions the connector made, suitable as a compliance record. It is low-volume (ordinary items are never recorded) and off by default (byte-identical to before when unset).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Salesforce Connector — Operator's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