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onsolas" w:hAnsi="Consolas"/>
          <w:color w:val="595959"/>
          <w:sz w:val="20"/>
        </w:rPr>
        <w:t>CONN-DOC-BDH-01</w:t>
      </w:r>
    </w:p>
    <w:p>
      <w:pPr>
        <w:jc w:val="left"/>
        <w:pBdr>
          <w:bottom w:val="single" w:sz="18" w:space="4" w:color="2E5496"/>
        </w:pBdr>
      </w:pPr>
      <w:r>
        <w:rPr>
          <w:b/>
          <w:color w:val="1F3864"/>
          <w:sz w:val="60"/>
        </w:rPr>
        <w:t>Hadoop BDH Connector</w:t>
      </w:r>
    </w:p>
    <w:p>
      <w:pPr>
        <w:spacing w:after="480"/>
      </w:pPr>
      <w:r>
        <w:rPr>
          <w:color w:val="2E5496"/>
          <w:sz w:val="28"/>
        </w:rPr>
        <w:t>Microsoft 365 Copilot Graph connector — operator's guide</w:t>
      </w:r>
    </w:p>
    <w:tbl>
      <w:tblPr>
        <w:tblW w:type="auto" w:w="0"/>
        <w:tblLayout w:type="fixed"/>
        <w:tblLook w:firstColumn="1" w:firstRow="1" w:lastColumn="0" w:lastRow="0" w:noHBand="0" w:noVBand="1" w:val="04A0"/>
        <w:tblBorders>
          <w:top w:val="single" w:sz="4" w:space="0" w:color="D6DEEC"/>
          <w:left w:val="single" w:sz="4" w:space="0" w:color="D6DEEC"/>
          <w:bottom w:val="single" w:sz="4" w:space="0" w:color="D6DEEC"/>
          <w:right w:val="single" w:sz="4" w:space="0" w:color="D6DEEC"/>
          <w:insideH w:val="single" w:sz="4" w:space="0" w:color="D6DEEC"/>
          <w:insideV w:val="single" w:sz="4" w:space="0" w:color="D6DEEC"/>
        </w:tblBorders>
      </w:tblPr>
      <w:tblGrid>
        <w:gridCol w:w="2600"/>
        <w:gridCol w:w="6760"/>
      </w:tblGrid>
      <w:tr>
        <w:tc>
          <w:tcPr>
            <w:tcW w:type="dxa" w:w="2600"/>
            <w:shd w:val="clear" w:color="auto" w:fill="EEF2F8"/>
          </w:tcPr>
          <w:p>
            <w:r>
              <w:rPr>
                <w:b/>
                <w:color w:val="1F3864"/>
                <w:sz w:val="20"/>
              </w:rPr>
              <w:t>Document owner</w:t>
            </w:r>
          </w:p>
        </w:tc>
        <w:tc>
          <w:tcPr>
            <w:tcW w:type="dxa" w:w="6760"/>
          </w:tcPr>
          <w:p>
            <w:r>
              <w:rPr>
                <w:color w:val="202020"/>
                <w:sz w:val="20"/>
              </w:rPr>
              <w:t>Connector platform team</w:t>
            </w:r>
          </w:p>
        </w:tc>
      </w:tr>
      <w:tr>
        <w:tc>
          <w:tcPr>
            <w:tcW w:type="dxa" w:w="2600"/>
            <w:shd w:val="clear" w:color="auto" w:fill="EEF2F8"/>
          </w:tcPr>
          <w:p>
            <w:r>
              <w:rPr>
                <w:b/>
                <w:color w:val="1F3864"/>
                <w:sz w:val="20"/>
              </w:rPr>
              <w:t>Prepared for</w:t>
            </w:r>
          </w:p>
        </w:tc>
        <w:tc>
          <w:tcPr>
            <w:tcW w:type="dxa" w:w="6760"/>
          </w:tcPr>
          <w:p>
            <w:r>
              <w:rPr>
                <w:color w:val="202020"/>
                <w:sz w:val="20"/>
              </w:rPr>
              <w:t>IT operations, monitoring &amp; support</w:t>
            </w:r>
          </w:p>
        </w:tc>
      </w:tr>
      <w:tr>
        <w:tc>
          <w:tcPr>
            <w:tcW w:type="dxa" w:w="2600"/>
            <w:shd w:val="clear" w:color="auto" w:fill="EEF2F8"/>
          </w:tcPr>
          <w:p>
            <w:r>
              <w:rPr>
                <w:b/>
                <w:color w:val="1F3864"/>
                <w:sz w:val="20"/>
              </w:rPr>
              <w:t>Version</w:t>
            </w:r>
          </w:p>
        </w:tc>
        <w:tc>
          <w:tcPr>
            <w:tcW w:type="dxa" w:w="6760"/>
          </w:tcPr>
          <w:p>
            <w:r>
              <w:rPr>
                <w:color w:val="202020"/>
                <w:sz w:val="20"/>
              </w:rPr>
              <w:t>1.2</w:t>
            </w:r>
          </w:p>
        </w:tc>
      </w:tr>
      <w:tr>
        <w:tc>
          <w:tcPr>
            <w:tcW w:type="dxa" w:w="2600"/>
            <w:shd w:val="clear" w:color="auto" w:fill="EEF2F8"/>
          </w:tcPr>
          <w:p>
            <w:r>
              <w:rPr>
                <w:b/>
                <w:color w:val="1F3864"/>
                <w:sz w:val="20"/>
              </w:rPr>
              <w:t>Date</w:t>
            </w:r>
          </w:p>
        </w:tc>
        <w:tc>
          <w:tcPr>
            <w:tcW w:type="dxa" w:w="6760"/>
          </w:tcPr>
          <w:p>
            <w:r>
              <w:rPr>
                <w:color w:val="202020"/>
                <w:sz w:val="20"/>
              </w:rPr>
              <w:t>20 July 2026 (adversarial hardening release)</w:t>
            </w:r>
          </w:p>
        </w:tc>
      </w:tr>
      <w:tr>
        <w:tc>
          <w:tcPr>
            <w:tcW w:type="dxa" w:w="2600"/>
            <w:shd w:val="clear" w:color="auto" w:fill="EEF2F8"/>
          </w:tcPr>
          <w:p>
            <w:r>
              <w:rPr>
                <w:b/>
                <w:color w:val="1F3864"/>
                <w:sz w:val="20"/>
              </w:rPr>
              <w:t>Source system</w:t>
            </w:r>
          </w:p>
        </w:tc>
        <w:tc>
          <w:tcPr>
            <w:tcW w:type="dxa" w:w="6760"/>
          </w:tcPr>
          <w:p>
            <w:r>
              <w:rPr>
                <w:color w:val="202020"/>
                <w:sz w:val="20"/>
              </w:rPr>
              <w:t>BDH Hadoop data mart (nightly Salesforce mirror)</w:t>
            </w:r>
          </w:p>
        </w:tc>
      </w:tr>
      <w:tr>
        <w:tc>
          <w:tcPr>
            <w:tcW w:type="dxa" w:w="2600"/>
            <w:shd w:val="clear" w:color="auto" w:fill="EEF2F8"/>
          </w:tcPr>
          <w:p>
            <w:r>
              <w:rPr>
                <w:b/>
                <w:color w:val="1F3864"/>
                <w:sz w:val="20"/>
              </w:rPr>
              <w:t>Read this first</w:t>
            </w:r>
          </w:p>
        </w:tc>
        <w:tc>
          <w:tcPr>
            <w:tcW w:type="dxa" w:w="6760"/>
          </w:tcPr>
          <w:p>
            <w:r>
              <w:rPr>
                <w:color w:val="202020"/>
                <w:sz w:val="20"/>
              </w:rPr>
              <w:t>Tenant &amp; Common Concepts Guide (CONN-DOC-COMMON-01)</w:t>
            </w:r>
          </w:p>
        </w:tc>
      </w:tr>
    </w:tbl>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8A5200"/>
              </w:rPr>
              <w:t xml:space="preserve">Confidential — internal use. </w:t>
            </w:r>
            <w:r>
              <w:rPr>
                <w:color w:val="202020"/>
                <w:sz w:val="19"/>
              </w:rPr>
              <w:t>This document describes internal systems and their operation. Handle per your organisation's information-classification policy. Do not distribute outside the teams responsible for deploying, monitoring, or supporting this connector.</w:t>
            </w:r>
          </w:p>
        </w:tc>
      </w:tr>
    </w:tbl>
    <w:p>
      <w:pPr>
        <w:sectPr>
          <w:pgSz w:w="12240" w:h="15840"/>
          <w:pgMar w:top="1440" w:right="1440" w:bottom="1440" w:left="1440" w:header="720" w:footer="720" w:gutter="0"/>
          <w:cols w:space="720"/>
          <w:docGrid w:linePitch="360"/>
        </w:sectPr>
      </w:pPr>
    </w:p>
    <w:p>
      <w:pPr>
        <w:spacing w:after="120"/>
      </w:pPr>
      <w:r>
        <w:rPr>
          <w:b/>
          <w:color w:val="1F3864"/>
          <w:sz w:val="32"/>
        </w:rPr>
        <w:t>Contents</w:t>
      </w:r>
    </w:p>
    <w:p>
      <w:r>
        <w:rPr>
          <w:color w:val="595959"/>
        </w:rPr>
        <w:fldChar w:fldCharType="begin"/>
      </w:r>
      <w:r>
        <w:rPr>
          <w:color w:val="595959"/>
        </w:rPr>
        <w:instrText xml:space="preserve"> TOC \o "1-3" \h \z \u </w:instrText>
      </w:r>
      <w:r>
        <w:rPr>
          <w:color w:val="595959"/>
        </w:rPr>
        <w:fldChar w:fldCharType="separate"/>
      </w:r>
      <w:r>
        <w:rPr>
          <w:color w:val="595959"/>
        </w:rPr>
        <w:t>Right-click here and choose “Update Field” to build the table of contents.</w:t>
      </w:r>
      <w:r>
        <w:rPr>
          <w:color w:val="595959"/>
        </w:rPr>
        <w:fldChar w:fldCharType="end"/>
      </w:r>
    </w:p>
    <w:p>
      <w:r>
        <w:br w:type="page"/>
      </w:r>
    </w:p>
    <w:p>
      <w:pPr>
        <w:pStyle w:val="Heading1"/>
      </w:pPr>
      <w:r>
        <w:rPr>
          <w:color w:val="1F3864"/>
        </w:rPr>
        <w:t>1. About this guide</w:t>
      </w:r>
    </w:p>
    <w:p>
      <w:pPr>
        <w:spacing w:after="200"/>
      </w:pPr>
      <w:r>
        <w:rPr>
          <w:color w:val="595959"/>
          <w:sz w:val="23"/>
        </w:rPr>
        <w:t>This guide tells you how to install, run, monitor and troubleshoot the Hadoop BDH connector — the piece of software that copies Salesforce business records out of the bank's BDH Hadoop data mart into the Microsoft 365 Copilot search index, so Copilot can answer questions using them.</w:t>
      </w:r>
    </w:p>
    <w:p>
      <w:pPr>
        <w:spacing w:after="120"/>
      </w:pPr>
      <w:r>
        <w:rPr>
          <w:color w:val="202020"/>
        </w:rPr>
        <w:t>It is written for an IT operator who keeps the connector running day to day. You do not need to have built it or to know Hadoop or Salesforce beforehand. Every specialist term is explained the first time it appears, and the deeper ones are collected in the glossary at the end (</w:t>
      </w:r>
      <w:r>
        <w:rPr>
          <w:b/>
          <w:color w:val="202020"/>
        </w:rPr>
        <w:t>Section 15</w:t>
      </w:r>
      <w:r>
        <w:rPr>
          <w:color w:val="202020"/>
        </w:rPr>
        <w:t>). Keep this document open beside the connector — it is a reference, not something you read once.</w:t>
      </w:r>
    </w:p>
    <w:p>
      <w:pPr>
        <w:pStyle w:val="Heading2"/>
      </w:pPr>
      <w:r>
        <w:rPr>
          <w:color w:val="2E5496"/>
        </w:rPr>
        <w:t>1.1 What is in this guide, and what is in the Common Guide</w:t>
      </w:r>
    </w:p>
    <w:p>
      <w:pPr>
        <w:spacing w:after="120"/>
      </w:pPr>
      <w:r>
        <w:rPr>
          <w:color w:val="202020"/>
        </w:rPr>
        <w:t xml:space="preserve">This connector is one of a family that all share the same engine (the "chassis"): the same command-line tool, the same way of talking to Microsoft Graph, the same health checks, the same Windows-service and high-availability behaviour. Those shared topics are documented once, in the </w:t>
      </w:r>
      <w:r>
        <w:rPr>
          <w:b/>
          <w:color w:val="202020"/>
        </w:rPr>
        <w:t>Tenant &amp; Common Concepts Guide (CONN-DOC-COMMON-01)</w:t>
      </w:r>
      <w:r>
        <w:rPr>
          <w:color w:val="202020"/>
        </w:rPr>
        <w:t xml:space="preserve"> — referred to below simply as the </w:t>
      </w:r>
      <w:r>
        <w:rPr>
          <w:b/>
          <w:color w:val="202020"/>
        </w:rPr>
        <w:t>Common Guide</w:t>
      </w:r>
      <w:r>
        <w:rPr>
          <w:color w:val="202020"/>
        </w:rPr>
        <w:t>. This document covers only what is specific to BDH.</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4680"/>
        <w:gridCol w:w="4680"/>
      </w:tblGrid>
      <w:tr>
        <w:tc>
          <w:tcPr>
            <w:tcW w:type="dxa" w:w="4680"/>
            <w:shd w:val="clear" w:color="auto" w:fill="2E5496"/>
          </w:tcPr>
          <w:p>
            <w:r>
              <w:rPr>
                <w:b/>
                <w:color w:val="FFFFFF"/>
                <w:sz w:val="19"/>
              </w:rPr>
              <w:t>Read the Common Guide for…</w:t>
            </w:r>
          </w:p>
        </w:tc>
        <w:tc>
          <w:tcPr>
            <w:tcW w:type="dxa" w:w="4680"/>
            <w:shd w:val="clear" w:color="auto" w:fill="2E5496"/>
          </w:tcPr>
          <w:p>
            <w:r>
              <w:rPr>
                <w:b/>
                <w:color w:val="FFFFFF"/>
                <w:sz w:val="19"/>
              </w:rPr>
              <w:t>Read this guide for…</w:t>
            </w:r>
          </w:p>
        </w:tc>
      </w:tr>
      <w:tr>
        <w:tc>
          <w:tcPr>
            <w:tcW w:type="dxa" w:w="4680"/>
          </w:tcPr>
          <w:p>
            <w:r>
              <w:rPr>
                <w:color w:val="202020"/>
                <w:sz w:val="19"/>
              </w:rPr>
              <w:t>Microsoft Graph, external items, ACLs and Entra ID basics (</w:t>
            </w:r>
            <w:r>
              <w:rPr>
                <w:b/>
                <w:color w:val="202020"/>
                <w:sz w:val="19"/>
              </w:rPr>
              <w:t>Common Guide §5</w:t>
            </w:r>
            <w:r>
              <w:rPr>
                <w:color w:val="202020"/>
                <w:sz w:val="19"/>
              </w:rPr>
              <w:t>)</w:t>
            </w:r>
          </w:p>
        </w:tc>
        <w:tc>
          <w:tcPr>
            <w:tcW w:type="dxa" w:w="4680"/>
          </w:tcPr>
          <w:p>
            <w:r>
              <w:rPr>
                <w:color w:val="202020"/>
                <w:sz w:val="19"/>
              </w:rPr>
              <w:t>How BDH's Salesforce records become external items (</w:t>
            </w:r>
            <w:r>
              <w:rPr>
                <w:b/>
                <w:color w:val="202020"/>
                <w:sz w:val="19"/>
              </w:rPr>
              <w:t>Section 5</w:t>
            </w:r>
            <w:r>
              <w:rPr>
                <w:color w:val="202020"/>
                <w:sz w:val="19"/>
              </w:rPr>
              <w:t>)</w:t>
            </w:r>
          </w:p>
        </w:tc>
      </w:tr>
      <w:tr>
        <w:tc>
          <w:tcPr>
            <w:tcW w:type="dxa" w:w="4680"/>
            <w:shd w:val="clear" w:color="auto" w:fill="F7F9FC"/>
          </w:tcPr>
          <w:p>
            <w:r>
              <w:rPr>
                <w:color w:val="202020"/>
                <w:sz w:val="19"/>
              </w:rPr>
              <w:t>The shared chassis, install, Windows service, Docker, SQL/HA (</w:t>
            </w:r>
            <w:r>
              <w:rPr>
                <w:b/>
                <w:color w:val="202020"/>
                <w:sz w:val="19"/>
              </w:rPr>
              <w:t>Common Guide §6</w:t>
            </w:r>
            <w:r>
              <w:rPr>
                <w:color w:val="202020"/>
                <w:sz w:val="19"/>
              </w:rPr>
              <w:t>)</w:t>
            </w:r>
          </w:p>
        </w:tc>
        <w:tc>
          <w:tcPr>
            <w:tcW w:type="dxa" w:w="4680"/>
            <w:shd w:val="clear" w:color="auto" w:fill="F7F9FC"/>
          </w:tcPr>
          <w:p>
            <w:r>
              <w:rPr>
                <w:color w:val="202020"/>
                <w:sz w:val="19"/>
              </w:rPr>
              <w:t>The BDH source connection: WebHDFS or a mounted path (</w:t>
            </w:r>
            <w:r>
              <w:rPr>
                <w:b/>
                <w:color w:val="202020"/>
                <w:sz w:val="19"/>
              </w:rPr>
              <w:t>Section 4</w:t>
            </w:r>
            <w:r>
              <w:rPr>
                <w:color w:val="202020"/>
                <w:sz w:val="19"/>
              </w:rPr>
              <w:t>)</w:t>
            </w:r>
          </w:p>
        </w:tc>
      </w:tr>
      <w:tr>
        <w:tc>
          <w:tcPr>
            <w:tcW w:type="dxa" w:w="4680"/>
          </w:tcPr>
          <w:p>
            <w:r>
              <w:rPr>
                <w:color w:val="202020"/>
                <w:sz w:val="19"/>
              </w:rPr>
              <w:t>Security &amp; authentication, tenant quotas, monitoring, disaster recovery (</w:t>
            </w:r>
            <w:r>
              <w:rPr>
                <w:b/>
                <w:color w:val="202020"/>
                <w:sz w:val="19"/>
              </w:rPr>
              <w:t>Common Guide §8</w:t>
            </w:r>
            <w:r>
              <w:rPr>
                <w:color w:val="202020"/>
                <w:sz w:val="19"/>
              </w:rPr>
              <w:t>)</w:t>
            </w:r>
          </w:p>
        </w:tc>
        <w:tc>
          <w:tcPr>
            <w:tcW w:type="dxa" w:w="4680"/>
          </w:tcPr>
          <w:p>
            <w:r>
              <w:rPr>
                <w:color w:val="202020"/>
                <w:sz w:val="19"/>
              </w:rPr>
              <w:t>The filter-first design and the fail-closed scale guard (</w:t>
            </w:r>
            <w:r>
              <w:rPr>
                <w:b/>
                <w:color w:val="202020"/>
                <w:sz w:val="19"/>
              </w:rPr>
              <w:t>Sections 6–7</w:t>
            </w:r>
            <w:r>
              <w:rPr>
                <w:color w:val="202020"/>
                <w:sz w:val="19"/>
              </w:rPr>
              <w:t>)</w:t>
            </w:r>
          </w:p>
        </w:tc>
      </w:tr>
      <w:tr>
        <w:tc>
          <w:tcPr>
            <w:tcW w:type="dxa" w:w="4680"/>
            <w:shd w:val="clear" w:color="auto" w:fill="F7F9FC"/>
          </w:tcPr>
          <w:p>
            <w:r>
              <w:rPr>
                <w:color w:val="202020"/>
                <w:sz w:val="19"/>
              </w:rPr>
              <w:t>The shared glossary of Microsoft 365 / connector terms (</w:t>
            </w:r>
            <w:r>
              <w:rPr>
                <w:b/>
                <w:color w:val="202020"/>
                <w:sz w:val="19"/>
              </w:rPr>
              <w:t>Common Guide §13</w:t>
            </w:r>
            <w:r>
              <w:rPr>
                <w:color w:val="202020"/>
                <w:sz w:val="19"/>
              </w:rPr>
              <w:t>)</w:t>
            </w:r>
          </w:p>
        </w:tc>
        <w:tc>
          <w:tcPr>
            <w:tcW w:type="dxa" w:w="4680"/>
            <w:shd w:val="clear" w:color="auto" w:fill="F7F9FC"/>
          </w:tcPr>
          <w:p>
            <w:r>
              <w:rPr>
                <w:color w:val="202020"/>
                <w:sz w:val="19"/>
              </w:rPr>
              <w:t>The BDH- and Hadoop-specific glossary (</w:t>
            </w:r>
            <w:r>
              <w:rPr>
                <w:b/>
                <w:color w:val="202020"/>
                <w:sz w:val="19"/>
              </w:rPr>
              <w:t>Section 15</w:t>
            </w:r>
            <w:r>
              <w:rPr>
                <w:color w:val="202020"/>
                <w:sz w:val="19"/>
              </w:rPr>
              <w:t>)</w:t>
            </w:r>
          </w:p>
        </w:tc>
      </w:tr>
    </w:tbl>
    <w:p>
      <w:pPr>
        <w:spacing w:after="40"/>
      </w:pPr>
    </w:p>
    <w:p>
      <w:pPr>
        <w:pStyle w:val="Heading2"/>
      </w:pPr>
      <w:r>
        <w:rPr>
          <w:color w:val="2E5496"/>
        </w:rPr>
        <w:t>1.2 How to read the callouts</w:t>
      </w:r>
    </w:p>
    <w:p>
      <w:pPr>
        <w:spacing w:after="120"/>
      </w:pPr>
      <w:r>
        <w:rPr>
          <w:color w:val="202020"/>
        </w:rPr>
        <w:t>Coloured boxes flag things that matter:</w:t>
      </w:r>
    </w:p>
    <w:p>
      <w:pPr>
        <w:pStyle w:val="ListBullet"/>
        <w:spacing w:after="40"/>
      </w:pPr>
      <w:r>
        <w:rPr>
          <w:b/>
          <w:color w:val="202020"/>
        </w:rPr>
        <w:t>Important</w:t>
      </w:r>
      <w:r>
        <w:rPr>
          <w:color w:val="202020"/>
        </w:rPr>
        <w:t xml:space="preserve"> boxes are warnings — steps that can cause an outage, data loss, or a data-exposure mistake if you get them wrong.</w:t>
      </w:r>
    </w:p>
    <w:p>
      <w:pPr>
        <w:pStyle w:val="ListBullet"/>
        <w:spacing w:after="40"/>
      </w:pPr>
      <w:r>
        <w:rPr>
          <w:b/>
          <w:color w:val="202020"/>
        </w:rPr>
        <w:t>Tip</w:t>
      </w:r>
      <w:r>
        <w:rPr>
          <w:color w:val="202020"/>
        </w:rPr>
        <w:t xml:space="preserve"> boxes are good-practice shortcuts.</w:t>
      </w:r>
    </w:p>
    <w:p>
      <w:pPr>
        <w:pStyle w:val="ListBullet"/>
        <w:spacing w:after="40"/>
      </w:pPr>
      <w:r>
        <w:rPr>
          <w:b/>
          <w:color w:val="202020"/>
        </w:rPr>
        <w:t>Information to request</w:t>
      </w:r>
      <w:r>
        <w:rPr>
          <w:color w:val="202020"/>
        </w:rPr>
        <w:t xml:space="preserve"> boxes list a value you must get from another team before you can proceed. Each one names the value and who owns it (for example the </w:t>
      </w:r>
      <w:r>
        <w:rPr>
          <w:b/>
          <w:color w:val="202020"/>
        </w:rPr>
        <w:t>Hadoop/BDH platform team</w:t>
      </w:r>
      <w:r>
        <w:rPr>
          <w:color w:val="202020"/>
        </w:rPr>
        <w:t xml:space="preserve">, the </w:t>
      </w:r>
      <w:r>
        <w:rPr>
          <w:b/>
          <w:color w:val="202020"/>
        </w:rPr>
        <w:t>Entra tenant admin</w:t>
      </w:r>
      <w:r>
        <w:rPr>
          <w:color w:val="202020"/>
        </w:rPr>
        <w:t xml:space="preserve">, or your </w:t>
      </w:r>
      <w:r>
        <w:rPr>
          <w:b/>
          <w:color w:val="202020"/>
        </w:rPr>
        <w:t>network/firewall</w:t>
      </w:r>
      <w:r>
        <w:rPr>
          <w:color w:val="202020"/>
        </w:rPr>
        <w:t xml:space="preserve"> team).</w:t>
      </w:r>
    </w:p>
    <w:p>
      <w:pPr>
        <w:spacing w:after="120"/>
      </w:pPr>
      <w:r>
        <w:rPr>
          <w:color w:val="202020"/>
        </w:rPr>
        <w:t xml:space="preserve">Text in </w:t>
      </w:r>
      <w:r>
        <w:rPr>
          <w:rFonts w:ascii="Consolas" w:hAnsi="Consolas"/>
          <w:color w:val="202020"/>
          <w:sz w:val="19"/>
        </w:rPr>
        <w:t>this monospaced font</w:t>
      </w:r>
      <w:r>
        <w:rPr>
          <w:color w:val="202020"/>
        </w:rPr>
        <w:t xml:space="preserve"> is something you type or a name from a config file or environment variable. Windows paths appear as, for example, </w:t>
      </w:r>
      <w:r>
        <w:rPr>
          <w:rFonts w:ascii="Consolas" w:hAnsi="Consolas"/>
          <w:color w:val="202020"/>
          <w:sz w:val="19"/>
        </w:rPr>
        <w:t>C:\HadoopConnector</w:t>
      </w:r>
      <w:r>
        <w:rPr>
          <w:color w:val="202020"/>
        </w:rPr>
        <w:t>.</w:t>
      </w:r>
    </w:p>
    <w:p>
      <w:pPr>
        <w:pStyle w:val="Heading2"/>
      </w:pPr>
      <w:r>
        <w:rPr>
          <w:color w:val="2E5496"/>
        </w:rPr>
        <w:t>1.3 What changed in this release</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This is the </w:t>
            </w:r>
            <w:r>
              <w:rPr>
                <w:b/>
                <w:color w:val="202020"/>
                <w:sz w:val="20"/>
              </w:rPr>
              <w:t>version 1.2 adversarial hardening release</w:t>
            </w:r>
            <w:r>
              <w:rPr>
                <w:color w:val="202020"/>
                <w:sz w:val="20"/>
              </w:rPr>
              <w:t xml:space="preserve"> (20 July 2026). Between 1.1 and 1.2 this connector's configuration and preflight path was attacked by independent hostile verifiers, and the fixes that survived are documented below with their limits stated as plainly as their guarantees. The programme-wide account — every connector, every round, and what remains open — is in the </w:t>
            </w:r>
            <w:r>
              <w:rPr>
                <w:b/>
                <w:color w:val="202020"/>
                <w:sz w:val="20"/>
              </w:rPr>
              <w:t>Release Notes — Bank-Grade Hardening Programme (CONN-DOC-REL-01)</w:t>
            </w:r>
            <w:r>
              <w:rPr>
                <w:color w:val="202020"/>
                <w:sz w:val="20"/>
              </w:rPr>
              <w:t>; this guide covers only the operator-visible results for BDH.</w:t>
            </w:r>
          </w:p>
        </w:tc>
      </w:tr>
    </w:tbl>
    <w:p>
      <w:pPr>
        <w:spacing w:after="40"/>
      </w:pPr>
    </w:p>
    <w:p>
      <w:pPr>
        <w:spacing w:after="120"/>
      </w:pPr>
      <w:r>
        <w:rPr>
          <w:color w:val="202020"/>
        </w:rPr>
        <w:t>Operator-visible changes in 1.2:</w:t>
      </w:r>
    </w:p>
    <w:p>
      <w:pPr>
        <w:pStyle w:val="ListBullet"/>
        <w:spacing w:after="40"/>
      </w:pPr>
      <w:r>
        <w:rPr>
          <w:b/>
          <w:color w:val="202020"/>
        </w:rPr>
        <w:t>Preflight now validates every config file the connector reads — all four of them.</w:t>
      </w:r>
      <w:r>
        <w:rPr>
          <w:color w:val="202020"/>
        </w:rPr>
        <w:t xml:space="preserve"> </w:t>
      </w:r>
      <w:r>
        <w:rPr>
          <w:rFonts w:ascii="Consolas" w:hAnsi="Consolas"/>
          <w:color w:val="202020"/>
          <w:sz w:val="19"/>
        </w:rPr>
        <w:t>validate-config --strict</w:t>
      </w:r>
      <w:r>
        <w:rPr>
          <w:color w:val="202020"/>
        </w:rPr>
        <w:t xml:space="preserve"> is the deployment gate, and a configuration that passes it will not fail at crawl time for a configuration reason; its verdict no longer depends on the </w:t>
      </w:r>
      <w:r>
        <w:rPr>
          <w:rFonts w:ascii="Consolas" w:hAnsi="Consolas"/>
          <w:color w:val="202020"/>
          <w:sz w:val="19"/>
        </w:rPr>
        <w:t>CLASSIFICATION</w:t>
      </w:r>
      <w:r>
        <w:rPr>
          <w:color w:val="202020"/>
        </w:rPr>
        <w:t xml:space="preserve"> flag (with one documented absent-file exception). Previously a </w:t>
      </w:r>
      <w:r>
        <w:rPr>
          <w:rFonts w:ascii="Consolas" w:hAnsi="Consolas"/>
          <w:color w:val="202020"/>
          <w:sz w:val="19"/>
        </w:rPr>
        <w:t>classification.json</w:t>
      </w:r>
      <w:r>
        <w:rPr>
          <w:color w:val="202020"/>
        </w:rPr>
        <w:t xml:space="preserve"> containing JSON nulls or wrong-typed values passed </w:t>
      </w:r>
      <w:r>
        <w:rPr>
          <w:rFonts w:ascii="Consolas" w:hAnsi="Consolas"/>
          <w:color w:val="202020"/>
          <w:sz w:val="19"/>
        </w:rPr>
        <w:t>--strict</w:t>
      </w:r>
      <w:r>
        <w:rPr>
          <w:color w:val="202020"/>
        </w:rPr>
        <w:t xml:space="preserve"> green and then killed the crawl (</w:t>
      </w:r>
      <w:r>
        <w:rPr>
          <w:b/>
          <w:color w:val="202020"/>
        </w:rPr>
        <w:t>Section 14.11</w:t>
      </w:r>
      <w:r>
        <w:rPr>
          <w:color w:val="202020"/>
        </w:rPr>
        <w:t>).</w:t>
      </w:r>
    </w:p>
    <w:p>
      <w:pPr>
        <w:pStyle w:val="ListBullet"/>
        <w:spacing w:after="40"/>
      </w:pPr>
      <w:r>
        <w:rPr>
          <w:b/>
          <w:color w:val="202020"/>
        </w:rPr>
        <w:t>A graph-schema cross-check</w:t>
      </w:r>
      <w:r>
        <w:rPr>
          <w:color w:val="202020"/>
        </w:rPr>
        <w:t xml:space="preserve">: preflight now errors on any Graph property the object list produces that </w:t>
      </w:r>
      <w:r>
        <w:rPr>
          <w:rFonts w:ascii="Consolas" w:hAnsi="Consolas"/>
          <w:color w:val="202020"/>
          <w:sz w:val="19"/>
        </w:rPr>
        <w:t>config/graph-schema.json</w:t>
      </w:r>
      <w:r>
        <w:rPr>
          <w:color w:val="202020"/>
        </w:rPr>
        <w:t xml:space="preserve"> does not declare — including the seven always-emitted names — because Graph rejects every affected item at push time (</w:t>
      </w:r>
      <w:r>
        <w:rPr>
          <w:b/>
          <w:color w:val="202020"/>
        </w:rPr>
        <w:t>Section 14.12</w:t>
      </w:r>
      <w:r>
        <w:rPr>
          <w:color w:val="202020"/>
        </w:rPr>
        <w:t>).</w:t>
      </w:r>
    </w:p>
    <w:p>
      <w:pPr>
        <w:pStyle w:val="ListBullet"/>
        <w:spacing w:after="40"/>
      </w:pPr>
      <w:r>
        <w:rPr>
          <w:b/>
          <w:color w:val="202020"/>
        </w:rPr>
        <w:t xml:space="preserve">Per-column </w:t>
      </w:r>
      <w:r>
        <w:rPr>
          <w:rFonts w:ascii="Consolas" w:hAnsi="Consolas"/>
          <w:b/>
          <w:color w:val="202020"/>
          <w:sz w:val="19"/>
        </w:rPr>
        <w:t>drop</w:t>
      </w:r>
      <w:r>
        <w:rPr>
          <w:b/>
          <w:color w:val="202020"/>
        </w:rPr>
        <w:t>/</w:t>
      </w:r>
      <w:r>
        <w:rPr>
          <w:rFonts w:ascii="Consolas" w:hAnsi="Consolas"/>
          <w:b/>
          <w:color w:val="202020"/>
          <w:sz w:val="19"/>
        </w:rPr>
        <w:t>mask</w:t>
      </w:r>
      <w:r>
        <w:rPr>
          <w:b/>
          <w:color w:val="202020"/>
        </w:rPr>
        <w:t xml:space="preserve"> policies</w:t>
      </w:r>
      <w:r>
        <w:rPr>
          <w:color w:val="202020"/>
        </w:rPr>
        <w:t xml:space="preserve"> (</w:t>
      </w:r>
      <w:r>
        <w:rPr>
          <w:rFonts w:ascii="Consolas" w:hAnsi="Consolas"/>
          <w:color w:val="202020"/>
          <w:sz w:val="19"/>
        </w:rPr>
        <w:t>columnPolicies</w:t>
      </w:r>
      <w:r>
        <w:rPr>
          <w:color w:val="202020"/>
        </w:rPr>
        <w:t xml:space="preserve"> in </w:t>
      </w:r>
      <w:r>
        <w:rPr>
          <w:rFonts w:ascii="Consolas" w:hAnsi="Consolas"/>
          <w:color w:val="202020"/>
          <w:sz w:val="19"/>
        </w:rPr>
        <w:t>config/schema.json</w:t>
      </w:r>
      <w:r>
        <w:rPr>
          <w:color w:val="202020"/>
        </w:rPr>
        <w:t>), with load-time rejection of every shape that would report a restriction the items do not deliver — including collisions with the seven always-emitted properties, in both directions (</w:t>
      </w:r>
      <w:r>
        <w:rPr>
          <w:b/>
          <w:color w:val="202020"/>
        </w:rPr>
        <w:t>Section 14.13</w:t>
      </w:r>
      <w:r>
        <w:rPr>
          <w:color w:val="202020"/>
        </w:rPr>
        <w:t>).</w:t>
      </w:r>
    </w:p>
    <w:p>
      <w:pPr>
        <w:pStyle w:val="ListBullet"/>
        <w:spacing w:after="40"/>
      </w:pPr>
      <w:r>
        <w:rPr>
          <w:b/>
          <w:color w:val="202020"/>
        </w:rPr>
        <w:t>Coarse-ACL sign-off:</w:t>
      </w:r>
      <w:r>
        <w:rPr>
          <w:color w:val="202020"/>
        </w:rPr>
        <w:t xml:space="preserve"> </w:t>
      </w:r>
      <w:r>
        <w:rPr>
          <w:rFonts w:ascii="Consolas" w:hAnsi="Consolas"/>
          <w:color w:val="202020"/>
          <w:sz w:val="19"/>
        </w:rPr>
        <w:t>--strict</w:t>
      </w:r>
      <w:r>
        <w:rPr>
          <w:color w:val="202020"/>
        </w:rPr>
        <w:t xml:space="preserve"> now fails any </w:t>
      </w:r>
      <w:r>
        <w:rPr>
          <w:rFonts w:ascii="Consolas" w:hAnsi="Consolas"/>
          <w:color w:val="202020"/>
          <w:sz w:val="19"/>
        </w:rPr>
        <w:t>group</w:t>
      </w:r>
      <w:r>
        <w:rPr>
          <w:color w:val="202020"/>
        </w:rPr>
        <w:t>/</w:t>
      </w:r>
      <w:r>
        <w:rPr>
          <w:rFonts w:ascii="Consolas" w:hAnsi="Consolas"/>
          <w:color w:val="202020"/>
          <w:sz w:val="19"/>
        </w:rPr>
        <w:t>public</w:t>
      </w:r>
      <w:r>
        <w:rPr>
          <w:color w:val="202020"/>
        </w:rPr>
        <w:t xml:space="preserve"> object until a human records </w:t>
      </w:r>
      <w:r>
        <w:rPr>
          <w:rFonts w:ascii="Consolas" w:hAnsi="Consolas"/>
          <w:color w:val="202020"/>
          <w:sz w:val="19"/>
        </w:rPr>
        <w:t>coarseAclAcknowledged: true</w:t>
      </w:r>
      <w:r>
        <w:rPr>
          <w:color w:val="202020"/>
        </w:rPr>
        <w:t xml:space="preserve"> </w:t>
      </w:r>
      <w:r>
        <w:rPr>
          <w:b/>
          <w:color w:val="202020"/>
        </w:rPr>
        <w:t>and</w:t>
      </w:r>
      <w:r>
        <w:rPr>
          <w:color w:val="202020"/>
        </w:rPr>
        <w:t xml:space="preserve"> </w:t>
      </w:r>
      <w:r>
        <w:rPr>
          <w:rFonts w:ascii="Consolas" w:hAnsi="Consolas"/>
          <w:color w:val="202020"/>
          <w:sz w:val="19"/>
        </w:rPr>
        <w:t>coarseAclAcknowledgedFor</w:t>
      </w:r>
      <w:r>
        <w:rPr>
          <w:color w:val="202020"/>
        </w:rPr>
        <w:t xml:space="preserve"> naming the exact posture (</w:t>
      </w:r>
      <w:r>
        <w:rPr>
          <w:rFonts w:ascii="Consolas" w:hAnsi="Consolas"/>
          <w:color w:val="202020"/>
          <w:sz w:val="19"/>
        </w:rPr>
        <w:t>"public"</w:t>
      </w:r>
      <w:r>
        <w:rPr>
          <w:color w:val="202020"/>
        </w:rPr>
        <w:t xml:space="preserve"> or </w:t>
      </w:r>
      <w:r>
        <w:rPr>
          <w:rFonts w:ascii="Consolas" w:hAnsi="Consolas"/>
          <w:color w:val="202020"/>
          <w:sz w:val="19"/>
        </w:rPr>
        <w:t>"group:&lt;aclGroupId&gt;"</w:t>
      </w:r>
      <w:r>
        <w:rPr>
          <w:color w:val="202020"/>
        </w:rPr>
        <w:t xml:space="preserve">) in </w:t>
      </w:r>
      <w:r>
        <w:rPr>
          <w:rFonts w:ascii="Consolas" w:hAnsi="Consolas"/>
          <w:color w:val="202020"/>
          <w:sz w:val="19"/>
        </w:rPr>
        <w:t>config/schema.json</w:t>
      </w:r>
      <w:r>
        <w:rPr>
          <w:color w:val="202020"/>
        </w:rPr>
        <w:t xml:space="preserve">; a binding that does not match the effective posture is a hard config-load error, so any widening forces a fresh review. The shipped config deliberately ships unacknowledged — a fresh deployment fails </w:t>
      </w:r>
      <w:r>
        <w:rPr>
          <w:rFonts w:ascii="Consolas" w:hAnsi="Consolas"/>
          <w:color w:val="202020"/>
          <w:sz w:val="19"/>
        </w:rPr>
        <w:t>--strict</w:t>
      </w:r>
      <w:r>
        <w:rPr>
          <w:color w:val="202020"/>
        </w:rPr>
        <w:t xml:space="preserve"> on </w:t>
      </w:r>
      <w:r>
        <w:rPr>
          <w:rFonts w:ascii="Consolas" w:hAnsi="Consolas"/>
          <w:color w:val="202020"/>
          <w:sz w:val="19"/>
        </w:rPr>
        <w:t>Account</w:t>
      </w:r>
      <w:r>
        <w:rPr>
          <w:color w:val="202020"/>
        </w:rPr>
        <w:t xml:space="preserve"> until someone reviews it.</w:t>
      </w:r>
    </w:p>
    <w:p>
      <w:pPr>
        <w:pStyle w:val="ListBullet"/>
        <w:spacing w:after="40"/>
      </w:pPr>
      <w:r>
        <w:rPr>
          <w:b/>
          <w:color w:val="202020"/>
        </w:rPr>
        <w:t>A config mistake on the crawl path now prints the actionable message and exits 2</w:t>
      </w:r>
      <w:r>
        <w:rPr>
          <w:color w:val="202020"/>
        </w:rPr>
        <w:t xml:space="preserve"> — the same sentence naming the object, the key and the fix that </w:t>
      </w:r>
      <w:r>
        <w:rPr>
          <w:rFonts w:ascii="Consolas" w:hAnsi="Consolas"/>
          <w:color w:val="202020"/>
          <w:sz w:val="19"/>
        </w:rPr>
        <w:t>validate-config</w:t>
      </w:r>
      <w:r>
        <w:rPr>
          <w:color w:val="202020"/>
        </w:rPr>
        <w:t xml:space="preserve"> prints — instead of a stack trace. The automated test count rose from 702 to </w:t>
      </w:r>
      <w:r>
        <w:rPr>
          <w:b/>
          <w:color w:val="202020"/>
        </w:rPr>
        <w:t>981</w:t>
      </w:r>
      <w:r>
        <w:rPr>
          <w:color w:val="202020"/>
        </w:rPr>
        <w:t>.</w:t>
      </w:r>
    </w:p>
    <w:p>
      <w:pPr>
        <w:spacing w:after="120"/>
      </w:pPr>
      <w:r>
        <w:rPr>
          <w:color w:val="202020"/>
        </w:rPr>
        <w:t xml:space="preserve">Carried over from </w:t>
      </w:r>
      <w:r>
        <w:rPr>
          <w:b/>
          <w:color w:val="202020"/>
        </w:rPr>
        <w:t>version 1.1 (bank-grade hardening)</w:t>
      </w:r>
      <w:r>
        <w:rPr>
          <w:color w:val="202020"/>
        </w:rPr>
        <w:t xml:space="preserve"> — these safer defaults took effect automatically on upgrade and remain in force. The connector's signature behaviour is unchanged throughout: filter-first crawling, the fail-closed scale guard, and the dt-watermark overlap all work exactly as before. The 1.1 default flips:</w:t>
      </w:r>
    </w:p>
    <w:p>
      <w:pPr>
        <w:pStyle w:val="ListBullet"/>
        <w:spacing w:after="40"/>
      </w:pPr>
      <w:r>
        <w:rPr>
          <w:b/>
          <w:color w:val="202020"/>
        </w:rPr>
        <w:t>Dead-letter payloads are now redacted by default.</w:t>
      </w:r>
      <w:r>
        <w:rPr>
          <w:color w:val="202020"/>
        </w:rPr>
        <w:t xml:space="preserve"> </w:t>
      </w:r>
      <w:r>
        <w:rPr>
          <w:rFonts w:ascii="Consolas" w:hAnsi="Consolas"/>
          <w:color w:val="202020"/>
          <w:sz w:val="19"/>
        </w:rPr>
        <w:t>DEADLETTER_PAYLOAD_MODE</w:t>
      </w:r>
      <w:r>
        <w:rPr>
          <w:color w:val="202020"/>
        </w:rPr>
        <w:t xml:space="preserve"> defaults to </w:t>
      </w:r>
      <w:r>
        <w:rPr>
          <w:rFonts w:ascii="Consolas" w:hAnsi="Consolas"/>
          <w:color w:val="202020"/>
          <w:sz w:val="19"/>
        </w:rPr>
        <w:t>redacted</w:t>
      </w:r>
      <w:r>
        <w:rPr>
          <w:color w:val="202020"/>
        </w:rPr>
        <w:t xml:space="preserve"> (was </w:t>
      </w:r>
      <w:r>
        <w:rPr>
          <w:rFonts w:ascii="Consolas" w:hAnsi="Consolas"/>
          <w:color w:val="202020"/>
          <w:sz w:val="19"/>
        </w:rPr>
        <w:t>full</w:t>
      </w:r>
      <w:r>
        <w:rPr>
          <w:color w:val="202020"/>
        </w:rPr>
        <w:t xml:space="preserve">): raw record values and PII no longer land in the dead-letter queue unless you explicitly set </w:t>
      </w:r>
      <w:r>
        <w:rPr>
          <w:rFonts w:ascii="Consolas" w:hAnsi="Consolas"/>
          <w:color w:val="202020"/>
          <w:sz w:val="19"/>
        </w:rPr>
        <w:t>full</w:t>
      </w:r>
      <w:r>
        <w:rPr>
          <w:color w:val="202020"/>
        </w:rPr>
        <w:t xml:space="preserve">. A typo in this setting now </w:t>
      </w:r>
      <w:r>
        <w:rPr>
          <w:b/>
          <w:color w:val="202020"/>
        </w:rPr>
        <w:t>fails fast at config load</w:t>
      </w:r>
      <w:r>
        <w:rPr>
          <w:color w:val="202020"/>
        </w:rPr>
        <w:t xml:space="preserve"> instead of silently falling back to redacting (</w:t>
      </w:r>
      <w:r>
        <w:rPr>
          <w:b/>
          <w:color w:val="202020"/>
        </w:rPr>
        <w:t>Section 14.9</w:t>
      </w:r>
      <w:r>
        <w:rPr>
          <w:color w:val="202020"/>
        </w:rPr>
        <w:t>).</w:t>
      </w:r>
    </w:p>
    <w:p>
      <w:pPr>
        <w:pStyle w:val="ListBullet"/>
        <w:spacing w:after="40"/>
      </w:pPr>
      <w:r>
        <w:rPr>
          <w:b/>
          <w:color w:val="202020"/>
        </w:rPr>
        <w:t>Identity sync now runs on incremental crawls too.</w:t>
      </w:r>
      <w:r>
        <w:rPr>
          <w:color w:val="202020"/>
        </w:rPr>
        <w:t xml:space="preserve"> </w:t>
      </w:r>
      <w:r>
        <w:rPr>
          <w:rFonts w:ascii="Consolas" w:hAnsi="Consolas"/>
          <w:color w:val="202020"/>
          <w:sz w:val="19"/>
        </w:rPr>
        <w:t>IDENTITY_SYNC_ON_INCREMENTAL</w:t>
      </w:r>
      <w:r>
        <w:rPr>
          <w:color w:val="202020"/>
        </w:rPr>
        <w:t xml:space="preserve"> defaults to </w:t>
      </w:r>
      <w:r>
        <w:rPr>
          <w:rFonts w:ascii="Consolas" w:hAnsi="Consolas"/>
          <w:color w:val="202020"/>
          <w:sz w:val="19"/>
        </w:rPr>
        <w:t>true</w:t>
      </w:r>
      <w:r>
        <w:rPr>
          <w:color w:val="202020"/>
        </w:rPr>
        <w:t xml:space="preserve"> (was </w:t>
      </w:r>
      <w:r>
        <w:rPr>
          <w:rFonts w:ascii="Consolas" w:hAnsi="Consolas"/>
          <w:color w:val="202020"/>
          <w:sz w:val="19"/>
        </w:rPr>
        <w:t>false</w:t>
      </w:r>
      <w:r>
        <w:rPr>
          <w:color w:val="202020"/>
        </w:rPr>
        <w:t>): entitlements re-sync every incremental crawl, so ACL staleness tracks the incremental cadence rather than waiting for the next full crawl (</w:t>
      </w:r>
      <w:r>
        <w:rPr>
          <w:b/>
          <w:color w:val="202020"/>
        </w:rPr>
        <w:t>Section 8.5</w:t>
      </w:r>
      <w:r>
        <w:rPr>
          <w:color w:val="202020"/>
        </w:rPr>
        <w:t>).</w:t>
      </w:r>
    </w:p>
    <w:p>
      <w:pPr>
        <w:pStyle w:val="ListBullet"/>
        <w:spacing w:after="40"/>
      </w:pPr>
      <w:r>
        <w:rPr>
          <w:b/>
          <w:color w:val="202020"/>
        </w:rPr>
        <w:t>State directories are created owner-only at startup.</w:t>
      </w:r>
      <w:r>
        <w:rPr>
          <w:color w:val="202020"/>
        </w:rPr>
        <w:t xml:space="preserve"> </w:t>
      </w:r>
      <w:r>
        <w:rPr>
          <w:rFonts w:ascii="Consolas" w:hAnsi="Consolas"/>
          <w:color w:val="202020"/>
          <w:sz w:val="19"/>
        </w:rPr>
        <w:t>logs/</w:t>
      </w:r>
      <w:r>
        <w:rPr>
          <w:color w:val="202020"/>
        </w:rPr>
        <w:t xml:space="preserve">, </w:t>
      </w:r>
      <w:r>
        <w:rPr>
          <w:rFonts w:ascii="Consolas" w:hAnsi="Consolas"/>
          <w:color w:val="202020"/>
          <w:sz w:val="19"/>
        </w:rPr>
        <w:t>data/</w:t>
      </w:r>
      <w:r>
        <w:rPr>
          <w:color w:val="202020"/>
        </w:rPr>
        <w:t xml:space="preserve"> and the dead-letter directory are locked down (POSIX </w:t>
      </w:r>
      <w:r>
        <w:rPr>
          <w:rFonts w:ascii="Consolas" w:hAnsi="Consolas"/>
          <w:color w:val="202020"/>
          <w:sz w:val="19"/>
        </w:rPr>
        <w:t>0700</w:t>
      </w:r>
      <w:r>
        <w:rPr>
          <w:color w:val="202020"/>
        </w:rPr>
        <w:t>; on Windows, best-effort owner + Administrators) so other local accounts cannot read the state, identity store or dead-letter queue (</w:t>
      </w:r>
      <w:r>
        <w:rPr>
          <w:b/>
          <w:color w:val="202020"/>
        </w:rPr>
        <w:t>Section 10</w:t>
      </w:r>
      <w:r>
        <w:rPr>
          <w:color w:val="202020"/>
        </w:rPr>
        <w:t>).</w:t>
      </w:r>
    </w:p>
    <w:p>
      <w:pPr>
        <w:spacing w:after="120"/>
      </w:pPr>
      <w:r>
        <w:rPr>
          <w:color w:val="202020"/>
        </w:rPr>
        <w:t>Opt-in governance and compliance controls introduced in 1.1 (all off/unset unless noted):</w:t>
      </w:r>
    </w:p>
    <w:p>
      <w:pPr>
        <w:pStyle w:val="ListBullet"/>
        <w:spacing w:after="40"/>
      </w:pPr>
      <w:r>
        <w:rPr>
          <w:b/>
          <w:color w:val="202020"/>
        </w:rPr>
        <w:t>Classification ACL enforcement</w:t>
      </w:r>
      <w:r>
        <w:rPr>
          <w:color w:val="202020"/>
        </w:rPr>
        <w:t xml:space="preserve"> — </w:t>
      </w:r>
      <w:r>
        <w:rPr>
          <w:rFonts w:ascii="Consolas" w:hAnsi="Consolas"/>
          <w:color w:val="202020"/>
          <w:sz w:val="19"/>
        </w:rPr>
        <w:t>CLASSIFICATION_ENFORCE_ACL</w:t>
      </w:r>
      <w:r>
        <w:rPr>
          <w:color w:val="202020"/>
        </w:rPr>
        <w:t xml:space="preserve"> (with </w:t>
      </w:r>
      <w:r>
        <w:rPr>
          <w:rFonts w:ascii="Consolas" w:hAnsi="Consolas"/>
          <w:color w:val="202020"/>
          <w:sz w:val="19"/>
        </w:rPr>
        <w:t>CLASSIFICATION_RESTRICTED_GROUP_ID</w:t>
      </w:r>
      <w:r>
        <w:rPr>
          <w:color w:val="202020"/>
        </w:rPr>
        <w:t xml:space="preserve">) turns the advisory sensitivity tag into a real access boundary for </w:t>
      </w:r>
      <w:r>
        <w:rPr>
          <w:rFonts w:ascii="Consolas" w:hAnsi="Consolas"/>
          <w:color w:val="202020"/>
          <w:sz w:val="19"/>
        </w:rPr>
        <w:t>Restricted</w:t>
      </w:r>
      <w:r>
        <w:rPr>
          <w:color w:val="202020"/>
        </w:rPr>
        <w:t xml:space="preserve"> items (</w:t>
      </w:r>
      <w:r>
        <w:rPr>
          <w:b/>
          <w:color w:val="202020"/>
        </w:rPr>
        <w:t>Section 14.9</w:t>
      </w:r>
      <w:r>
        <w:rPr>
          <w:color w:val="202020"/>
        </w:rPr>
        <w:t>).</w:t>
      </w:r>
    </w:p>
    <w:p>
      <w:pPr>
        <w:pStyle w:val="ListBullet"/>
        <w:spacing w:after="40"/>
      </w:pPr>
      <w:r>
        <w:rPr>
          <w:b/>
          <w:color w:val="202020"/>
        </w:rPr>
        <w:t>Stale-index item TTL</w:t>
      </w:r>
      <w:r>
        <w:rPr>
          <w:color w:val="202020"/>
        </w:rPr>
        <w:t xml:space="preserve"> — </w:t>
      </w:r>
      <w:r>
        <w:rPr>
          <w:rFonts w:ascii="Consolas" w:hAnsi="Consolas"/>
          <w:color w:val="202020"/>
          <w:sz w:val="19"/>
        </w:rPr>
        <w:t>GRAPH_ITEM_TTL_DAYS</w:t>
      </w:r>
      <w:r>
        <w:rPr>
          <w:color w:val="202020"/>
        </w:rPr>
        <w:t xml:space="preserve"> stamps every item with an </w:t>
      </w:r>
      <w:r>
        <w:rPr>
          <w:rFonts w:ascii="Consolas" w:hAnsi="Consolas"/>
          <w:color w:val="202020"/>
          <w:sz w:val="19"/>
        </w:rPr>
        <w:t>expirationDateTime</w:t>
      </w:r>
      <w:r>
        <w:rPr>
          <w:color w:val="202020"/>
        </w:rPr>
        <w:t xml:space="preserve"> so the index self-expires if crawling stops after an outage (</w:t>
      </w:r>
      <w:r>
        <w:rPr>
          <w:b/>
          <w:color w:val="202020"/>
        </w:rPr>
        <w:t>Section 14.9</w:t>
      </w:r>
      <w:r>
        <w:rPr>
          <w:color w:val="202020"/>
        </w:rPr>
        <w:t>).</w:t>
      </w:r>
    </w:p>
    <w:p>
      <w:pPr>
        <w:pStyle w:val="ListBullet"/>
        <w:spacing w:after="40"/>
      </w:pPr>
      <w:r>
        <w:rPr>
          <w:b/>
          <w:color w:val="202020"/>
        </w:rPr>
        <w:t>Tamper-evident decision ledger</w:t>
      </w:r>
      <w:r>
        <w:rPr>
          <w:color w:val="202020"/>
        </w:rPr>
        <w:t xml:space="preserve"> — </w:t>
      </w:r>
      <w:r>
        <w:rPr>
          <w:rFonts w:ascii="Consolas" w:hAnsi="Consolas"/>
          <w:color w:val="202020"/>
          <w:sz w:val="19"/>
        </w:rPr>
        <w:t>DECISION_LEDGER</w:t>
      </w:r>
      <w:r>
        <w:rPr>
          <w:color w:val="202020"/>
        </w:rPr>
        <w:t xml:space="preserve"> (</w:t>
      </w:r>
      <w:r>
        <w:rPr>
          <w:b/>
          <w:color w:val="202020"/>
        </w:rPr>
        <w:t>ON by default</w:t>
      </w:r>
      <w:r>
        <w:rPr>
          <w:color w:val="202020"/>
        </w:rPr>
        <w:t xml:space="preserve"> for this connector) hash-chains every exclusion and ACL-restriction decision so they cannot be altered undetectably (</w:t>
      </w:r>
      <w:r>
        <w:rPr>
          <w:b/>
          <w:color w:val="202020"/>
        </w:rPr>
        <w:t>Section 14.9</w:t>
      </w:r>
      <w:r>
        <w:rPr>
          <w:color w:val="202020"/>
        </w:rPr>
        <w:t>).</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rFonts w:ascii="Consolas" w:hAnsi="Consolas"/>
                <w:color w:val="202020"/>
                <w:sz w:val="19"/>
              </w:rPr>
              <w:t>SensitivityLabel</w:t>
            </w:r>
            <w:r>
              <w:rPr>
                <w:color w:val="202020"/>
                <w:sz w:val="20"/>
              </w:rPr>
              <w:t xml:space="preserve"> remains an </w:t>
            </w:r>
            <w:r>
              <w:rPr>
                <w:b/>
                <w:color w:val="202020"/>
                <w:sz w:val="20"/>
              </w:rPr>
              <w:t>advisory, connector-applied classification tag</w:t>
            </w:r>
            <w:r>
              <w:rPr>
                <w:color w:val="202020"/>
                <w:sz w:val="20"/>
              </w:rPr>
              <w:t xml:space="preserve"> — Purview-aligned in naming only, NOT a Microsoft Purview-enforced label. On its own it does not encrypt content or gate access; it only restricts access when you turn on </w:t>
            </w:r>
            <w:r>
              <w:rPr>
                <w:rFonts w:ascii="Consolas" w:hAnsi="Consolas"/>
                <w:color w:val="202020"/>
                <w:sz w:val="19"/>
              </w:rPr>
              <w:t>CLASSIFICATION_ENFORCE_ACL</w:t>
            </w:r>
            <w:r>
              <w:rPr>
                <w:color w:val="202020"/>
                <w:sz w:val="20"/>
              </w:rPr>
              <w:t xml:space="preserve"> (</w:t>
            </w:r>
            <w:r>
              <w:rPr>
                <w:b/>
                <w:color w:val="202020"/>
                <w:sz w:val="20"/>
              </w:rPr>
              <w:t>Section 14.9</w:t>
            </w:r>
            <w:r>
              <w:rPr>
                <w:color w:val="202020"/>
                <w:sz w:val="20"/>
              </w:rPr>
              <w:t>).</w:t>
            </w:r>
          </w:p>
        </w:tc>
      </w:tr>
    </w:tbl>
    <w:p>
      <w:pPr>
        <w:spacing w:after="40"/>
      </w:pPr>
    </w:p>
    <w:p>
      <w:pPr>
        <w:pStyle w:val="Heading1"/>
      </w:pPr>
      <w:r>
        <w:rPr>
          <w:color w:val="1F3864"/>
        </w:rPr>
        <w:t>2. What is the BDH Hadoop data mart, and why connect to it instead of Salesforce?</w:t>
      </w:r>
    </w:p>
    <w:p>
      <w:pPr>
        <w:spacing w:after="200"/>
      </w:pPr>
      <w:r>
        <w:rPr>
          <w:color w:val="595959"/>
          <w:sz w:val="23"/>
        </w:rPr>
        <w:t>The short version: BDH is a nightly copy of Salesforce kept in the bank's big-data platform. Reading that copy is effectively free; reading Salesforce directly is metered and costs money. This connector indexes the free copy, accepting that the data is up to a day old and that its permissions are coarser.</w:t>
      </w:r>
    </w:p>
    <w:p>
      <w:pPr>
        <w:pStyle w:val="Heading2"/>
      </w:pPr>
      <w:r>
        <w:rPr>
          <w:color w:val="2E5496"/>
        </w:rPr>
        <w:t>2.1 The words, in plain language</w:t>
      </w:r>
    </w:p>
    <w:p>
      <w:pPr>
        <w:spacing w:after="20"/>
        <w:keepNext/>
      </w:pPr>
      <w:r>
        <w:rPr>
          <w:b/>
          <w:color w:val="1F3864"/>
          <w:sz w:val="22"/>
        </w:rPr>
        <w:t>Hadoop</w:t>
      </w:r>
    </w:p>
    <w:p>
      <w:pPr>
        <w:spacing w:after="20"/>
        <w:ind w:left="240"/>
      </w:pPr>
      <w:r>
        <w:rPr>
          <w:b/>
          <w:color w:val="595959"/>
          <w:sz w:val="19"/>
        </w:rPr>
        <w:t xml:space="preserve">What it is  </w:t>
      </w:r>
      <w:r>
        <w:rPr>
          <w:color w:val="202020"/>
          <w:sz w:val="20"/>
        </w:rPr>
        <w:t>A platform for storing and processing very large amounts of data across many machines at once.</w:t>
      </w:r>
    </w:p>
    <w:p>
      <w:pPr>
        <w:spacing w:after="160"/>
        <w:ind w:left="240"/>
      </w:pPr>
      <w:r>
        <w:rPr>
          <w:b/>
          <w:color w:val="595959"/>
          <w:sz w:val="19"/>
        </w:rPr>
        <w:t xml:space="preserve">Why it matters  </w:t>
      </w:r>
      <w:r>
        <w:rPr>
          <w:color w:val="202020"/>
          <w:sz w:val="20"/>
        </w:rPr>
        <w:t>BDH is built on Hadoop, so the connector has to read data the Hadoop way (files in directories) rather than by calling an application's API.</w:t>
      </w:r>
    </w:p>
    <w:p>
      <w:pPr>
        <w:spacing w:after="20"/>
        <w:keepNext/>
      </w:pPr>
      <w:r>
        <w:rPr>
          <w:b/>
          <w:color w:val="1F3864"/>
          <w:sz w:val="22"/>
        </w:rPr>
        <w:t>Data lake vs data mart</w:t>
      </w:r>
    </w:p>
    <w:p>
      <w:pPr>
        <w:spacing w:after="20"/>
        <w:ind w:left="240"/>
      </w:pPr>
      <w:r>
        <w:rPr>
          <w:b/>
          <w:color w:val="595959"/>
          <w:sz w:val="19"/>
        </w:rPr>
        <w:t xml:space="preserve">What it is  </w:t>
      </w:r>
      <w:r>
        <w:rPr>
          <w:color w:val="202020"/>
          <w:sz w:val="20"/>
        </w:rPr>
        <w:t>A data lake is a huge central store of raw data from across a company. A data mart is a smaller, focused slice of it built for one purpose.</w:t>
      </w:r>
    </w:p>
    <w:p>
      <w:pPr>
        <w:spacing w:after="160"/>
        <w:ind w:left="240"/>
      </w:pPr>
      <w:r>
        <w:rPr>
          <w:b/>
          <w:color w:val="595959"/>
          <w:sz w:val="19"/>
        </w:rPr>
        <w:t xml:space="preserve">Why it matters  </w:t>
      </w:r>
      <w:r>
        <w:rPr>
          <w:color w:val="202020"/>
          <w:sz w:val="20"/>
        </w:rPr>
        <w:t>BDH is the data mart that holds the Salesforce slice — the accounts, contacts, opportunities and cases you want Copilot to be able to search.</w:t>
      </w:r>
    </w:p>
    <w:p>
      <w:pPr>
        <w:spacing w:after="20"/>
        <w:keepNext/>
      </w:pPr>
      <w:r>
        <w:rPr>
          <w:b/>
          <w:color w:val="1F3864"/>
          <w:sz w:val="22"/>
        </w:rPr>
        <w:t>BDH</w:t>
      </w:r>
    </w:p>
    <w:p>
      <w:pPr>
        <w:spacing w:after="20"/>
        <w:ind w:left="240"/>
      </w:pPr>
      <w:r>
        <w:rPr>
          <w:b/>
          <w:color w:val="595959"/>
          <w:sz w:val="19"/>
        </w:rPr>
        <w:t xml:space="preserve">What it is  </w:t>
      </w:r>
      <w:r>
        <w:rPr>
          <w:color w:val="202020"/>
          <w:sz w:val="20"/>
        </w:rPr>
        <w:t>The bank's Hadoop data mart that mirrors Salesforce. Every night an automated job copies the Salesforce tables into BDH as files.</w:t>
      </w:r>
    </w:p>
    <w:p>
      <w:pPr>
        <w:spacing w:after="160"/>
        <w:ind w:left="240"/>
      </w:pPr>
      <w:r>
        <w:rPr>
          <w:b/>
          <w:color w:val="595959"/>
          <w:sz w:val="19"/>
        </w:rPr>
        <w:t xml:space="preserve">Why it matters  </w:t>
      </w:r>
      <w:r>
        <w:rPr>
          <w:color w:val="202020"/>
          <w:sz w:val="20"/>
        </w:rPr>
        <w:t>It is the source system for this connector. The connector reads BDH; it never touches live Salesforce.</w:t>
      </w:r>
    </w:p>
    <w:p>
      <w:pPr>
        <w:pStyle w:val="Heading2"/>
      </w:pPr>
      <w:r>
        <w:rPr>
          <w:color w:val="2E5496"/>
        </w:rPr>
        <w:t>2.2 Why not just read Salesforce directly?</w:t>
      </w:r>
    </w:p>
    <w:p>
      <w:pPr>
        <w:spacing w:after="120"/>
      </w:pPr>
      <w:r>
        <w:rPr>
          <w:color w:val="202020"/>
        </w:rPr>
        <w:t>Salesforce charges for programmatic access: its API capacity is metered and shared across every integration the bank runs. A full crawl of millions of records against that API is slow and expensive, and it competes with other systems for the same quota. BDH already holds the same records — mirrored nightly — and reading files out of Hadoop costs the bank effectively nothing in Salesforce quota. So the bank indexes the cheap copy.</w:t>
      </w:r>
    </w:p>
    <w:p>
      <w:pPr>
        <w:spacing w:after="120"/>
      </w:pPr>
      <w:r>
        <w:rPr>
          <w:color w:val="202020"/>
        </w:rPr>
        <w:t>There are two costs to that choice, and they are deliberate trade-offs you need to understand because they change what Copilot can and cannot do:</w:t>
      </w:r>
    </w:p>
    <w:p>
      <w:pPr>
        <w:pStyle w:val="ListBullet"/>
        <w:spacing w:after="40"/>
      </w:pPr>
      <w:r>
        <w:rPr>
          <w:b/>
          <w:color w:val="202020"/>
        </w:rPr>
        <w:t>Freshness.</w:t>
      </w:r>
      <w:r>
        <w:rPr>
          <w:color w:val="202020"/>
        </w:rPr>
        <w:t xml:space="preserve"> BDH is loaded once a night, so its data can be up to about 24 hours behind live Salesforce. Every indexed item is stamped with a "Data as of" date so a Copilot answer can show its age (see </w:t>
      </w:r>
      <w:r>
        <w:rPr>
          <w:b/>
          <w:color w:val="202020"/>
        </w:rPr>
        <w:t>Section 8</w:t>
      </w:r>
      <w:r>
        <w:rPr>
          <w:color w:val="202020"/>
        </w:rPr>
        <w:t>).</w:t>
      </w:r>
    </w:p>
    <w:p>
      <w:pPr>
        <w:pStyle w:val="ListBullet"/>
        <w:spacing w:after="40"/>
      </w:pPr>
      <w:r>
        <w:rPr>
          <w:b/>
          <w:color w:val="202020"/>
        </w:rPr>
        <w:t>Permissions (ACLs).</w:t>
      </w:r>
      <w:r>
        <w:rPr>
          <w:color w:val="202020"/>
        </w:rPr>
        <w:t xml:space="preserve"> BDH copies the Salesforce data but not the Salesforce sharing rules. This connector can only enforce a coarse owner / group / public permission model, not Salesforce's full role-hierarchy-and-sharing model (see </w:t>
      </w:r>
      <w:r>
        <w:rPr>
          <w:b/>
          <w:color w:val="202020"/>
        </w:rPr>
        <w:t>Section 5</w:t>
      </w:r>
      <w:r>
        <w:rPr>
          <w:color w:val="202020"/>
        </w:rPr>
        <w:t>).</w:t>
      </w:r>
    </w:p>
    <w:p>
      <w:pPr>
        <w:pStyle w:val="Heading2"/>
      </w:pPr>
      <w:r>
        <w:rPr>
          <w:color w:val="2E5496"/>
        </w:rPr>
        <w:t>2.3 Live Salesforce connector vs this connector</w:t>
      </w:r>
    </w:p>
    <w:p>
      <w:pPr>
        <w:spacing w:after="120"/>
      </w:pPr>
      <w:r>
        <w:rPr>
          <w:color w:val="202020"/>
        </w:rPr>
        <w:t xml:space="preserve">The bank may run a separate connector against live Salesforce. This one is its cheaper, slightly-behind sibling. They are swappable because they produce the same item identities — which is exactly why they must never share one connection (see the warning in </w:t>
      </w:r>
      <w:r>
        <w:rPr>
          <w:b/>
          <w:color w:val="202020"/>
        </w:rPr>
        <w:t>Section 5</w:t>
      </w:r>
      <w:r>
        <w:rPr>
          <w:color w:val="202020"/>
        </w:rPr>
        <w:t>).</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160"/>
        <w:gridCol w:w="3600"/>
        <w:gridCol w:w="3600"/>
      </w:tblGrid>
      <w:tr>
        <w:tc>
          <w:tcPr>
            <w:tcW w:type="dxa" w:w="2160"/>
            <w:shd w:val="clear" w:color="auto" w:fill="2E5496"/>
          </w:tcPr>
          <w:p>
            <w:r>
              <w:rPr>
                <w:b/>
                <w:color w:val="FFFFFF"/>
                <w:sz w:val="19"/>
              </w:rPr>
              <w:t>Aspect</w:t>
            </w:r>
          </w:p>
        </w:tc>
        <w:tc>
          <w:tcPr>
            <w:tcW w:type="dxa" w:w="3600"/>
            <w:shd w:val="clear" w:color="auto" w:fill="2E5496"/>
          </w:tcPr>
          <w:p>
            <w:r>
              <w:rPr>
                <w:b/>
                <w:color w:val="FFFFFF"/>
                <w:sz w:val="19"/>
              </w:rPr>
              <w:t>Live Salesforce connector</w:t>
            </w:r>
          </w:p>
        </w:tc>
        <w:tc>
          <w:tcPr>
            <w:tcW w:type="dxa" w:w="3600"/>
            <w:shd w:val="clear" w:color="auto" w:fill="2E5496"/>
          </w:tcPr>
          <w:p>
            <w:r>
              <w:rPr>
                <w:b/>
                <w:color w:val="FFFFFF"/>
                <w:sz w:val="19"/>
              </w:rPr>
              <w:t>Hadoop BDH connector (this one)</w:t>
            </w:r>
          </w:p>
        </w:tc>
      </w:tr>
      <w:tr>
        <w:tc>
          <w:tcPr>
            <w:tcW w:type="dxa" w:w="2160"/>
          </w:tcPr>
          <w:p>
            <w:r>
              <w:rPr>
                <w:color w:val="202020"/>
                <w:sz w:val="19"/>
              </w:rPr>
              <w:t>Source</w:t>
            </w:r>
          </w:p>
        </w:tc>
        <w:tc>
          <w:tcPr>
            <w:tcW w:type="dxa" w:w="3600"/>
          </w:tcPr>
          <w:p>
            <w:r>
              <w:rPr>
                <w:color w:val="202020"/>
                <w:sz w:val="19"/>
              </w:rPr>
              <w:t>The live Salesforce org, over its API</w:t>
            </w:r>
          </w:p>
        </w:tc>
        <w:tc>
          <w:tcPr>
            <w:tcW w:type="dxa" w:w="3600"/>
          </w:tcPr>
          <w:p>
            <w:r>
              <w:rPr>
                <w:color w:val="202020"/>
                <w:sz w:val="19"/>
              </w:rPr>
              <w:t>BDH files in Hadoop, over WebHDFS or a mounted path</w:t>
            </w:r>
          </w:p>
        </w:tc>
      </w:tr>
      <w:tr>
        <w:tc>
          <w:tcPr>
            <w:tcW w:type="dxa" w:w="2160"/>
            <w:shd w:val="clear" w:color="auto" w:fill="F7F9FC"/>
          </w:tcPr>
          <w:p>
            <w:r>
              <w:rPr>
                <w:color w:val="202020"/>
                <w:sz w:val="19"/>
              </w:rPr>
              <w:t>Source cost</w:t>
            </w:r>
          </w:p>
        </w:tc>
        <w:tc>
          <w:tcPr>
            <w:tcW w:type="dxa" w:w="3600"/>
            <w:shd w:val="clear" w:color="auto" w:fill="F7F9FC"/>
          </w:tcPr>
          <w:p>
            <w:r>
              <w:rPr>
                <w:color w:val="202020"/>
                <w:sz w:val="19"/>
              </w:rPr>
              <w:t>Salesforce API calls — metered and shared</w:t>
            </w:r>
          </w:p>
        </w:tc>
        <w:tc>
          <w:tcPr>
            <w:tcW w:type="dxa" w:w="3600"/>
            <w:shd w:val="clear" w:color="auto" w:fill="F7F9FC"/>
          </w:tcPr>
          <w:p>
            <w:r>
              <w:rPr>
                <w:color w:val="202020"/>
                <w:sz w:val="19"/>
              </w:rPr>
              <w:t>HDFS file reads — effectively free</w:t>
            </w:r>
          </w:p>
        </w:tc>
      </w:tr>
      <w:tr>
        <w:tc>
          <w:tcPr>
            <w:tcW w:type="dxa" w:w="2160"/>
          </w:tcPr>
          <w:p>
            <w:r>
              <w:rPr>
                <w:color w:val="202020"/>
                <w:sz w:val="19"/>
              </w:rPr>
              <w:t>Freshness</w:t>
            </w:r>
          </w:p>
        </w:tc>
        <w:tc>
          <w:tcPr>
            <w:tcW w:type="dxa" w:w="3600"/>
          </w:tcPr>
          <w:p>
            <w:r>
              <w:rPr>
                <w:color w:val="202020"/>
                <w:sz w:val="19"/>
              </w:rPr>
              <w:t>Near-live</w:t>
            </w:r>
          </w:p>
        </w:tc>
        <w:tc>
          <w:tcPr>
            <w:tcW w:type="dxa" w:w="3600"/>
          </w:tcPr>
          <w:p>
            <w:r>
              <w:rPr>
                <w:color w:val="202020"/>
                <w:sz w:val="19"/>
              </w:rPr>
              <w:t xml:space="preserve">Up to ~24 h behind (nightly load); each item carries a </w:t>
            </w:r>
            <w:r>
              <w:rPr>
                <w:rFonts w:ascii="Consolas" w:hAnsi="Consolas"/>
                <w:color w:val="202020"/>
                <w:sz w:val="19"/>
              </w:rPr>
              <w:t>DataAsOf</w:t>
            </w:r>
            <w:r>
              <w:rPr>
                <w:color w:val="202020"/>
                <w:sz w:val="19"/>
              </w:rPr>
              <w:t xml:space="preserve"> date</w:t>
            </w:r>
          </w:p>
        </w:tc>
      </w:tr>
      <w:tr>
        <w:tc>
          <w:tcPr>
            <w:tcW w:type="dxa" w:w="2160"/>
            <w:shd w:val="clear" w:color="auto" w:fill="F7F9FC"/>
          </w:tcPr>
          <w:p>
            <w:r>
              <w:rPr>
                <w:color w:val="202020"/>
                <w:sz w:val="19"/>
              </w:rPr>
              <w:t>Permissions</w:t>
            </w:r>
          </w:p>
        </w:tc>
        <w:tc>
          <w:tcPr>
            <w:tcW w:type="dxa" w:w="3600"/>
            <w:shd w:val="clear" w:color="auto" w:fill="F7F9FC"/>
          </w:tcPr>
          <w:p>
            <w:r>
              <w:rPr>
                <w:color w:val="202020"/>
                <w:sz w:val="19"/>
              </w:rPr>
              <w:t>Full Salesforce sharing model (roles, sharing rules, teams)</w:t>
            </w:r>
          </w:p>
        </w:tc>
        <w:tc>
          <w:tcPr>
            <w:tcW w:type="dxa" w:w="3600"/>
            <w:shd w:val="clear" w:color="auto" w:fill="F7F9FC"/>
          </w:tcPr>
          <w:p>
            <w:r>
              <w:rPr>
                <w:color w:val="202020"/>
                <w:sz w:val="19"/>
              </w:rPr>
              <w:t xml:space="preserve">Coarse by design: </w:t>
            </w:r>
            <w:r>
              <w:rPr>
                <w:rFonts w:ascii="Consolas" w:hAnsi="Consolas"/>
                <w:color w:val="202020"/>
                <w:sz w:val="19"/>
              </w:rPr>
              <w:t>ownerOnly</w:t>
            </w:r>
            <w:r>
              <w:rPr>
                <w:color w:val="202020"/>
                <w:sz w:val="19"/>
              </w:rPr>
              <w:t xml:space="preserve"> / </w:t>
            </w:r>
            <w:r>
              <w:rPr>
                <w:rFonts w:ascii="Consolas" w:hAnsi="Consolas"/>
                <w:color w:val="202020"/>
                <w:sz w:val="19"/>
              </w:rPr>
              <w:t>group</w:t>
            </w:r>
            <w:r>
              <w:rPr>
                <w:color w:val="202020"/>
                <w:sz w:val="19"/>
              </w:rPr>
              <w:t xml:space="preserve"> / </w:t>
            </w:r>
            <w:r>
              <w:rPr>
                <w:rFonts w:ascii="Consolas" w:hAnsi="Consolas"/>
                <w:color w:val="202020"/>
                <w:sz w:val="19"/>
              </w:rPr>
              <w:t>public</w:t>
            </w:r>
            <w:r>
              <w:rPr>
                <w:color w:val="202020"/>
                <w:sz w:val="19"/>
              </w:rPr>
              <w:t xml:space="preserve"> per object</w:t>
            </w:r>
          </w:p>
        </w:tc>
      </w:tr>
      <w:tr>
        <w:tc>
          <w:tcPr>
            <w:tcW w:type="dxa" w:w="2160"/>
          </w:tcPr>
          <w:p>
            <w:r>
              <w:rPr>
                <w:color w:val="202020"/>
                <w:sz w:val="19"/>
              </w:rPr>
              <w:t>Scale control</w:t>
            </w:r>
          </w:p>
        </w:tc>
        <w:tc>
          <w:tcPr>
            <w:tcW w:type="dxa" w:w="3600"/>
          </w:tcPr>
          <w:p>
            <w:r>
              <w:rPr>
                <w:color w:val="202020"/>
                <w:sz w:val="19"/>
              </w:rPr>
              <w:t>Delta cursors on the API</w:t>
            </w:r>
          </w:p>
        </w:tc>
        <w:tc>
          <w:tcPr>
            <w:tcW w:type="dxa" w:w="3600"/>
          </w:tcPr>
          <w:p>
            <w:r>
              <w:rPr>
                <w:color w:val="202020"/>
                <w:sz w:val="19"/>
              </w:rPr>
              <w:t>A filter layer over 150M+ rows (partition pruning + record filters + row cap)</w:t>
            </w:r>
          </w:p>
        </w:tc>
      </w:tr>
      <w:tr>
        <w:tc>
          <w:tcPr>
            <w:tcW w:type="dxa" w:w="2160"/>
            <w:shd w:val="clear" w:color="auto" w:fill="F7F9FC"/>
          </w:tcPr>
          <w:p>
            <w:r>
              <w:rPr>
                <w:color w:val="202020"/>
                <w:sz w:val="19"/>
              </w:rPr>
              <w:t>Item ids</w:t>
            </w:r>
          </w:p>
        </w:tc>
        <w:tc>
          <w:tcPr>
            <w:tcW w:type="dxa" w:w="3600"/>
            <w:shd w:val="clear" w:color="auto" w:fill="F7F9FC"/>
          </w:tcPr>
          <w:p>
            <w:r>
              <w:rPr>
                <w:color w:val="202020"/>
                <w:sz w:val="19"/>
              </w:rPr>
              <w:t>Salesforce record Id</w:t>
            </w:r>
          </w:p>
        </w:tc>
        <w:tc>
          <w:tcPr>
            <w:tcW w:type="dxa" w:w="3600"/>
            <w:shd w:val="clear" w:color="auto" w:fill="F7F9FC"/>
          </w:tcPr>
          <w:p>
            <w:r>
              <w:rPr>
                <w:color w:val="202020"/>
                <w:sz w:val="19"/>
              </w:rPr>
              <w:t>The same Salesforce record Id — so the two are interchangeable</w:t>
            </w:r>
          </w:p>
        </w:tc>
      </w:tr>
    </w:tbl>
    <w:p>
      <w:pPr>
        <w:spacing w:after="40"/>
      </w:pPr>
    </w:p>
    <w:p>
      <w:pPr>
        <w:pStyle w:val="Heading1"/>
      </w:pPr>
      <w:r>
        <w:rPr>
          <w:color w:val="1F3864"/>
        </w:rPr>
        <w:t>3. What this connector does</w:t>
      </w:r>
    </w:p>
    <w:p>
      <w:pPr>
        <w:spacing w:after="200"/>
      </w:pPr>
      <w:r>
        <w:rPr>
          <w:color w:val="595959"/>
          <w:sz w:val="23"/>
        </w:rPr>
        <w:t>The connector reads Salesforce-shaped records out of BDH, keeps only the ones worth indexing, works out who is allowed to see each one, and writes them into a Microsoft Graph connection that Copilot searches.</w:t>
      </w:r>
    </w:p>
    <w:p>
      <w:pPr>
        <w:pStyle w:val="Heading2"/>
      </w:pPr>
      <w:r>
        <w:rPr>
          <w:color w:val="2E5496"/>
        </w:rPr>
        <w:t>3.1 The flow, end to end</w:t>
      </w:r>
    </w:p>
    <w:p>
      <w:pPr>
        <w:spacing w:after="120"/>
      </w:pPr>
      <w:r>
        <w:rPr>
          <w:color w:val="202020"/>
        </w:rPr>
        <w:t>Each crawl cycle moves data left to right:</w:t>
      </w:r>
    </w:p>
    <w:p>
      <w:pPr>
        <w:spacing w:after="160"/>
      </w:pPr>
      <w:r>
        <w:rPr>
          <w:b/>
          <w:color w:val="202020"/>
        </w:rPr>
        <w:t>BDH / HDFS</w:t>
      </w:r>
      <w:r>
        <w:rPr>
          <w:color w:val="202020"/>
        </w:rPr>
        <w:t xml:space="preserve">  →  </w:t>
      </w:r>
      <w:r>
        <w:rPr>
          <w:b/>
          <w:color w:val="202020"/>
        </w:rPr>
        <w:t>connector</w:t>
      </w:r>
      <w:r>
        <w:rPr>
          <w:color w:val="202020"/>
        </w:rPr>
        <w:t xml:space="preserve">  →  </w:t>
      </w:r>
      <w:r>
        <w:rPr>
          <w:b/>
          <w:color w:val="202020"/>
        </w:rPr>
        <w:t>Microsoft Graph external connection</w:t>
      </w:r>
      <w:r>
        <w:rPr>
          <w:color w:val="202020"/>
        </w:rPr>
        <w:t xml:space="preserve">  →  </w:t>
      </w:r>
      <w:r>
        <w:rPr>
          <w:b/>
          <w:color w:val="202020"/>
        </w:rPr>
        <w:t>Copilot search index</w:t>
      </w:r>
    </w:p>
    <w:p>
      <w:pPr>
        <w:spacing w:after="120"/>
      </w:pPr>
      <w:r>
        <w:rPr>
          <w:color w:val="202020"/>
        </w:rPr>
        <w:t>Inside the connector, every record goes through these stages, in order — each one cheaper than the stage it protects:</w:t>
      </w:r>
    </w:p>
    <w:p>
      <w:pPr>
        <w:pStyle w:val="ListBullet"/>
        <w:spacing w:after="40"/>
      </w:pPr>
      <w:r>
        <w:rPr>
          <w:b/>
          <w:color w:val="202020"/>
        </w:rPr>
        <w:t>Find the data.</w:t>
      </w:r>
      <w:r>
        <w:rPr>
          <w:color w:val="202020"/>
        </w:rPr>
        <w:t xml:space="preserve"> Walk the object's directories in BDH and decide which ones are even worth opening (partition pruning — </w:t>
      </w:r>
      <w:r>
        <w:rPr>
          <w:b/>
          <w:color w:val="202020"/>
        </w:rPr>
        <w:t>Section 6</w:t>
      </w:r>
      <w:r>
        <w:rPr>
          <w:color w:val="202020"/>
        </w:rPr>
        <w:t>).</w:t>
      </w:r>
    </w:p>
    <w:p>
      <w:pPr>
        <w:pStyle w:val="ListBullet"/>
        <w:spacing w:after="40"/>
      </w:pPr>
      <w:r>
        <w:rPr>
          <w:b/>
          <w:color w:val="202020"/>
        </w:rPr>
        <w:t>Filter the rows.</w:t>
      </w:r>
      <w:r>
        <w:rPr>
          <w:color w:val="202020"/>
        </w:rPr>
        <w:t xml:space="preserve"> Read the surviving files as a stream and keep only rows that match the filter for that object type; a per-object row cap is the final safety valve.</w:t>
      </w:r>
    </w:p>
    <w:p>
      <w:pPr>
        <w:pStyle w:val="ListBullet"/>
        <w:spacing w:after="40"/>
      </w:pPr>
      <w:r>
        <w:rPr>
          <w:b/>
          <w:color w:val="202020"/>
        </w:rPr>
        <w:t>Resolve permissions.</w:t>
      </w:r>
      <w:r>
        <w:rPr>
          <w:color w:val="202020"/>
        </w:rPr>
        <w:t xml:space="preserve"> Work out the Entra ID identities allowed to see each kept record (the ACL — </w:t>
      </w:r>
      <w:r>
        <w:rPr>
          <w:b/>
          <w:color w:val="202020"/>
        </w:rPr>
        <w:t>Section 5</w:t>
      </w:r>
      <w:r>
        <w:rPr>
          <w:color w:val="202020"/>
        </w:rPr>
        <w:t>).</w:t>
      </w:r>
    </w:p>
    <w:p>
      <w:pPr>
        <w:pStyle w:val="ListBullet"/>
        <w:spacing w:after="40"/>
      </w:pPr>
      <w:r>
        <w:rPr>
          <w:b/>
          <w:color w:val="202020"/>
        </w:rPr>
        <w:t>Convert.</w:t>
      </w:r>
      <w:r>
        <w:rPr>
          <w:color w:val="202020"/>
        </w:rPr>
        <w:t xml:space="preserve"> Turn each record into a Graph external item: a set of properties plus a searchable text body, stamped with </w:t>
      </w:r>
      <w:r>
        <w:rPr>
          <w:rFonts w:ascii="Consolas" w:hAnsi="Consolas"/>
          <w:color w:val="202020"/>
          <w:sz w:val="19"/>
        </w:rPr>
        <w:t>SourceSystem</w:t>
      </w:r>
      <w:r>
        <w:rPr>
          <w:color w:val="202020"/>
        </w:rPr>
        <w:t xml:space="preserve"> and </w:t>
      </w:r>
      <w:r>
        <w:rPr>
          <w:rFonts w:ascii="Consolas" w:hAnsi="Consolas"/>
          <w:color w:val="202020"/>
          <w:sz w:val="19"/>
        </w:rPr>
        <w:t>DataAsOf</w:t>
      </w:r>
      <w:r>
        <w:rPr>
          <w:color w:val="202020"/>
        </w:rPr>
        <w:t>.</w:t>
      </w:r>
    </w:p>
    <w:p>
      <w:pPr>
        <w:pStyle w:val="ListBullet"/>
        <w:spacing w:after="40"/>
      </w:pPr>
      <w:r>
        <w:rPr>
          <w:b/>
          <w:color w:val="202020"/>
        </w:rPr>
        <w:t>Ingest.</w:t>
      </w:r>
      <w:r>
        <w:rPr>
          <w:color w:val="202020"/>
        </w:rPr>
        <w:t xml:space="preserve"> Write the items to the Graph connection in batches, remembering exactly where it got to so it can resume after a stop or crash.</w:t>
      </w:r>
    </w:p>
    <w:p>
      <w:pPr>
        <w:pStyle w:val="ListBullet"/>
        <w:spacing w:after="40"/>
      </w:pPr>
      <w:r>
        <w:rPr>
          <w:b/>
          <w:color w:val="202020"/>
        </w:rPr>
        <w:t>Sweep (full crawls only).</w:t>
      </w:r>
      <w:r>
        <w:rPr>
          <w:color w:val="202020"/>
        </w:rPr>
        <w:t xml:space="preserve"> Remove from the index anything that has disappeared from BDH (deletion sync — </w:t>
      </w:r>
      <w:r>
        <w:rPr>
          <w:b/>
          <w:color w:val="202020"/>
        </w:rPr>
        <w:t>Section 11</w:t>
      </w:r>
      <w:r>
        <w:rPr>
          <w:color w:val="202020"/>
        </w:rPr>
        <w:t>).</w:t>
      </w:r>
    </w:p>
    <w:p>
      <w:pPr>
        <w:spacing w:after="120"/>
      </w:pPr>
      <w:r>
        <w:rPr>
          <w:color w:val="202020"/>
        </w:rPr>
        <w:t xml:space="preserve">An </w:t>
      </w:r>
      <w:r>
        <w:rPr>
          <w:b/>
          <w:color w:val="202020"/>
        </w:rPr>
        <w:t>external item</w:t>
      </w:r>
      <w:r>
        <w:rPr>
          <w:color w:val="202020"/>
        </w:rPr>
        <w:t xml:space="preserve"> is simply one record as it lives in the Copilot index: an id, some searchable properties, a text body, and an access list. The external item concept, Microsoft Graph and Entra ID are covered in </w:t>
      </w:r>
      <w:r>
        <w:rPr>
          <w:b/>
          <w:color w:val="202020"/>
        </w:rPr>
        <w:t>Common Guide §5</w:t>
      </w:r>
      <w:r>
        <w:rPr>
          <w:color w:val="202020"/>
        </w:rPr>
        <w:t>.</w:t>
      </w:r>
    </w:p>
    <w:p>
      <w:pPr>
        <w:pStyle w:val="Heading2"/>
      </w:pPr>
      <w:r>
        <w:rPr>
          <w:color w:val="2E5496"/>
        </w:rPr>
        <w:t>3.2 Key facts to keep in mind</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900"/>
        <w:gridCol w:w="6460"/>
      </w:tblGrid>
      <w:tr>
        <w:tc>
          <w:tcPr>
            <w:tcW w:type="dxa" w:w="2900"/>
            <w:shd w:val="clear" w:color="auto" w:fill="2E5496"/>
          </w:tcPr>
          <w:p>
            <w:r>
              <w:rPr>
                <w:b/>
                <w:color w:val="FFFFFF"/>
                <w:sz w:val="19"/>
              </w:rPr>
              <w:t>Fact</w:t>
            </w:r>
          </w:p>
        </w:tc>
        <w:tc>
          <w:tcPr>
            <w:tcW w:type="dxa" w:w="6460"/>
            <w:shd w:val="clear" w:color="auto" w:fill="2E5496"/>
          </w:tcPr>
          <w:p>
            <w:r>
              <w:rPr>
                <w:b/>
                <w:color w:val="FFFFFF"/>
                <w:sz w:val="19"/>
              </w:rPr>
              <w:t>Why it matters to you</w:t>
            </w:r>
          </w:p>
        </w:tc>
      </w:tr>
      <w:tr>
        <w:tc>
          <w:tcPr>
            <w:tcW w:type="dxa" w:w="2900"/>
          </w:tcPr>
          <w:p>
            <w:r>
              <w:rPr>
                <w:color w:val="202020"/>
                <w:sz w:val="19"/>
              </w:rPr>
              <w:t>The source is BDH, not Salesforce</w:t>
            </w:r>
          </w:p>
        </w:tc>
        <w:tc>
          <w:tcPr>
            <w:tcW w:type="dxa" w:w="6460"/>
          </w:tcPr>
          <w:p>
            <w:r>
              <w:rPr>
                <w:color w:val="202020"/>
                <w:sz w:val="19"/>
              </w:rPr>
              <w:t>You are reading a big data lake of files, not calling a CRM. Source problems are Hadoop problems (see the BDH/Hadoop platform team), not Salesforce ones.</w:t>
            </w:r>
          </w:p>
        </w:tc>
      </w:tr>
      <w:tr>
        <w:tc>
          <w:tcPr>
            <w:tcW w:type="dxa" w:w="2900"/>
            <w:shd w:val="clear" w:color="auto" w:fill="F7F9FC"/>
          </w:tcPr>
          <w:p>
            <w:r>
              <w:rPr>
                <w:color w:val="202020"/>
                <w:sz w:val="19"/>
              </w:rPr>
              <w:t>150M+ rows live in BDH</w:t>
            </w:r>
          </w:p>
        </w:tc>
        <w:tc>
          <w:tcPr>
            <w:tcW w:type="dxa" w:w="6460"/>
            <w:shd w:val="clear" w:color="auto" w:fill="F7F9FC"/>
          </w:tcPr>
          <w:p>
            <w:r>
              <w:rPr>
                <w:color w:val="202020"/>
                <w:sz w:val="19"/>
              </w:rPr>
              <w:t xml:space="preserve">You must never crawl an object without a filter. The connector refuses to (see </w:t>
            </w:r>
            <w:r>
              <w:rPr>
                <w:b/>
                <w:color w:val="202020"/>
                <w:sz w:val="19"/>
              </w:rPr>
              <w:t>Section 7</w:t>
            </w:r>
            <w:r>
              <w:rPr>
                <w:color w:val="202020"/>
                <w:sz w:val="19"/>
              </w:rPr>
              <w:t>).</w:t>
            </w:r>
          </w:p>
        </w:tc>
      </w:tr>
      <w:tr>
        <w:tc>
          <w:tcPr>
            <w:tcW w:type="dxa" w:w="2900"/>
          </w:tcPr>
          <w:p>
            <w:r>
              <w:rPr>
                <w:color w:val="202020"/>
                <w:sz w:val="19"/>
              </w:rPr>
              <w:t>Data is up to ~24 h old</w:t>
            </w:r>
          </w:p>
        </w:tc>
        <w:tc>
          <w:tcPr>
            <w:tcW w:type="dxa" w:w="6460"/>
          </w:tcPr>
          <w:p>
            <w:r>
              <w:rPr>
                <w:color w:val="202020"/>
                <w:sz w:val="19"/>
              </w:rPr>
              <w:t xml:space="preserve">Copilot answers from this connector can lag the live org by a day. This is expected, not a fault (see </w:t>
            </w:r>
            <w:r>
              <w:rPr>
                <w:b/>
                <w:color w:val="202020"/>
                <w:sz w:val="19"/>
              </w:rPr>
              <w:t>Section 8</w:t>
            </w:r>
            <w:r>
              <w:rPr>
                <w:color w:val="202020"/>
                <w:sz w:val="19"/>
              </w:rPr>
              <w:t>).</w:t>
            </w:r>
          </w:p>
        </w:tc>
      </w:tr>
      <w:tr>
        <w:tc>
          <w:tcPr>
            <w:tcW w:type="dxa" w:w="2900"/>
            <w:shd w:val="clear" w:color="auto" w:fill="F7F9FC"/>
          </w:tcPr>
          <w:p>
            <w:r>
              <w:rPr>
                <w:color w:val="202020"/>
                <w:sz w:val="19"/>
              </w:rPr>
              <w:t>Item ids are Salesforce record Ids</w:t>
            </w:r>
          </w:p>
        </w:tc>
        <w:tc>
          <w:tcPr>
            <w:tcW w:type="dxa" w:w="6460"/>
            <w:shd w:val="clear" w:color="auto" w:fill="F7F9FC"/>
          </w:tcPr>
          <w:p>
            <w:r>
              <w:rPr>
                <w:color w:val="202020"/>
                <w:sz w:val="19"/>
              </w:rPr>
              <w:t xml:space="preserve">This connector MUST use its own, separate Graph connection so it does not collide with the live Salesforce connector (see </w:t>
            </w:r>
            <w:r>
              <w:rPr>
                <w:b/>
                <w:color w:val="202020"/>
                <w:sz w:val="19"/>
              </w:rPr>
              <w:t>Section 5</w:t>
            </w:r>
            <w:r>
              <w:rPr>
                <w:color w:val="202020"/>
                <w:sz w:val="19"/>
              </w:rPr>
              <w:t>).</w:t>
            </w:r>
          </w:p>
        </w:tc>
      </w:tr>
      <w:tr>
        <w:tc>
          <w:tcPr>
            <w:tcW w:type="dxa" w:w="2900"/>
          </w:tcPr>
          <w:p>
            <w:r>
              <w:rPr>
                <w:color w:val="202020"/>
                <w:sz w:val="19"/>
              </w:rPr>
              <w:t>Built on .NET 10; 981 automated tests</w:t>
            </w:r>
          </w:p>
        </w:tc>
        <w:tc>
          <w:tcPr>
            <w:tcW w:type="dxa" w:w="6460"/>
          </w:tcPr>
          <w:p>
            <w:r>
              <w:rPr>
                <w:color w:val="202020"/>
                <w:sz w:val="19"/>
              </w:rPr>
              <w:t>It runs as a Windows service on Windows Server; the shared chassis is the same as the other connectors (</w:t>
            </w:r>
            <w:r>
              <w:rPr>
                <w:b/>
                <w:color w:val="202020"/>
                <w:sz w:val="19"/>
              </w:rPr>
              <w:t>Common Guide §6</w:t>
            </w:r>
            <w:r>
              <w:rPr>
                <w:color w:val="202020"/>
                <w:sz w:val="19"/>
              </w:rPr>
              <w:t>).</w:t>
            </w:r>
          </w:p>
        </w:tc>
      </w:tr>
    </w:tbl>
    <w:p>
      <w:pPr>
        <w:spacing w:after="40"/>
      </w:pPr>
    </w:p>
    <w:p>
      <w:pPr>
        <w:pStyle w:val="Heading1"/>
      </w:pPr>
      <w:r>
        <w:rPr>
          <w:color w:val="1F3864"/>
        </w:rPr>
        <w:t>4. How the connector connects to BDH (the target system)</w:t>
      </w:r>
    </w:p>
    <w:p>
      <w:pPr>
        <w:spacing w:after="200"/>
      </w:pPr>
      <w:r>
        <w:rPr>
          <w:color w:val="595959"/>
          <w:sz w:val="23"/>
        </w:rPr>
        <w:t xml:space="preserve">BDH is the target system this connector reads from. It reaches BDH in one of two ways, set by the </w:t>
      </w:r>
      <w:r>
        <w:rPr>
          <w:rFonts w:ascii="Consolas" w:hAnsi="Consolas"/>
          <w:color w:val="595959"/>
          <w:sz w:val="19"/>
        </w:rPr>
        <w:t>HDFS_MODE</w:t>
      </w:r>
      <w:r>
        <w:rPr>
          <w:color w:val="595959"/>
          <w:sz w:val="23"/>
        </w:rPr>
        <w:t xml:space="preserve"> setting: over the network via WebHDFS, or by reading a directory that is already mounted on the crawl host.</w:t>
      </w:r>
    </w:p>
    <w:p>
      <w:pPr>
        <w:pStyle w:val="Heading2"/>
      </w:pPr>
      <w:r>
        <w:rPr>
          <w:color w:val="2E5496"/>
        </w:rPr>
        <w:t>4.1 The two access modes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900"/>
        <w:gridCol w:w="4060"/>
        <w:gridCol w:w="3400"/>
      </w:tblGrid>
      <w:tr>
        <w:tc>
          <w:tcPr>
            <w:tcW w:type="dxa" w:w="1900"/>
            <w:shd w:val="clear" w:color="auto" w:fill="2E5496"/>
          </w:tcPr>
          <w:p>
            <w:r>
              <w:rPr>
                <w:b/>
                <w:color w:val="FFFFFF"/>
                <w:sz w:val="19"/>
              </w:rPr>
              <w:t>Mode (</w:t>
            </w:r>
            <w:r>
              <w:rPr>
                <w:rFonts w:ascii="Consolas" w:hAnsi="Consolas"/>
                <w:b/>
                <w:color w:val="FFFFFF"/>
                <w:sz w:val="19"/>
              </w:rPr>
              <w:t>HDFS_MODE</w:t>
            </w:r>
            <w:r>
              <w:rPr>
                <w:b/>
                <w:color w:val="FFFFFF"/>
                <w:sz w:val="19"/>
              </w:rPr>
              <w:t>)</w:t>
            </w:r>
          </w:p>
        </w:tc>
        <w:tc>
          <w:tcPr>
            <w:tcW w:type="dxa" w:w="4060"/>
            <w:shd w:val="clear" w:color="auto" w:fill="2E5496"/>
          </w:tcPr>
          <w:p>
            <w:r>
              <w:rPr>
                <w:b/>
                <w:color w:val="FFFFFF"/>
                <w:sz w:val="19"/>
              </w:rPr>
              <w:t>What it is</w:t>
            </w:r>
          </w:p>
        </w:tc>
        <w:tc>
          <w:tcPr>
            <w:tcW w:type="dxa" w:w="3400"/>
            <w:shd w:val="clear" w:color="auto" w:fill="2E5496"/>
          </w:tcPr>
          <w:p>
            <w:r>
              <w:rPr>
                <w:b/>
                <w:color w:val="FFFFFF"/>
                <w:sz w:val="19"/>
              </w:rPr>
              <w:t>When it is used</w:t>
            </w:r>
          </w:p>
        </w:tc>
      </w:tr>
      <w:tr>
        <w:tc>
          <w:tcPr>
            <w:tcW w:type="dxa" w:w="1900"/>
          </w:tcPr>
          <w:p>
            <w:r>
              <w:rPr>
                <w:rFonts w:ascii="Consolas" w:hAnsi="Consolas"/>
                <w:color w:val="202020"/>
                <w:sz w:val="19"/>
              </w:rPr>
              <w:t>webhdfs</w:t>
            </w:r>
            <w:r>
              <w:rPr>
                <w:color w:val="202020"/>
                <w:sz w:val="19"/>
              </w:rPr>
              <w:t xml:space="preserve"> (default)</w:t>
            </w:r>
          </w:p>
        </w:tc>
        <w:tc>
          <w:tcPr>
            <w:tcW w:type="dxa" w:w="4060"/>
          </w:tcPr>
          <w:p>
            <w:r>
              <w:rPr>
                <w:color w:val="202020"/>
                <w:sz w:val="19"/>
              </w:rPr>
              <w:t>The connector calls WebHDFS — the HTTP/REST front door to Hadoop's file system — on the namenode (or a Knox gateway). It lists directories (</w:t>
            </w:r>
            <w:r>
              <w:rPr>
                <w:rFonts w:ascii="Consolas" w:hAnsi="Consolas"/>
                <w:color w:val="202020"/>
                <w:sz w:val="19"/>
              </w:rPr>
              <w:t>LISTSTATUS</w:t>
            </w:r>
            <w:r>
              <w:rPr>
                <w:color w:val="202020"/>
                <w:sz w:val="19"/>
              </w:rPr>
              <w:t>) and streams files (</w:t>
            </w:r>
            <w:r>
              <w:rPr>
                <w:rFonts w:ascii="Consolas" w:hAnsi="Consolas"/>
                <w:color w:val="202020"/>
                <w:sz w:val="19"/>
              </w:rPr>
              <w:t>OPEN</w:t>
            </w:r>
            <w:r>
              <w:rPr>
                <w:color w:val="202020"/>
                <w:sz w:val="19"/>
              </w:rPr>
              <w:t>).</w:t>
            </w:r>
          </w:p>
        </w:tc>
        <w:tc>
          <w:tcPr>
            <w:tcW w:type="dxa" w:w="3400"/>
          </w:tcPr>
          <w:p>
            <w:r>
              <w:rPr>
                <w:color w:val="202020"/>
                <w:sz w:val="19"/>
              </w:rPr>
              <w:t>The normal production choice: the crawl host talks to the BDH cluster over the network.</w:t>
            </w:r>
          </w:p>
        </w:tc>
      </w:tr>
      <w:tr>
        <w:tc>
          <w:tcPr>
            <w:tcW w:type="dxa" w:w="1900"/>
            <w:shd w:val="clear" w:color="auto" w:fill="F7F9FC"/>
          </w:tcPr>
          <w:p>
            <w:r>
              <w:rPr>
                <w:rFonts w:ascii="Consolas" w:hAnsi="Consolas"/>
                <w:color w:val="202020"/>
                <w:sz w:val="19"/>
              </w:rPr>
              <w:t>localpath</w:t>
            </w:r>
          </w:p>
        </w:tc>
        <w:tc>
          <w:tcPr>
            <w:tcW w:type="dxa" w:w="4060"/>
            <w:shd w:val="clear" w:color="auto" w:fill="F7F9FC"/>
          </w:tcPr>
          <w:p>
            <w:r>
              <w:rPr>
                <w:color w:val="202020"/>
                <w:sz w:val="19"/>
              </w:rPr>
              <w:t>The connector reads the same folder layout from a local or SMB-mounted directory (</w:t>
            </w:r>
            <w:r>
              <w:rPr>
                <w:rFonts w:ascii="Consolas" w:hAnsi="Consolas"/>
                <w:color w:val="202020"/>
                <w:sz w:val="19"/>
              </w:rPr>
              <w:t>BDH_EXPORT_PATH</w:t>
            </w:r>
            <w:r>
              <w:rPr>
                <w:color w:val="202020"/>
                <w:sz w:val="19"/>
              </w:rPr>
              <w:t>) instead of the network.</w:t>
            </w:r>
          </w:p>
        </w:tc>
        <w:tc>
          <w:tcPr>
            <w:tcW w:type="dxa" w:w="3400"/>
            <w:shd w:val="clear" w:color="auto" w:fill="F7F9FC"/>
          </w:tcPr>
          <w:p>
            <w:r>
              <w:rPr>
                <w:color w:val="202020"/>
                <w:sz w:val="19"/>
              </w:rPr>
              <w:t>Development, disaster-recovery replicas, or air-gapped copies where the export is already on disk.</w:t>
            </w:r>
          </w:p>
        </w:tc>
      </w:tr>
    </w:tbl>
    <w:p>
      <w:pPr>
        <w:spacing w:after="40"/>
      </w:pPr>
    </w:p>
    <w:p>
      <w:pPr>
        <w:spacing w:after="120"/>
      </w:pPr>
      <w:r>
        <w:rPr>
          <w:color w:val="202020"/>
        </w:rPr>
        <w:t xml:space="preserve">The </w:t>
      </w:r>
      <w:r>
        <w:rPr>
          <w:b/>
          <w:color w:val="202020"/>
        </w:rPr>
        <w:t>namenode</w:t>
      </w:r>
      <w:r>
        <w:rPr>
          <w:color w:val="202020"/>
        </w:rPr>
        <w:t xml:space="preserve"> is the Hadoop server that knows where every file lives; WebHDFS is its REST interface. When you </w:t>
      </w:r>
      <w:r>
        <w:rPr>
          <w:rFonts w:ascii="Consolas" w:hAnsi="Consolas"/>
          <w:color w:val="202020"/>
          <w:sz w:val="19"/>
        </w:rPr>
        <w:t>OPEN</w:t>
      </w:r>
      <w:r>
        <w:rPr>
          <w:color w:val="202020"/>
        </w:rPr>
        <w:t xml:space="preserve"> a file the namenode sends a redirect to the actual data server (datanode) holding the bytes; the connector follows that redirect for you.</w:t>
      </w:r>
    </w:p>
    <w:p>
      <w:pPr>
        <w:pStyle w:val="Heading2"/>
      </w:pPr>
      <w:r>
        <w:rPr>
          <w:color w:val="2E5496"/>
        </w:rPr>
        <w:t>4.2 How it authenticates to BDH</w:t>
      </w:r>
    </w:p>
    <w:p>
      <w:pPr>
        <w:spacing w:after="120"/>
      </w:pPr>
      <w:r>
        <w:rPr>
          <w:color w:val="202020"/>
        </w:rPr>
        <w:t xml:space="preserve">The WebHDFS client speaks </w:t>
      </w:r>
      <w:r>
        <w:rPr>
          <w:b/>
          <w:color w:val="202020"/>
        </w:rPr>
        <w:t>simple auth</w:t>
      </w:r>
      <w:r>
        <w:rPr>
          <w:color w:val="202020"/>
        </w:rPr>
        <w:t xml:space="preserve"> and, optionally, a </w:t>
      </w:r>
      <w:r>
        <w:rPr>
          <w:b/>
          <w:color w:val="202020"/>
        </w:rPr>
        <w:t>delegation token</w:t>
      </w:r>
      <w:r>
        <w:rPr>
          <w:color w:val="202020"/>
        </w:rPr>
        <w:t>:</w:t>
      </w:r>
    </w:p>
    <w:p>
      <w:pPr>
        <w:pStyle w:val="ListBullet"/>
        <w:spacing w:after="40"/>
      </w:pPr>
      <w:r>
        <w:rPr>
          <w:b/>
          <w:color w:val="202020"/>
        </w:rPr>
        <w:t>Simple auth</w:t>
      </w:r>
      <w:r>
        <w:rPr>
          <w:color w:val="202020"/>
        </w:rPr>
        <w:t xml:space="preserve"> — the connector sends a username (</w:t>
      </w:r>
      <w:r>
        <w:rPr>
          <w:rFonts w:ascii="Consolas" w:hAnsi="Consolas"/>
          <w:color w:val="202020"/>
          <w:sz w:val="19"/>
        </w:rPr>
        <w:t>HDFS_USER</w:t>
      </w:r>
      <w:r>
        <w:rPr>
          <w:color w:val="202020"/>
        </w:rPr>
        <w:t xml:space="preserve">) as </w:t>
      </w:r>
      <w:r>
        <w:rPr>
          <w:rFonts w:ascii="Consolas" w:hAnsi="Consolas"/>
          <w:color w:val="202020"/>
          <w:sz w:val="19"/>
        </w:rPr>
        <w:t>?user.name=</w:t>
      </w:r>
      <w:r>
        <w:rPr>
          <w:color w:val="202020"/>
        </w:rPr>
        <w:t xml:space="preserve"> on each call. This is an identity assertion, not a password; the cluster's own authorization decides what that user may read.</w:t>
      </w:r>
    </w:p>
    <w:p>
      <w:pPr>
        <w:pStyle w:val="ListBullet"/>
        <w:spacing w:after="40"/>
      </w:pPr>
      <w:r>
        <w:rPr>
          <w:b/>
          <w:color w:val="202020"/>
        </w:rPr>
        <w:t>Delegation token</w:t>
      </w:r>
      <w:r>
        <w:rPr>
          <w:color w:val="202020"/>
        </w:rPr>
        <w:t xml:space="preserve"> — a time-limited access token (</w:t>
      </w:r>
      <w:r>
        <w:rPr>
          <w:rFonts w:ascii="Consolas" w:hAnsi="Consolas"/>
          <w:color w:val="202020"/>
          <w:sz w:val="19"/>
        </w:rPr>
        <w:t>SECRET_HDFS_DELEGATION_TOKEN</w:t>
      </w:r>
      <w:r>
        <w:rPr>
          <w:color w:val="202020"/>
        </w:rPr>
        <w:t xml:space="preserve">) obtained out-of-band (for example with </w:t>
      </w:r>
      <w:r>
        <w:rPr>
          <w:rFonts w:ascii="Consolas" w:hAnsi="Consolas"/>
          <w:color w:val="202020"/>
          <w:sz w:val="19"/>
        </w:rPr>
        <w:t>hdfs fetchdt</w:t>
      </w:r>
      <w:r>
        <w:rPr>
          <w:color w:val="202020"/>
        </w:rPr>
        <w:t xml:space="preserve">) and sent as </w:t>
      </w:r>
      <w:r>
        <w:rPr>
          <w:rFonts w:ascii="Consolas" w:hAnsi="Consolas"/>
          <w:color w:val="202020"/>
          <w:sz w:val="19"/>
        </w:rPr>
        <w:t>?delegation=</w:t>
      </w:r>
      <w:r>
        <w:rPr>
          <w:color w:val="202020"/>
        </w:rPr>
        <w:t xml:space="preserve"> on each call. Its renewal is handled outside the connector.</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The delegation token is a live credential. The connector is built so it </w:t>
            </w:r>
            <w:r>
              <w:rPr>
                <w:b/>
                <w:color w:val="202020"/>
                <w:sz w:val="20"/>
              </w:rPr>
              <w:t>never reaches a log line</w:t>
            </w:r>
            <w:r>
              <w:rPr>
                <w:color w:val="202020"/>
                <w:sz w:val="20"/>
              </w:rPr>
              <w:t xml:space="preserve"> — WebHDFS log entries print the path only, never the query string that carries the token. Do not defeat this: if you run a proxy in front of WebHDFS, make sure it does not log full URLs, and never paste a URL containing </w:t>
            </w:r>
            <w:r>
              <w:rPr>
                <w:rFonts w:ascii="Consolas" w:hAnsi="Consolas"/>
                <w:color w:val="202020"/>
                <w:sz w:val="19"/>
              </w:rPr>
              <w:t>delegation=</w:t>
            </w:r>
            <w:r>
              <w:rPr>
                <w:color w:val="202020"/>
                <w:sz w:val="20"/>
              </w:rPr>
              <w:t xml:space="preserve"> into a ticket or chat. A scheduled SIEM "canary" search exists specifically to prove these logs stay clean (see </w:t>
            </w:r>
            <w:r>
              <w:rPr>
                <w:b/>
                <w:color w:val="202020"/>
                <w:sz w:val="20"/>
              </w:rPr>
              <w:t>Section 12</w:t>
            </w:r>
            <w:r>
              <w:rPr>
                <w:color w:val="202020"/>
                <w:sz w:val="20"/>
              </w:rPr>
              <w:t>); a single hit is a security incident.</w:t>
            </w:r>
          </w:p>
        </w:tc>
      </w:tr>
    </w:tbl>
    <w:p>
      <w:pPr>
        <w:spacing w:after="40"/>
      </w:pPr>
    </w:p>
    <w:p>
      <w:pPr>
        <w:spacing w:after="120"/>
      </w:pPr>
      <w:r>
        <w:rPr>
          <w:b/>
          <w:color w:val="202020"/>
        </w:rPr>
        <w:t>Kerberos / SPNEGO is out of scope for the connector itself.</w:t>
      </w:r>
      <w:r>
        <w:rPr>
          <w:color w:val="202020"/>
        </w:rPr>
        <w:t xml:space="preserve"> SPNEGO is the Kerberos-over-HTTP scheme that many hardened clusters require. If BDH is kerberized, do not try to make the connector speak Kerberos — instead put an </w:t>
      </w:r>
      <w:r>
        <w:rPr>
          <w:b/>
          <w:color w:val="202020"/>
        </w:rPr>
        <w:t>Apache Knox</w:t>
      </w:r>
      <w:r>
        <w:rPr>
          <w:color w:val="202020"/>
        </w:rPr>
        <w:t xml:space="preserve"> gateway in front of the cluster (Knox terminates the Kerberos handshake) and point </w:t>
      </w:r>
      <w:r>
        <w:rPr>
          <w:rFonts w:ascii="Consolas" w:hAnsi="Consolas"/>
          <w:color w:val="202020"/>
          <w:sz w:val="19"/>
        </w:rPr>
        <w:t>HDFS_NAMENODE_URL</w:t>
      </w:r>
      <w:r>
        <w:rPr>
          <w:color w:val="202020"/>
        </w:rPr>
        <w:t xml:space="preserve"> at the Knox URL. To the connector, Knox looks like an ordinary WebHDFS endpoint over TLS.</w:t>
      </w:r>
    </w:p>
    <w:p>
      <w:pPr>
        <w:pStyle w:val="Heading2"/>
      </w:pPr>
      <w:r>
        <w:rPr>
          <w:color w:val="2E5496"/>
        </w:rPr>
        <w:t>4.3 TLS and the private CA</w:t>
      </w:r>
    </w:p>
    <w:p>
      <w:pPr>
        <w:spacing w:after="120"/>
      </w:pPr>
      <w:r>
        <w:rPr>
          <w:color w:val="202020"/>
        </w:rPr>
        <w:t xml:space="preserve">Internal WebHDFS endpoints (namenodes, datanodes, or Knox) almost always present TLS certificates issued by a </w:t>
      </w:r>
      <w:r>
        <w:rPr>
          <w:b/>
          <w:color w:val="202020"/>
        </w:rPr>
        <w:t>private enterprise certificate authority (CA)</w:t>
      </w:r>
      <w:r>
        <w:rPr>
          <w:color w:val="202020"/>
        </w:rPr>
        <w:t xml:space="preserve"> rather than a public one. The connector will not trust those by default. Put the private CA chain (and any intermediates) into a PEM file and point </w:t>
      </w:r>
      <w:r>
        <w:rPr>
          <w:rFonts w:ascii="Consolas" w:hAnsi="Consolas"/>
          <w:color w:val="202020"/>
          <w:sz w:val="19"/>
        </w:rPr>
        <w:t>CA_BUNDLE_PATH</w:t>
      </w:r>
      <w:r>
        <w:rPr>
          <w:color w:val="202020"/>
        </w:rPr>
        <w:t xml:space="preserve"> at it. This trust is </w:t>
      </w:r>
      <w:r>
        <w:rPr>
          <w:b/>
          <w:color w:val="202020"/>
        </w:rPr>
        <w:t>additive</w:t>
      </w:r>
      <w:r>
        <w:rPr>
          <w:color w:val="202020"/>
        </w:rPr>
        <w:t xml:space="preserve"> — public certificates keep working, and a hostname that does not match its certificate still fails. Datanode redirects must chain to the same CA, so include the whole issuing chain.</w:t>
      </w: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color w:val="202020"/>
                <w:sz w:val="20"/>
              </w:rPr>
              <w:t xml:space="preserve">Plain </w:t>
            </w:r>
            <w:r>
              <w:rPr>
                <w:rFonts w:ascii="Consolas" w:hAnsi="Consolas"/>
                <w:color w:val="202020"/>
                <w:sz w:val="19"/>
              </w:rPr>
              <w:t>http://</w:t>
            </w:r>
            <w:r>
              <w:rPr>
                <w:color w:val="202020"/>
                <w:sz w:val="20"/>
              </w:rPr>
              <w:t xml:space="preserve"> namenode URLs are accepted but give you no transport authentication — anyone on the path could impersonate the namenode. Prefer </w:t>
            </w:r>
            <w:r>
              <w:rPr>
                <w:rFonts w:ascii="Consolas" w:hAnsi="Consolas"/>
                <w:color w:val="202020"/>
                <w:sz w:val="19"/>
              </w:rPr>
              <w:t>https://</w:t>
            </w:r>
            <w:r>
              <w:rPr>
                <w:color w:val="202020"/>
                <w:sz w:val="20"/>
              </w:rPr>
              <w:t xml:space="preserve"> (or a Knox front) with </w:t>
            </w:r>
            <w:r>
              <w:rPr>
                <w:rFonts w:ascii="Consolas" w:hAnsi="Consolas"/>
                <w:color w:val="202020"/>
                <w:sz w:val="19"/>
              </w:rPr>
              <w:t>CA_BUNDLE_PATH</w:t>
            </w:r>
            <w:r>
              <w:rPr>
                <w:color w:val="202020"/>
                <w:sz w:val="20"/>
              </w:rPr>
              <w:t xml:space="preserve"> set.</w:t>
            </w:r>
          </w:p>
        </w:tc>
      </w:tr>
    </w:tbl>
    <w:p>
      <w:pPr>
        <w:spacing w:after="40"/>
      </w:pPr>
    </w:p>
    <w:p>
      <w:pPr>
        <w:pStyle w:val="Heading2"/>
      </w:pPr>
      <w:r>
        <w:rPr>
          <w:color w:val="2E5496"/>
        </w:rPr>
        <w:t>4.4 Network egress</w:t>
      </w:r>
    </w:p>
    <w:p>
      <w:pPr>
        <w:spacing w:after="120"/>
      </w:pPr>
      <w:r>
        <w:rPr>
          <w:color w:val="202020"/>
        </w:rPr>
        <w:t xml:space="preserve">If outbound traffic must go through a corporate proxy, set </w:t>
      </w:r>
      <w:r>
        <w:rPr>
          <w:rFonts w:ascii="Consolas" w:hAnsi="Consolas"/>
          <w:color w:val="202020"/>
          <w:sz w:val="19"/>
        </w:rPr>
        <w:t>PROXY_URL</w:t>
      </w:r>
      <w:r>
        <w:rPr>
          <w:color w:val="202020"/>
        </w:rPr>
        <w:t xml:space="preserve">. The typical shape at a bank is: Microsoft Graph and the token endpoint go </w:t>
      </w:r>
      <w:r>
        <w:rPr>
          <w:b/>
          <w:color w:val="202020"/>
        </w:rPr>
        <w:t>via the proxy</w:t>
      </w:r>
      <w:r>
        <w:rPr>
          <w:color w:val="202020"/>
        </w:rPr>
        <w:t xml:space="preserve">, while the on-premises BDH cluster is reached </w:t>
      </w:r>
      <w:r>
        <w:rPr>
          <w:b/>
          <w:color w:val="202020"/>
        </w:rPr>
        <w:t>directly</w:t>
      </w:r>
      <w:r>
        <w:rPr>
          <w:color w:val="202020"/>
        </w:rPr>
        <w:t xml:space="preserve">. List the cluster hosts in </w:t>
      </w:r>
      <w:r>
        <w:rPr>
          <w:rFonts w:ascii="Consolas" w:hAnsi="Consolas"/>
          <w:color w:val="202020"/>
          <w:sz w:val="19"/>
        </w:rPr>
        <w:t>PROXY_BYPASS</w:t>
      </w:r>
      <w:r>
        <w:rPr>
          <w:color w:val="202020"/>
        </w:rPr>
        <w:t xml:space="preserve"> (wildcards allowed, for example </w:t>
      </w:r>
      <w:r>
        <w:rPr>
          <w:rFonts w:ascii="Consolas" w:hAnsi="Consolas"/>
          <w:color w:val="202020"/>
          <w:sz w:val="19"/>
        </w:rPr>
        <w:t>*.hadoop.corp.local;namenode1;10.*</w:t>
      </w:r>
      <w:r>
        <w:rPr>
          <w:color w:val="202020"/>
        </w:rPr>
        <w:t xml:space="preserve">). Both </w:t>
      </w:r>
      <w:r>
        <w:rPr>
          <w:rFonts w:ascii="Consolas" w:hAnsi="Consolas"/>
          <w:color w:val="202020"/>
          <w:sz w:val="19"/>
        </w:rPr>
        <w:t>PROXY_URL</w:t>
      </w:r>
      <w:r>
        <w:rPr>
          <w:color w:val="202020"/>
        </w:rPr>
        <w:t xml:space="preserve"> and </w:t>
      </w:r>
      <w:r>
        <w:rPr>
          <w:rFonts w:ascii="Consolas" w:hAnsi="Consolas"/>
          <w:color w:val="202020"/>
          <w:sz w:val="19"/>
        </w:rPr>
        <w:t>CA_BUNDLE_PATH</w:t>
      </w:r>
      <w:r>
        <w:rPr>
          <w:color w:val="202020"/>
        </w:rPr>
        <w:t xml:space="preserve"> are checked at startup and fail fast, naming the setting, if they are wrong.</w:t>
      </w:r>
    </w:p>
    <w:p>
      <w:pPr>
        <w:pStyle w:val="Heading2"/>
      </w:pPr>
      <w:r>
        <w:rPr>
          <w:color w:val="2E5496"/>
        </w:rPr>
        <w:t>4.5 The partition layout the connector expects</w:t>
      </w:r>
    </w:p>
    <w:p>
      <w:pPr>
        <w:spacing w:after="120"/>
      </w:pPr>
      <w:r>
        <w:rPr>
          <w:color w:val="202020"/>
        </w:rPr>
        <w:t xml:space="preserve">BDH lays every object out in </w:t>
      </w:r>
      <w:r>
        <w:rPr>
          <w:b/>
          <w:color w:val="202020"/>
        </w:rPr>
        <w:t>Hive partitions</w:t>
      </w:r>
      <w:r>
        <w:rPr>
          <w:color w:val="202020"/>
        </w:rPr>
        <w:t xml:space="preserve"> — directories named </w:t>
      </w:r>
      <w:r>
        <w:rPr>
          <w:rFonts w:ascii="Consolas" w:hAnsi="Consolas"/>
          <w:color w:val="202020"/>
          <w:sz w:val="19"/>
        </w:rPr>
        <w:t>key=value</w:t>
      </w:r>
      <w:r>
        <w:rPr>
          <w:color w:val="202020"/>
        </w:rPr>
        <w:t xml:space="preserve"> that both organise the data and let the connector skip whole chunks of it. Under the data-mart root (</w:t>
      </w:r>
      <w:r>
        <w:rPr>
          <w:rFonts w:ascii="Consolas" w:hAnsi="Consolas"/>
          <w:color w:val="202020"/>
          <w:sz w:val="19"/>
        </w:rPr>
        <w:t>BDH_ROOT_PATH</w:t>
      </w:r>
      <w:r>
        <w:rPr>
          <w:color w:val="202020"/>
        </w:rPr>
        <w:t xml:space="preserve">, default </w:t>
      </w:r>
      <w:r>
        <w:rPr>
          <w:rFonts w:ascii="Consolas" w:hAnsi="Consolas"/>
          <w:color w:val="202020"/>
          <w:sz w:val="19"/>
        </w:rPr>
        <w:t>/data/bdh</w:t>
      </w:r>
      <w:r>
        <w:rPr>
          <w:color w:val="202020"/>
        </w:rPr>
        <w:t>) the connector expects, for each object:</w:t>
      </w:r>
    </w:p>
    <w:p>
      <w:pPr>
        <w:spacing w:after="40"/>
      </w:pPr>
      <w:r>
        <w:rPr>
          <w:rFonts w:ascii="Consolas" w:hAnsi="Consolas"/>
          <w:color w:val="202020"/>
          <w:sz w:val="19"/>
        </w:rPr>
        <w:t>{BDH_ROOT_PATH}/{object}/dt=YYYY-MM-DD/part-00000.csv</w:t>
      </w:r>
    </w:p>
    <w:p>
      <w:pPr>
        <w:spacing w:after="160"/>
      </w:pPr>
      <w:r>
        <w:rPr>
          <w:rFonts w:ascii="Consolas" w:hAnsi="Consolas"/>
          <w:color w:val="202020"/>
          <w:sz w:val="19"/>
        </w:rPr>
        <w:t>{BDH_ROOT_PATH}/{object}/region=EMEA/dt=YYYY-MM-DD/part-*.jsonl</w:t>
      </w:r>
    </w:p>
    <w:p>
      <w:pPr>
        <w:pStyle w:val="ListBullet"/>
        <w:spacing w:after="40"/>
      </w:pPr>
      <w:r>
        <w:rPr>
          <w:rFonts w:ascii="Consolas" w:hAnsi="Consolas"/>
          <w:b/>
          <w:color w:val="202020"/>
          <w:sz w:val="19"/>
        </w:rPr>
        <w:t>dt=</w:t>
      </w:r>
      <w:r>
        <w:rPr>
          <w:color w:val="202020"/>
        </w:rPr>
        <w:t xml:space="preserve"> is the load-date partition (</w:t>
      </w:r>
      <w:r>
        <w:rPr>
          <w:rFonts w:ascii="Consolas" w:hAnsi="Consolas"/>
          <w:color w:val="202020"/>
          <w:sz w:val="19"/>
        </w:rPr>
        <w:t>YYYY-MM-DD</w:t>
      </w:r>
      <w:r>
        <w:rPr>
          <w:color w:val="202020"/>
        </w:rPr>
        <w:t>). It exists in every layout and is the single most important key — it is what lets the connector read only recent data.</w:t>
      </w:r>
    </w:p>
    <w:p>
      <w:pPr>
        <w:pStyle w:val="ListBullet"/>
        <w:spacing w:after="40"/>
      </w:pPr>
      <w:r>
        <w:rPr>
          <w:rFonts w:ascii="Consolas" w:hAnsi="Consolas"/>
          <w:b/>
          <w:color w:val="202020"/>
          <w:sz w:val="19"/>
        </w:rPr>
        <w:t>region=</w:t>
      </w:r>
      <w:r>
        <w:rPr>
          <w:color w:val="202020"/>
        </w:rPr>
        <w:t xml:space="preserve"> (and any other </w:t>
      </w:r>
      <w:r>
        <w:rPr>
          <w:rFonts w:ascii="Consolas" w:hAnsi="Consolas"/>
          <w:color w:val="202020"/>
          <w:sz w:val="19"/>
        </w:rPr>
        <w:t>key=value</w:t>
      </w:r>
      <w:r>
        <w:rPr>
          <w:color w:val="202020"/>
        </w:rPr>
        <w:t xml:space="preserve"> folders) are extra partitions; they may appear at any level and in any order.</w:t>
      </w:r>
    </w:p>
    <w:p>
      <w:pPr>
        <w:pStyle w:val="ListBullet"/>
        <w:spacing w:after="40"/>
      </w:pPr>
      <w:r>
        <w:rPr>
          <w:color w:val="202020"/>
        </w:rPr>
        <w:t xml:space="preserve">Files are CSV (with a header row), JSONL, or small </w:t>
      </w:r>
      <w:r>
        <w:rPr>
          <w:rFonts w:ascii="Consolas" w:hAnsi="Consolas"/>
          <w:color w:val="202020"/>
          <w:sz w:val="19"/>
        </w:rPr>
        <w:t>.json</w:t>
      </w:r>
      <w:r>
        <w:rPr>
          <w:color w:val="202020"/>
        </w:rPr>
        <w:t xml:space="preserve"> arrays. Helper files like </w:t>
      </w:r>
      <w:r>
        <w:rPr>
          <w:rFonts w:ascii="Consolas" w:hAnsi="Consolas"/>
          <w:color w:val="202020"/>
          <w:sz w:val="19"/>
        </w:rPr>
        <w:t>_SUCCESS</w:t>
      </w:r>
      <w:r>
        <w:rPr>
          <w:color w:val="202020"/>
        </w:rPr>
        <w:t xml:space="preserve">, dotfiles and </w:t>
      </w:r>
      <w:r>
        <w:rPr>
          <w:rFonts w:ascii="Consolas" w:hAnsi="Consolas"/>
          <w:color w:val="202020"/>
          <w:sz w:val="19"/>
        </w:rPr>
        <w:t>.tmp</w:t>
      </w:r>
      <w:r>
        <w:rPr>
          <w:color w:val="202020"/>
        </w:rPr>
        <w:t xml:space="preserve"> files are ignored. Each file read is size-bounded (</w:t>
      </w:r>
      <w:r>
        <w:rPr>
          <w:rFonts w:ascii="Consolas" w:hAnsi="Consolas"/>
          <w:color w:val="202020"/>
          <w:sz w:val="19"/>
        </w:rPr>
        <w:t>BDH_MAX_FILE_BYTES</w:t>
      </w:r>
      <w:r>
        <w:rPr>
          <w:color w:val="202020"/>
        </w:rPr>
        <w:t>, default 1 GiB) and parsed as a stream so it never has to fit in memory.</w:t>
      </w:r>
    </w:p>
    <w:p>
      <w:pPr>
        <w:pStyle w:val="Heading2"/>
      </w:pPr>
      <w:r>
        <w:rPr>
          <w:color w:val="2E5496"/>
        </w:rPr>
        <w:t>4.6 Connection settings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500"/>
        <w:gridCol w:w="4460"/>
        <w:gridCol w:w="2400"/>
      </w:tblGrid>
      <w:tr>
        <w:tc>
          <w:tcPr>
            <w:tcW w:type="dxa" w:w="2500"/>
            <w:shd w:val="clear" w:color="auto" w:fill="2E5496"/>
          </w:tcPr>
          <w:p>
            <w:r>
              <w:rPr>
                <w:b/>
                <w:color w:val="FFFFFF"/>
                <w:sz w:val="19"/>
              </w:rPr>
              <w:t>Setting</w:t>
            </w:r>
          </w:p>
        </w:tc>
        <w:tc>
          <w:tcPr>
            <w:tcW w:type="dxa" w:w="4460"/>
            <w:shd w:val="clear" w:color="auto" w:fill="2E5496"/>
          </w:tcPr>
          <w:p>
            <w:r>
              <w:rPr>
                <w:b/>
                <w:color w:val="FFFFFF"/>
                <w:sz w:val="19"/>
              </w:rPr>
              <w:t>What it is / example</w:t>
            </w:r>
          </w:p>
        </w:tc>
        <w:tc>
          <w:tcPr>
            <w:tcW w:type="dxa" w:w="2400"/>
            <w:shd w:val="clear" w:color="auto" w:fill="2E5496"/>
          </w:tcPr>
          <w:p>
            <w:r>
              <w:rPr>
                <w:b/>
                <w:color w:val="FFFFFF"/>
                <w:sz w:val="19"/>
              </w:rPr>
              <w:t>Provided by</w:t>
            </w:r>
          </w:p>
        </w:tc>
      </w:tr>
      <w:tr>
        <w:tc>
          <w:tcPr>
            <w:tcW w:type="dxa" w:w="2500"/>
          </w:tcPr>
          <w:p>
            <w:r>
              <w:rPr>
                <w:rFonts w:ascii="Consolas" w:hAnsi="Consolas"/>
                <w:color w:val="202020"/>
                <w:sz w:val="19"/>
              </w:rPr>
              <w:t>HDFS_MODE</w:t>
            </w:r>
          </w:p>
        </w:tc>
        <w:tc>
          <w:tcPr>
            <w:tcW w:type="dxa" w:w="4460"/>
          </w:tcPr>
          <w:p>
            <w:r>
              <w:rPr>
                <w:rFonts w:ascii="Consolas" w:hAnsi="Consolas"/>
                <w:color w:val="202020"/>
                <w:sz w:val="19"/>
              </w:rPr>
              <w:t>webhdfs</w:t>
            </w:r>
            <w:r>
              <w:rPr>
                <w:color w:val="202020"/>
                <w:sz w:val="19"/>
              </w:rPr>
              <w:t xml:space="preserve"> or </w:t>
            </w:r>
            <w:r>
              <w:rPr>
                <w:rFonts w:ascii="Consolas" w:hAnsi="Consolas"/>
                <w:color w:val="202020"/>
                <w:sz w:val="19"/>
              </w:rPr>
              <w:t>localpath</w:t>
            </w:r>
          </w:p>
        </w:tc>
        <w:tc>
          <w:tcPr>
            <w:tcW w:type="dxa" w:w="2400"/>
          </w:tcPr>
          <w:p>
            <w:r>
              <w:rPr>
                <w:color w:val="202020"/>
                <w:sz w:val="19"/>
              </w:rPr>
              <w:t>You / platform team</w:t>
            </w:r>
          </w:p>
        </w:tc>
      </w:tr>
      <w:tr>
        <w:tc>
          <w:tcPr>
            <w:tcW w:type="dxa" w:w="2500"/>
            <w:shd w:val="clear" w:color="auto" w:fill="F7F9FC"/>
          </w:tcPr>
          <w:p>
            <w:r>
              <w:rPr>
                <w:rFonts w:ascii="Consolas" w:hAnsi="Consolas"/>
                <w:color w:val="202020"/>
                <w:sz w:val="19"/>
              </w:rPr>
              <w:t>HDFS_NAMENODE_URL</w:t>
            </w:r>
          </w:p>
        </w:tc>
        <w:tc>
          <w:tcPr>
            <w:tcW w:type="dxa" w:w="4460"/>
            <w:shd w:val="clear" w:color="auto" w:fill="F7F9FC"/>
          </w:tcPr>
          <w:p>
            <w:r>
              <w:rPr>
                <w:color w:val="202020"/>
                <w:sz w:val="19"/>
              </w:rPr>
              <w:t xml:space="preserve">WebHDFS endpoint incl. the </w:t>
            </w:r>
            <w:r>
              <w:rPr>
                <w:rFonts w:ascii="Consolas" w:hAnsi="Consolas"/>
                <w:color w:val="202020"/>
                <w:sz w:val="19"/>
              </w:rPr>
              <w:t>/webhdfs/v1</w:t>
            </w:r>
            <w:r>
              <w:rPr>
                <w:color w:val="202020"/>
                <w:sz w:val="19"/>
              </w:rPr>
              <w:t xml:space="preserve"> prefix, e.g. </w:t>
            </w:r>
            <w:r>
              <w:rPr>
                <w:rFonts w:ascii="Consolas" w:hAnsi="Consolas"/>
                <w:color w:val="202020"/>
                <w:sz w:val="19"/>
              </w:rPr>
              <w:t>https://knox.corp:8443/webhdfs/v1</w:t>
            </w:r>
            <w:r>
              <w:rPr>
                <w:color w:val="202020"/>
                <w:sz w:val="19"/>
              </w:rPr>
              <w:t xml:space="preserve"> (or a Knox URL)</w:t>
            </w:r>
          </w:p>
        </w:tc>
        <w:tc>
          <w:tcPr>
            <w:tcW w:type="dxa" w:w="2400"/>
            <w:shd w:val="clear" w:color="auto" w:fill="F7F9FC"/>
          </w:tcPr>
          <w:p>
            <w:r>
              <w:rPr>
                <w:color w:val="202020"/>
                <w:sz w:val="19"/>
              </w:rPr>
              <w:t>Hadoop/BDH platform team</w:t>
            </w:r>
          </w:p>
        </w:tc>
      </w:tr>
      <w:tr>
        <w:tc>
          <w:tcPr>
            <w:tcW w:type="dxa" w:w="2500"/>
          </w:tcPr>
          <w:p>
            <w:r>
              <w:rPr>
                <w:rFonts w:ascii="Consolas" w:hAnsi="Consolas"/>
                <w:color w:val="202020"/>
                <w:sz w:val="19"/>
              </w:rPr>
              <w:t>HDFS_USER</w:t>
            </w:r>
          </w:p>
        </w:tc>
        <w:tc>
          <w:tcPr>
            <w:tcW w:type="dxa" w:w="4460"/>
          </w:tcPr>
          <w:p>
            <w:r>
              <w:rPr>
                <w:color w:val="202020"/>
                <w:sz w:val="19"/>
              </w:rPr>
              <w:t xml:space="preserve">Simple-auth read-only principal, e.g. </w:t>
            </w:r>
            <w:r>
              <w:rPr>
                <w:rFonts w:ascii="Consolas" w:hAnsi="Consolas"/>
                <w:color w:val="202020"/>
                <w:sz w:val="19"/>
              </w:rPr>
              <w:t>svc-bdh-reader</w:t>
            </w:r>
          </w:p>
        </w:tc>
        <w:tc>
          <w:tcPr>
            <w:tcW w:type="dxa" w:w="2400"/>
          </w:tcPr>
          <w:p>
            <w:r>
              <w:rPr>
                <w:color w:val="202020"/>
                <w:sz w:val="19"/>
              </w:rPr>
              <w:t>Hadoop/BDH platform team</w:t>
            </w:r>
          </w:p>
        </w:tc>
      </w:tr>
      <w:tr>
        <w:tc>
          <w:tcPr>
            <w:tcW w:type="dxa" w:w="2500"/>
            <w:shd w:val="clear" w:color="auto" w:fill="F7F9FC"/>
          </w:tcPr>
          <w:p>
            <w:r>
              <w:rPr>
                <w:rFonts w:ascii="Consolas" w:hAnsi="Consolas"/>
                <w:color w:val="202020"/>
                <w:sz w:val="19"/>
              </w:rPr>
              <w:t>SECRET_HDFS_DELEGATION_TOKEN</w:t>
            </w:r>
          </w:p>
        </w:tc>
        <w:tc>
          <w:tcPr>
            <w:tcW w:type="dxa" w:w="4460"/>
            <w:shd w:val="clear" w:color="auto" w:fill="F7F9FC"/>
          </w:tcPr>
          <w:p>
            <w:r>
              <w:rPr>
                <w:color w:val="202020"/>
                <w:sz w:val="19"/>
              </w:rPr>
              <w:t>Delegation token (secret; optional)</w:t>
            </w:r>
          </w:p>
        </w:tc>
        <w:tc>
          <w:tcPr>
            <w:tcW w:type="dxa" w:w="2400"/>
            <w:shd w:val="clear" w:color="auto" w:fill="F7F9FC"/>
          </w:tcPr>
          <w:p>
            <w:r>
              <w:rPr>
                <w:color w:val="202020"/>
                <w:sz w:val="19"/>
              </w:rPr>
              <w:t>Hadoop/BDH platform team</w:t>
            </w:r>
          </w:p>
        </w:tc>
      </w:tr>
      <w:tr>
        <w:tc>
          <w:tcPr>
            <w:tcW w:type="dxa" w:w="2500"/>
          </w:tcPr>
          <w:p>
            <w:r>
              <w:rPr>
                <w:rFonts w:ascii="Consolas" w:hAnsi="Consolas"/>
                <w:color w:val="202020"/>
                <w:sz w:val="19"/>
              </w:rPr>
              <w:t>BDH_ROOT_PATH</w:t>
            </w:r>
          </w:p>
        </w:tc>
        <w:tc>
          <w:tcPr>
            <w:tcW w:type="dxa" w:w="4460"/>
          </w:tcPr>
          <w:p>
            <w:r>
              <w:rPr>
                <w:color w:val="202020"/>
                <w:sz w:val="19"/>
              </w:rPr>
              <w:t xml:space="preserve">Data-mart root, e.g. </w:t>
            </w:r>
            <w:r>
              <w:rPr>
                <w:rFonts w:ascii="Consolas" w:hAnsi="Consolas"/>
                <w:color w:val="202020"/>
                <w:sz w:val="19"/>
              </w:rPr>
              <w:t>/data/bdh</w:t>
            </w:r>
          </w:p>
        </w:tc>
        <w:tc>
          <w:tcPr>
            <w:tcW w:type="dxa" w:w="2400"/>
          </w:tcPr>
          <w:p>
            <w:r>
              <w:rPr>
                <w:color w:val="202020"/>
                <w:sz w:val="19"/>
              </w:rPr>
              <w:t>Hadoop/BDH platform team</w:t>
            </w:r>
          </w:p>
        </w:tc>
      </w:tr>
      <w:tr>
        <w:tc>
          <w:tcPr>
            <w:tcW w:type="dxa" w:w="2500"/>
            <w:shd w:val="clear" w:color="auto" w:fill="F7F9FC"/>
          </w:tcPr>
          <w:p>
            <w:r>
              <w:rPr>
                <w:rFonts w:ascii="Consolas" w:hAnsi="Consolas"/>
                <w:color w:val="202020"/>
                <w:sz w:val="19"/>
              </w:rPr>
              <w:t>BDH_EXPORT_PATH</w:t>
            </w:r>
          </w:p>
        </w:tc>
        <w:tc>
          <w:tcPr>
            <w:tcW w:type="dxa" w:w="4460"/>
            <w:shd w:val="clear" w:color="auto" w:fill="F7F9FC"/>
          </w:tcPr>
          <w:p>
            <w:r>
              <w:rPr>
                <w:color w:val="202020"/>
                <w:sz w:val="19"/>
              </w:rPr>
              <w:t xml:space="preserve">Mounted export dir (localpath mode only), e.g. </w:t>
            </w:r>
            <w:r>
              <w:rPr>
                <w:rFonts w:ascii="Consolas" w:hAnsi="Consolas"/>
                <w:color w:val="202020"/>
                <w:sz w:val="19"/>
              </w:rPr>
              <w:t>/mnt/bdh-export</w:t>
            </w:r>
          </w:p>
        </w:tc>
        <w:tc>
          <w:tcPr>
            <w:tcW w:type="dxa" w:w="2400"/>
            <w:shd w:val="clear" w:color="auto" w:fill="F7F9FC"/>
          </w:tcPr>
          <w:p>
            <w:r>
              <w:rPr>
                <w:color w:val="202020"/>
                <w:sz w:val="19"/>
              </w:rPr>
              <w:t>Hadoop/BDH platform + storage</w:t>
            </w:r>
          </w:p>
        </w:tc>
      </w:tr>
      <w:tr>
        <w:tc>
          <w:tcPr>
            <w:tcW w:type="dxa" w:w="2500"/>
          </w:tcPr>
          <w:p>
            <w:r>
              <w:rPr>
                <w:rFonts w:ascii="Consolas" w:hAnsi="Consolas"/>
                <w:color w:val="202020"/>
                <w:sz w:val="19"/>
              </w:rPr>
              <w:t>CA_BUNDLE_PATH</w:t>
            </w:r>
          </w:p>
        </w:tc>
        <w:tc>
          <w:tcPr>
            <w:tcW w:type="dxa" w:w="4460"/>
          </w:tcPr>
          <w:p>
            <w:r>
              <w:rPr>
                <w:color w:val="202020"/>
                <w:sz w:val="19"/>
              </w:rPr>
              <w:t>PEM bundle of the private CA chain</w:t>
            </w:r>
          </w:p>
        </w:tc>
        <w:tc>
          <w:tcPr>
            <w:tcW w:type="dxa" w:w="2400"/>
          </w:tcPr>
          <w:p>
            <w:r>
              <w:rPr>
                <w:color w:val="202020"/>
                <w:sz w:val="19"/>
              </w:rPr>
              <w:t>Network/PKI team</w:t>
            </w:r>
          </w:p>
        </w:tc>
      </w:tr>
      <w:tr>
        <w:tc>
          <w:tcPr>
            <w:tcW w:type="dxa" w:w="2500"/>
            <w:shd w:val="clear" w:color="auto" w:fill="F7F9FC"/>
          </w:tcPr>
          <w:p>
            <w:r>
              <w:rPr>
                <w:rFonts w:ascii="Consolas" w:hAnsi="Consolas"/>
                <w:color w:val="202020"/>
                <w:sz w:val="19"/>
              </w:rPr>
              <w:t>PROXY_URL</w:t>
            </w:r>
            <w:r>
              <w:rPr>
                <w:color w:val="202020"/>
                <w:sz w:val="19"/>
              </w:rPr>
              <w:t xml:space="preserve"> / </w:t>
            </w:r>
            <w:r>
              <w:rPr>
                <w:rFonts w:ascii="Consolas" w:hAnsi="Consolas"/>
                <w:color w:val="202020"/>
                <w:sz w:val="19"/>
              </w:rPr>
              <w:t>PROXY_BYPASS</w:t>
            </w:r>
          </w:p>
        </w:tc>
        <w:tc>
          <w:tcPr>
            <w:tcW w:type="dxa" w:w="4460"/>
            <w:shd w:val="clear" w:color="auto" w:fill="F7F9FC"/>
          </w:tcPr>
          <w:p>
            <w:r>
              <w:rPr>
                <w:color w:val="202020"/>
                <w:sz w:val="19"/>
              </w:rPr>
              <w:t>Corporate proxy + bypass list</w:t>
            </w:r>
          </w:p>
        </w:tc>
        <w:tc>
          <w:tcPr>
            <w:tcW w:type="dxa" w:w="2400"/>
            <w:shd w:val="clear" w:color="auto" w:fill="F7F9FC"/>
          </w:tcPr>
          <w:p>
            <w:r>
              <w:rPr>
                <w:color w:val="202020"/>
                <w:sz w:val="19"/>
              </w:rPr>
              <w:t>Network/firewall team</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Before you configure Section 4, get these from the </w:t>
            </w:r>
            <w:r>
              <w:rPr>
                <w:b/>
                <w:color w:val="202020"/>
                <w:sz w:val="20"/>
              </w:rPr>
              <w:t>Hadoop/BDH platform team</w:t>
            </w:r>
            <w:r>
              <w:rPr>
                <w:color w:val="202020"/>
                <w:sz w:val="20"/>
              </w:rPr>
              <w:t xml:space="preserve">: the WebHDFS endpoint URL (or the mount path if using </w:t>
            </w:r>
            <w:r>
              <w:rPr>
                <w:rFonts w:ascii="Consolas" w:hAnsi="Consolas"/>
                <w:color w:val="202020"/>
                <w:sz w:val="19"/>
              </w:rPr>
              <w:t>localpath</w:t>
            </w:r>
            <w:r>
              <w:rPr>
                <w:color w:val="202020"/>
                <w:sz w:val="20"/>
              </w:rPr>
              <w:t xml:space="preserve">); a </w:t>
            </w:r>
            <w:r>
              <w:rPr>
                <w:b/>
                <w:color w:val="202020"/>
                <w:sz w:val="20"/>
              </w:rPr>
              <w:t>read-only</w:t>
            </w:r>
            <w:r>
              <w:rPr>
                <w:color w:val="202020"/>
                <w:sz w:val="20"/>
              </w:rPr>
              <w:t xml:space="preserve"> HDFS principal or delegation token scoped to </w:t>
            </w:r>
            <w:r>
              <w:rPr>
                <w:rFonts w:ascii="Consolas" w:hAnsi="Consolas"/>
                <w:color w:val="202020"/>
                <w:sz w:val="19"/>
              </w:rPr>
              <w:t>BDH_ROOT_PATH</w:t>
            </w:r>
            <w:r>
              <w:rPr>
                <w:color w:val="202020"/>
                <w:sz w:val="20"/>
              </w:rPr>
              <w:t xml:space="preserve"> only; the exact partition layout in use (which </w:t>
            </w:r>
            <w:r>
              <w:rPr>
                <w:rFonts w:ascii="Consolas" w:hAnsi="Consolas"/>
                <w:color w:val="202020"/>
                <w:sz w:val="19"/>
              </w:rPr>
              <w:t>key=</w:t>
            </w:r>
            <w:r>
              <w:rPr>
                <w:color w:val="202020"/>
                <w:sz w:val="20"/>
              </w:rPr>
              <w:t xml:space="preserve"> folders exist, and whether every object uses </w:t>
            </w:r>
            <w:r>
              <w:rPr>
                <w:rFonts w:ascii="Consolas" w:hAnsi="Consolas"/>
                <w:color w:val="202020"/>
                <w:sz w:val="19"/>
              </w:rPr>
              <w:t>dt=</w:t>
            </w:r>
            <w:r>
              <w:rPr>
                <w:color w:val="202020"/>
                <w:sz w:val="20"/>
              </w:rPr>
              <w:t xml:space="preserve">); and the mapping from each object type to its directory under the root. From the </w:t>
            </w:r>
            <w:r>
              <w:rPr>
                <w:b/>
                <w:color w:val="202020"/>
                <w:sz w:val="20"/>
              </w:rPr>
              <w:t>network/PKI team</w:t>
            </w:r>
            <w:r>
              <w:rPr>
                <w:color w:val="202020"/>
                <w:sz w:val="20"/>
              </w:rPr>
              <w:t xml:space="preserve"> get the private CA bundle for </w:t>
            </w:r>
            <w:r>
              <w:rPr>
                <w:rFonts w:ascii="Consolas" w:hAnsi="Consolas"/>
                <w:color w:val="202020"/>
                <w:sz w:val="19"/>
              </w:rPr>
              <w:t>CA_BUNDLE_PATH</w:t>
            </w:r>
            <w:r>
              <w:rPr>
                <w:color w:val="202020"/>
                <w:sz w:val="20"/>
              </w:rPr>
              <w:t xml:space="preserve"> and any proxy details.</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The HDFS principal must be </w:t>
            </w:r>
            <w:r>
              <w:rPr>
                <w:b/>
                <w:color w:val="202020"/>
                <w:sz w:val="20"/>
              </w:rPr>
              <w:t>read-only</w:t>
            </w:r>
            <w:r>
              <w:rPr>
                <w:color w:val="202020"/>
                <w:sz w:val="20"/>
              </w:rPr>
              <w:t xml:space="preserve"> on </w:t>
            </w:r>
            <w:r>
              <w:rPr>
                <w:rFonts w:ascii="Consolas" w:hAnsi="Consolas"/>
                <w:color w:val="202020"/>
                <w:sz w:val="19"/>
              </w:rPr>
              <w:t>BDH_ROOT_PATH</w:t>
            </w:r>
            <w:r>
              <w:rPr>
                <w:color w:val="202020"/>
                <w:sz w:val="20"/>
              </w:rPr>
              <w:t xml:space="preserve"> and have no access anywhere else. The connector only ever lists and reads files; it never writes or deletes. A read-only principal means a compromise of the connector cannot damage the data mart it indexes.</w:t>
            </w:r>
          </w:p>
        </w:tc>
      </w:tr>
    </w:tbl>
    <w:p>
      <w:pPr>
        <w:spacing w:after="40"/>
      </w:pPr>
    </w:p>
    <w:p>
      <w:pPr>
        <w:pStyle w:val="Heading1"/>
      </w:pPr>
      <w:r>
        <w:rPr>
          <w:color w:val="1F3864"/>
        </w:rPr>
        <w:t>5. How BDH data appears in the Copilot index</w:t>
      </w:r>
    </w:p>
    <w:p>
      <w:pPr>
        <w:spacing w:after="200"/>
      </w:pPr>
      <w:r>
        <w:rPr>
          <w:color w:val="595959"/>
          <w:sz w:val="23"/>
        </w:rPr>
        <w:t>Each BDH record becomes one external item in a Microsoft Graph external connection. This section explains the item's id, its properties, its searchable text, and — most importantly — the permission model.</w:t>
      </w:r>
    </w:p>
    <w:p>
      <w:pPr>
        <w:pStyle w:val="Heading2"/>
      </w:pPr>
      <w:r>
        <w:rPr>
          <w:color w:val="2E5496"/>
        </w:rPr>
        <w:t>5.1 The item id, and why this connector needs its own connection</w:t>
      </w:r>
    </w:p>
    <w:p>
      <w:pPr>
        <w:spacing w:after="120"/>
      </w:pPr>
      <w:r>
        <w:rPr>
          <w:color w:val="202020"/>
        </w:rPr>
        <w:t xml:space="preserve">Every external item is keyed by the </w:t>
      </w:r>
      <w:r>
        <w:rPr>
          <w:b/>
          <w:color w:val="202020"/>
        </w:rPr>
        <w:t>Salesforce record Id</w:t>
      </w:r>
      <w:r>
        <w:rPr>
          <w:color w:val="202020"/>
        </w:rPr>
        <w:t xml:space="preserve"> taken straight from BDH — the connector does not invent a new id. That is what makes this connector and the live Salesforce connector interchangeable: the same record has the same id in both. It is also a trap.</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Use a SEPARATE Graph connection id (</w:t>
            </w:r>
            <w:r>
              <w:rPr>
                <w:rFonts w:ascii="Consolas" w:hAnsi="Consolas"/>
                <w:color w:val="202020"/>
                <w:sz w:val="19"/>
              </w:rPr>
              <w:t>CONNECTOR_ID</w:t>
            </w:r>
            <w:r>
              <w:rPr>
                <w:color w:val="202020"/>
                <w:sz w:val="20"/>
              </w:rPr>
              <w:t xml:space="preserve">) from the live Salesforce connector. Because both connectors emit the same item ids, pointing them at one connection makes their crawls and their deletion sweeps fight each other — each would treat the other's items as strangers and delete them. Give this connector its own </w:t>
            </w:r>
            <w:r>
              <w:rPr>
                <w:rFonts w:ascii="Consolas" w:hAnsi="Consolas"/>
                <w:color w:val="202020"/>
                <w:sz w:val="19"/>
              </w:rPr>
              <w:t>CONNECTOR_ID</w:t>
            </w:r>
            <w:r>
              <w:rPr>
                <w:color w:val="202020"/>
                <w:sz w:val="20"/>
              </w:rPr>
              <w:t xml:space="preserve"> (for example </w:t>
            </w:r>
            <w:r>
              <w:rPr>
                <w:rFonts w:ascii="Consolas" w:hAnsi="Consolas"/>
                <w:color w:val="202020"/>
                <w:sz w:val="19"/>
              </w:rPr>
              <w:t>BdhHadoopMart</w:t>
            </w:r>
            <w:r>
              <w:rPr>
                <w:color w:val="202020"/>
                <w:sz w:val="20"/>
              </w:rPr>
              <w:t>) and never reuse the live connector's id.</w:t>
            </w:r>
          </w:p>
        </w:tc>
      </w:tr>
    </w:tbl>
    <w:p>
      <w:pPr>
        <w:spacing w:after="40"/>
      </w:pPr>
    </w:p>
    <w:p>
      <w:pPr>
        <w:pStyle w:val="Heading2"/>
      </w:pPr>
      <w:r>
        <w:rPr>
          <w:color w:val="2E5496"/>
        </w:rPr>
        <w:t>5.2 Properties on every item</w:t>
      </w:r>
    </w:p>
    <w:p>
      <w:pPr>
        <w:spacing w:after="120"/>
      </w:pPr>
      <w:r>
        <w:rPr>
          <w:color w:val="202020"/>
        </w:rPr>
        <w:t>The connector always writes these standard properties, then adds the mapped fields for the object type: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200"/>
        <w:gridCol w:w="3560"/>
        <w:gridCol w:w="3600"/>
      </w:tblGrid>
      <w:tr>
        <w:tc>
          <w:tcPr>
            <w:tcW w:type="dxa" w:w="2200"/>
            <w:shd w:val="clear" w:color="auto" w:fill="2E5496"/>
          </w:tcPr>
          <w:p>
            <w:r>
              <w:rPr>
                <w:b/>
                <w:color w:val="FFFFFF"/>
                <w:sz w:val="19"/>
              </w:rPr>
              <w:t>Property</w:t>
            </w:r>
          </w:p>
        </w:tc>
        <w:tc>
          <w:tcPr>
            <w:tcW w:type="dxa" w:w="3560"/>
            <w:shd w:val="clear" w:color="auto" w:fill="2E5496"/>
          </w:tcPr>
          <w:p>
            <w:r>
              <w:rPr>
                <w:b/>
                <w:color w:val="FFFFFF"/>
                <w:sz w:val="19"/>
              </w:rPr>
              <w:t>Value / source</w:t>
            </w:r>
          </w:p>
        </w:tc>
        <w:tc>
          <w:tcPr>
            <w:tcW w:type="dxa" w:w="3600"/>
            <w:shd w:val="clear" w:color="auto" w:fill="2E5496"/>
          </w:tcPr>
          <w:p>
            <w:r>
              <w:rPr>
                <w:b/>
                <w:color w:val="FFFFFF"/>
                <w:sz w:val="19"/>
              </w:rPr>
              <w:t>Purpose</w:t>
            </w:r>
          </w:p>
        </w:tc>
      </w:tr>
      <w:tr>
        <w:tc>
          <w:tcPr>
            <w:tcW w:type="dxa" w:w="2200"/>
          </w:tcPr>
          <w:p>
            <w:r>
              <w:rPr>
                <w:rFonts w:ascii="Consolas" w:hAnsi="Consolas"/>
                <w:color w:val="202020"/>
                <w:sz w:val="19"/>
              </w:rPr>
              <w:t>ObjectName</w:t>
            </w:r>
          </w:p>
        </w:tc>
        <w:tc>
          <w:tcPr>
            <w:tcW w:type="dxa" w:w="3560"/>
          </w:tcPr>
          <w:p>
            <w:r>
              <w:rPr>
                <w:color w:val="202020"/>
                <w:sz w:val="19"/>
              </w:rPr>
              <w:t xml:space="preserve">The object type, e.g. </w:t>
            </w:r>
            <w:r>
              <w:rPr>
                <w:rFonts w:ascii="Consolas" w:hAnsi="Consolas"/>
                <w:color w:val="202020"/>
                <w:sz w:val="19"/>
              </w:rPr>
              <w:t>Contact</w:t>
            </w:r>
          </w:p>
        </w:tc>
        <w:tc>
          <w:tcPr>
            <w:tcW w:type="dxa" w:w="3600"/>
          </w:tcPr>
          <w:p>
            <w:r>
              <w:rPr>
                <w:color w:val="202020"/>
                <w:sz w:val="19"/>
              </w:rPr>
              <w:t>Lets Copilot and refiners group by type</w:t>
            </w:r>
          </w:p>
        </w:tc>
      </w:tr>
      <w:tr>
        <w:tc>
          <w:tcPr>
            <w:tcW w:type="dxa" w:w="2200"/>
            <w:shd w:val="clear" w:color="auto" w:fill="F7F9FC"/>
          </w:tcPr>
          <w:p>
            <w:r>
              <w:rPr>
                <w:rFonts w:ascii="Consolas" w:hAnsi="Consolas"/>
                <w:color w:val="202020"/>
                <w:sz w:val="19"/>
              </w:rPr>
              <w:t>Title</w:t>
            </w:r>
          </w:p>
        </w:tc>
        <w:tc>
          <w:tcPr>
            <w:tcW w:type="dxa" w:w="3560"/>
            <w:shd w:val="clear" w:color="auto" w:fill="F7F9FC"/>
          </w:tcPr>
          <w:p>
            <w:r>
              <w:rPr>
                <w:color w:val="202020"/>
                <w:sz w:val="19"/>
              </w:rPr>
              <w:t>The record's Name / Subject</w:t>
            </w:r>
          </w:p>
        </w:tc>
        <w:tc>
          <w:tcPr>
            <w:tcW w:type="dxa" w:w="3600"/>
            <w:shd w:val="clear" w:color="auto" w:fill="F7F9FC"/>
          </w:tcPr>
          <w:p>
            <w:r>
              <w:rPr>
                <w:color w:val="202020"/>
                <w:sz w:val="19"/>
              </w:rPr>
              <w:t>The result-card heading</w:t>
            </w:r>
          </w:p>
        </w:tc>
      </w:tr>
      <w:tr>
        <w:tc>
          <w:tcPr>
            <w:tcW w:type="dxa" w:w="2200"/>
          </w:tcPr>
          <w:p>
            <w:r>
              <w:rPr>
                <w:rFonts w:ascii="Consolas" w:hAnsi="Consolas"/>
                <w:color w:val="202020"/>
                <w:sz w:val="19"/>
              </w:rPr>
              <w:t>Url</w:t>
            </w:r>
          </w:p>
        </w:tc>
        <w:tc>
          <w:tcPr>
            <w:tcW w:type="dxa" w:w="3560"/>
          </w:tcPr>
          <w:p>
            <w:r>
              <w:rPr>
                <w:color w:val="202020"/>
                <w:sz w:val="19"/>
              </w:rPr>
              <w:t xml:space="preserve">A deep link built from </w:t>
            </w:r>
            <w:r>
              <w:rPr>
                <w:rFonts w:ascii="Consolas" w:hAnsi="Consolas"/>
                <w:color w:val="202020"/>
                <w:sz w:val="19"/>
              </w:rPr>
              <w:t>ITEM_URL_BASE</w:t>
            </w:r>
            <w:r>
              <w:rPr>
                <w:color w:val="202020"/>
                <w:sz w:val="19"/>
              </w:rPr>
              <w:t xml:space="preserve"> + the record id</w:t>
            </w:r>
          </w:p>
        </w:tc>
        <w:tc>
          <w:tcPr>
            <w:tcW w:type="dxa" w:w="3600"/>
          </w:tcPr>
          <w:p>
            <w:r>
              <w:rPr>
                <w:color w:val="202020"/>
                <w:sz w:val="19"/>
              </w:rPr>
              <w:t>Opens the LIVE Salesforce record (same id) so users see current data</w:t>
            </w:r>
          </w:p>
        </w:tc>
      </w:tr>
      <w:tr>
        <w:tc>
          <w:tcPr>
            <w:tcW w:type="dxa" w:w="2200"/>
            <w:shd w:val="clear" w:color="auto" w:fill="F7F9FC"/>
          </w:tcPr>
          <w:p>
            <w:r>
              <w:rPr>
                <w:rFonts w:ascii="Consolas" w:hAnsi="Consolas"/>
                <w:color w:val="202020"/>
                <w:sz w:val="19"/>
              </w:rPr>
              <w:t>SourceSystem</w:t>
            </w:r>
          </w:p>
        </w:tc>
        <w:tc>
          <w:tcPr>
            <w:tcW w:type="dxa" w:w="3560"/>
            <w:shd w:val="clear" w:color="auto" w:fill="F7F9FC"/>
          </w:tcPr>
          <w:p>
            <w:r>
              <w:rPr>
                <w:color w:val="202020"/>
                <w:sz w:val="19"/>
              </w:rPr>
              <w:t xml:space="preserve">Always </w:t>
            </w:r>
            <w:r>
              <w:rPr>
                <w:rFonts w:ascii="Consolas" w:hAnsi="Consolas"/>
                <w:color w:val="202020"/>
                <w:sz w:val="19"/>
              </w:rPr>
              <w:t>BDH-Hadoop</w:t>
            </w:r>
          </w:p>
        </w:tc>
        <w:tc>
          <w:tcPr>
            <w:tcW w:type="dxa" w:w="3600"/>
            <w:shd w:val="clear" w:color="auto" w:fill="F7F9FC"/>
          </w:tcPr>
          <w:p>
            <w:r>
              <w:rPr>
                <w:color w:val="202020"/>
                <w:sz w:val="19"/>
              </w:rPr>
              <w:t>Marks the item as coming from the cheap path</w:t>
            </w:r>
          </w:p>
        </w:tc>
      </w:tr>
      <w:tr>
        <w:tc>
          <w:tcPr>
            <w:tcW w:type="dxa" w:w="2200"/>
          </w:tcPr>
          <w:p>
            <w:r>
              <w:rPr>
                <w:rFonts w:ascii="Consolas" w:hAnsi="Consolas"/>
                <w:color w:val="202020"/>
                <w:sz w:val="19"/>
              </w:rPr>
              <w:t>DataAsOf</w:t>
            </w:r>
          </w:p>
        </w:tc>
        <w:tc>
          <w:tcPr>
            <w:tcW w:type="dxa" w:w="3560"/>
          </w:tcPr>
          <w:p>
            <w:r>
              <w:rPr>
                <w:color w:val="202020"/>
                <w:sz w:val="19"/>
              </w:rPr>
              <w:t xml:space="preserve">The partition </w:t>
            </w:r>
            <w:r>
              <w:rPr>
                <w:rFonts w:ascii="Consolas" w:hAnsi="Consolas"/>
                <w:color w:val="202020"/>
                <w:sz w:val="19"/>
              </w:rPr>
              <w:t>dt</w:t>
            </w:r>
            <w:r>
              <w:rPr>
                <w:color w:val="202020"/>
                <w:sz w:val="19"/>
              </w:rPr>
              <w:t xml:space="preserve"> (or file sync date)</w:t>
            </w:r>
          </w:p>
        </w:tc>
        <w:tc>
          <w:tcPr>
            <w:tcW w:type="dxa" w:w="3600"/>
          </w:tcPr>
          <w:p>
            <w:r>
              <w:rPr>
                <w:color w:val="202020"/>
                <w:sz w:val="19"/>
              </w:rPr>
              <w:t xml:space="preserve">Shows how old the data is (see </w:t>
            </w:r>
            <w:r>
              <w:rPr>
                <w:b/>
                <w:color w:val="202020"/>
                <w:sz w:val="19"/>
              </w:rPr>
              <w:t>Section 8</w:t>
            </w:r>
            <w:r>
              <w:rPr>
                <w:color w:val="202020"/>
                <w:sz w:val="19"/>
              </w:rPr>
              <w:t>)</w:t>
            </w:r>
          </w:p>
        </w:tc>
      </w:tr>
      <w:tr>
        <w:tc>
          <w:tcPr>
            <w:tcW w:type="dxa" w:w="2200"/>
            <w:shd w:val="clear" w:color="auto" w:fill="F7F9FC"/>
          </w:tcPr>
          <w:p>
            <w:r>
              <w:rPr>
                <w:rFonts w:ascii="Consolas" w:hAnsi="Consolas"/>
                <w:color w:val="202020"/>
                <w:sz w:val="19"/>
              </w:rPr>
              <w:t>SensitivityLabel</w:t>
            </w:r>
            <w:r>
              <w:rPr>
                <w:color w:val="202020"/>
                <w:sz w:val="19"/>
              </w:rPr>
              <w:t xml:space="preserve">, </w:t>
            </w:r>
            <w:r>
              <w:rPr>
                <w:rFonts w:ascii="Consolas" w:hAnsi="Consolas"/>
                <w:color w:val="202020"/>
                <w:sz w:val="19"/>
              </w:rPr>
              <w:t>DetectedCategories</w:t>
            </w:r>
          </w:p>
        </w:tc>
        <w:tc>
          <w:tcPr>
            <w:tcW w:type="dxa" w:w="3560"/>
            <w:shd w:val="clear" w:color="auto" w:fill="F7F9FC"/>
          </w:tcPr>
          <w:p>
            <w:r>
              <w:rPr>
                <w:color w:val="202020"/>
                <w:sz w:val="19"/>
              </w:rPr>
              <w:t>Added only when classification is on</w:t>
            </w:r>
          </w:p>
        </w:tc>
        <w:tc>
          <w:tcPr>
            <w:tcW w:type="dxa" w:w="3600"/>
            <w:shd w:val="clear" w:color="auto" w:fill="F7F9FC"/>
          </w:tcPr>
          <w:p>
            <w:r>
              <w:rPr>
                <w:color w:val="202020"/>
                <w:sz w:val="19"/>
              </w:rPr>
              <w:t xml:space="preserve">Advisory connector-applied classification tag — NOT a Purview-enforced label (off by default; </w:t>
            </w:r>
            <w:r>
              <w:rPr>
                <w:b/>
                <w:color w:val="202020"/>
                <w:sz w:val="19"/>
              </w:rPr>
              <w:t>Section 14.9</w:t>
            </w:r>
            <w:r>
              <w:rPr>
                <w:color w:val="202020"/>
                <w:sz w:val="19"/>
              </w:rPr>
              <w:t>)</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color w:val="202020"/>
                <w:sz w:val="20"/>
              </w:rPr>
              <w:t xml:space="preserve">Point </w:t>
            </w:r>
            <w:r>
              <w:rPr>
                <w:rFonts w:ascii="Consolas" w:hAnsi="Consolas"/>
                <w:color w:val="202020"/>
                <w:sz w:val="19"/>
              </w:rPr>
              <w:t>ITEM_URL_BASE</w:t>
            </w:r>
            <w:r>
              <w:rPr>
                <w:color w:val="202020"/>
                <w:sz w:val="20"/>
              </w:rPr>
              <w:t xml:space="preserve"> at your </w:t>
            </w:r>
            <w:r>
              <w:rPr>
                <w:b/>
                <w:color w:val="202020"/>
                <w:sz w:val="20"/>
              </w:rPr>
              <w:t>live</w:t>
            </w:r>
            <w:r>
              <w:rPr>
                <w:color w:val="202020"/>
                <w:sz w:val="20"/>
              </w:rPr>
              <w:t xml:space="preserve"> Salesforce org (for example </w:t>
            </w:r>
            <w:r>
              <w:rPr>
                <w:rFonts w:ascii="Consolas" w:hAnsi="Consolas"/>
                <w:color w:val="202020"/>
                <w:sz w:val="19"/>
              </w:rPr>
              <w:t>https://your-org.lightning.force.com</w:t>
            </w:r>
            <w:r>
              <w:rPr>
                <w:color w:val="202020"/>
                <w:sz w:val="20"/>
              </w:rPr>
              <w:t>). The indexed data is up to a day old, but the result card should deep-link to the current record — and because the ids are identical, that link always resolves.</w:t>
            </w:r>
          </w:p>
        </w:tc>
      </w:tr>
    </w:tbl>
    <w:p>
      <w:pPr>
        <w:spacing w:after="40"/>
      </w:pPr>
    </w:p>
    <w:p>
      <w:pPr>
        <w:pStyle w:val="Heading2"/>
      </w:pPr>
      <w:r>
        <w:rPr>
          <w:color w:val="2E5496"/>
        </w:rPr>
        <w:t>5.3 Field mapping and the searchable body</w:t>
      </w:r>
    </w:p>
    <w:p>
      <w:pPr>
        <w:spacing w:after="120"/>
      </w:pPr>
      <w:r>
        <w:rPr>
          <w:color w:val="202020"/>
        </w:rPr>
        <w:t xml:space="preserve">Which BDH columns become which Graph properties is set per object type in </w:t>
      </w:r>
      <w:r>
        <w:rPr>
          <w:rFonts w:ascii="Consolas" w:hAnsi="Consolas"/>
          <w:color w:val="202020"/>
          <w:sz w:val="19"/>
        </w:rPr>
        <w:t>config/schema.json</w:t>
      </w:r>
      <w:r>
        <w:rPr>
          <w:color w:val="202020"/>
        </w:rPr>
        <w:t xml:space="preserve">. As a worked example, here is the shipped </w:t>
      </w:r>
      <w:r>
        <w:rPr>
          <w:rFonts w:ascii="Consolas" w:hAnsi="Consolas"/>
          <w:color w:val="202020"/>
          <w:sz w:val="19"/>
        </w:rPr>
        <w:t>Contact</w:t>
      </w:r>
      <w:r>
        <w:rPr>
          <w:color w:val="202020"/>
        </w:rPr>
        <w:t xml:space="preserve"> mapping:</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4680"/>
        <w:gridCol w:w="4680"/>
      </w:tblGrid>
      <w:tr>
        <w:tc>
          <w:tcPr>
            <w:tcW w:type="dxa" w:w="4680"/>
            <w:shd w:val="clear" w:color="auto" w:fill="2E5496"/>
          </w:tcPr>
          <w:p>
            <w:r>
              <w:rPr>
                <w:b/>
                <w:color w:val="FFFFFF"/>
                <w:sz w:val="19"/>
              </w:rPr>
              <w:t>BDH column</w:t>
            </w:r>
          </w:p>
        </w:tc>
        <w:tc>
          <w:tcPr>
            <w:tcW w:type="dxa" w:w="4680"/>
            <w:shd w:val="clear" w:color="auto" w:fill="2E5496"/>
          </w:tcPr>
          <w:p>
            <w:r>
              <w:rPr>
                <w:b/>
                <w:color w:val="FFFFFF"/>
                <w:sz w:val="19"/>
              </w:rPr>
              <w:t>Becomes</w:t>
            </w:r>
          </w:p>
        </w:tc>
      </w:tr>
      <w:tr>
        <w:tc>
          <w:tcPr>
            <w:tcW w:type="dxa" w:w="4680"/>
          </w:tcPr>
          <w:p>
            <w:r>
              <w:rPr>
                <w:rFonts w:ascii="Consolas" w:hAnsi="Consolas"/>
                <w:color w:val="202020"/>
                <w:sz w:val="19"/>
              </w:rPr>
              <w:t>Name</w:t>
            </w:r>
          </w:p>
        </w:tc>
        <w:tc>
          <w:tcPr>
            <w:tcW w:type="dxa" w:w="4680"/>
          </w:tcPr>
          <w:p>
            <w:r>
              <w:rPr>
                <w:rFonts w:ascii="Consolas" w:hAnsi="Consolas"/>
                <w:color w:val="202020"/>
                <w:sz w:val="19"/>
              </w:rPr>
              <w:t>Title</w:t>
            </w:r>
          </w:p>
        </w:tc>
      </w:tr>
      <w:tr>
        <w:tc>
          <w:tcPr>
            <w:tcW w:type="dxa" w:w="4680"/>
            <w:shd w:val="clear" w:color="auto" w:fill="F7F9FC"/>
          </w:tcPr>
          <w:p>
            <w:r>
              <w:rPr>
                <w:rFonts w:ascii="Consolas" w:hAnsi="Consolas"/>
                <w:color w:val="202020"/>
                <w:sz w:val="19"/>
              </w:rPr>
              <w:t>Email</w:t>
            </w:r>
          </w:p>
        </w:tc>
        <w:tc>
          <w:tcPr>
            <w:tcW w:type="dxa" w:w="4680"/>
            <w:shd w:val="clear" w:color="auto" w:fill="F7F9FC"/>
          </w:tcPr>
          <w:p>
            <w:r>
              <w:rPr>
                <w:rFonts w:ascii="Consolas" w:hAnsi="Consolas"/>
                <w:color w:val="202020"/>
                <w:sz w:val="19"/>
              </w:rPr>
              <w:t>Email</w:t>
            </w:r>
          </w:p>
        </w:tc>
      </w:tr>
      <w:tr>
        <w:tc>
          <w:tcPr>
            <w:tcW w:type="dxa" w:w="4680"/>
          </w:tcPr>
          <w:p>
            <w:r>
              <w:rPr>
                <w:rFonts w:ascii="Consolas" w:hAnsi="Consolas"/>
                <w:color w:val="202020"/>
                <w:sz w:val="19"/>
              </w:rPr>
              <w:t>Phone</w:t>
            </w:r>
          </w:p>
        </w:tc>
        <w:tc>
          <w:tcPr>
            <w:tcW w:type="dxa" w:w="4680"/>
          </w:tcPr>
          <w:p>
            <w:r>
              <w:rPr>
                <w:rFonts w:ascii="Consolas" w:hAnsi="Consolas"/>
                <w:color w:val="202020"/>
                <w:sz w:val="19"/>
              </w:rPr>
              <w:t>Phone</w:t>
            </w:r>
          </w:p>
        </w:tc>
      </w:tr>
      <w:tr>
        <w:tc>
          <w:tcPr>
            <w:tcW w:type="dxa" w:w="4680"/>
            <w:shd w:val="clear" w:color="auto" w:fill="F7F9FC"/>
          </w:tcPr>
          <w:p>
            <w:r>
              <w:rPr>
                <w:rFonts w:ascii="Consolas" w:hAnsi="Consolas"/>
                <w:color w:val="202020"/>
                <w:sz w:val="19"/>
              </w:rPr>
              <w:t>Title</w:t>
            </w:r>
          </w:p>
        </w:tc>
        <w:tc>
          <w:tcPr>
            <w:tcW w:type="dxa" w:w="4680"/>
            <w:shd w:val="clear" w:color="auto" w:fill="F7F9FC"/>
          </w:tcPr>
          <w:p>
            <w:r>
              <w:rPr>
                <w:rFonts w:ascii="Consolas" w:hAnsi="Consolas"/>
                <w:color w:val="202020"/>
                <w:sz w:val="19"/>
              </w:rPr>
              <w:t>JobTitle</w:t>
            </w:r>
          </w:p>
        </w:tc>
      </w:tr>
      <w:tr>
        <w:tc>
          <w:tcPr>
            <w:tcW w:type="dxa" w:w="4680"/>
          </w:tcPr>
          <w:p>
            <w:r>
              <w:rPr>
                <w:rFonts w:ascii="Consolas" w:hAnsi="Consolas"/>
                <w:color w:val="202020"/>
                <w:sz w:val="19"/>
              </w:rPr>
              <w:t>AccountId</w:t>
            </w:r>
            <w:r>
              <w:rPr>
                <w:color w:val="202020"/>
                <w:sz w:val="19"/>
              </w:rPr>
              <w:t xml:space="preserve"> / </w:t>
            </w:r>
            <w:r>
              <w:rPr>
                <w:rFonts w:ascii="Consolas" w:hAnsi="Consolas"/>
                <w:color w:val="202020"/>
                <w:sz w:val="19"/>
              </w:rPr>
              <w:t>AccountName</w:t>
            </w:r>
          </w:p>
        </w:tc>
        <w:tc>
          <w:tcPr>
            <w:tcW w:type="dxa" w:w="4680"/>
          </w:tcPr>
          <w:p>
            <w:r>
              <w:rPr>
                <w:rFonts w:ascii="Consolas" w:hAnsi="Consolas"/>
                <w:color w:val="202020"/>
                <w:sz w:val="19"/>
              </w:rPr>
              <w:t>AccountId</w:t>
            </w:r>
            <w:r>
              <w:rPr>
                <w:color w:val="202020"/>
                <w:sz w:val="19"/>
              </w:rPr>
              <w:t xml:space="preserve"> / </w:t>
            </w:r>
            <w:r>
              <w:rPr>
                <w:rFonts w:ascii="Consolas" w:hAnsi="Consolas"/>
                <w:color w:val="202020"/>
                <w:sz w:val="19"/>
              </w:rPr>
              <w:t>AccountName</w:t>
            </w:r>
          </w:p>
        </w:tc>
      </w:tr>
      <w:tr>
        <w:tc>
          <w:tcPr>
            <w:tcW w:type="dxa" w:w="4680"/>
            <w:shd w:val="clear" w:color="auto" w:fill="F7F9FC"/>
          </w:tcPr>
          <w:p>
            <w:r>
              <w:rPr>
                <w:rFonts w:ascii="Consolas" w:hAnsi="Consolas"/>
                <w:color w:val="202020"/>
                <w:sz w:val="19"/>
              </w:rPr>
              <w:t>Department</w:t>
            </w:r>
          </w:p>
        </w:tc>
        <w:tc>
          <w:tcPr>
            <w:tcW w:type="dxa" w:w="4680"/>
            <w:shd w:val="clear" w:color="auto" w:fill="F7F9FC"/>
          </w:tcPr>
          <w:p>
            <w:r>
              <w:rPr>
                <w:rFonts w:ascii="Consolas" w:hAnsi="Consolas"/>
                <w:color w:val="202020"/>
                <w:sz w:val="19"/>
              </w:rPr>
              <w:t>Department</w:t>
            </w:r>
          </w:p>
        </w:tc>
      </w:tr>
      <w:tr>
        <w:tc>
          <w:tcPr>
            <w:tcW w:type="dxa" w:w="4680"/>
          </w:tcPr>
          <w:p>
            <w:r>
              <w:rPr>
                <w:rFonts w:ascii="Consolas" w:hAnsi="Consolas"/>
                <w:color w:val="202020"/>
                <w:sz w:val="19"/>
              </w:rPr>
              <w:t>MailingCity</w:t>
            </w:r>
            <w:r>
              <w:rPr>
                <w:color w:val="202020"/>
                <w:sz w:val="19"/>
              </w:rPr>
              <w:t xml:space="preserve"> / </w:t>
            </w:r>
            <w:r>
              <w:rPr>
                <w:rFonts w:ascii="Consolas" w:hAnsi="Consolas"/>
                <w:color w:val="202020"/>
                <w:sz w:val="19"/>
              </w:rPr>
              <w:t>MailingCountry</w:t>
            </w:r>
          </w:p>
        </w:tc>
        <w:tc>
          <w:tcPr>
            <w:tcW w:type="dxa" w:w="4680"/>
          </w:tcPr>
          <w:p>
            <w:r>
              <w:rPr>
                <w:rFonts w:ascii="Consolas" w:hAnsi="Consolas"/>
                <w:color w:val="202020"/>
                <w:sz w:val="19"/>
              </w:rPr>
              <w:t>City</w:t>
            </w:r>
            <w:r>
              <w:rPr>
                <w:color w:val="202020"/>
                <w:sz w:val="19"/>
              </w:rPr>
              <w:t xml:space="preserve"> / </w:t>
            </w:r>
            <w:r>
              <w:rPr>
                <w:rFonts w:ascii="Consolas" w:hAnsi="Consolas"/>
                <w:color w:val="202020"/>
                <w:sz w:val="19"/>
              </w:rPr>
              <w:t>Country</w:t>
            </w:r>
          </w:p>
        </w:tc>
      </w:tr>
      <w:tr>
        <w:tc>
          <w:tcPr>
            <w:tcW w:type="dxa" w:w="4680"/>
            <w:shd w:val="clear" w:color="auto" w:fill="F7F9FC"/>
          </w:tcPr>
          <w:p>
            <w:r>
              <w:rPr>
                <w:rFonts w:ascii="Consolas" w:hAnsi="Consolas"/>
                <w:color w:val="202020"/>
                <w:sz w:val="19"/>
              </w:rPr>
              <w:t>Description</w:t>
            </w:r>
          </w:p>
        </w:tc>
        <w:tc>
          <w:tcPr>
            <w:tcW w:type="dxa" w:w="4680"/>
            <w:shd w:val="clear" w:color="auto" w:fill="F7F9FC"/>
          </w:tcPr>
          <w:p>
            <w:r>
              <w:rPr>
                <w:rFonts w:ascii="Consolas" w:hAnsi="Consolas"/>
                <w:color w:val="202020"/>
                <w:sz w:val="19"/>
              </w:rPr>
              <w:t>_bdh_Description</w:t>
            </w:r>
            <w:r>
              <w:rPr>
                <w:color w:val="202020"/>
                <w:sz w:val="19"/>
              </w:rPr>
              <w:t xml:space="preserve"> — searchable text body, not a property</w:t>
            </w:r>
          </w:p>
        </w:tc>
      </w:tr>
      <w:tr>
        <w:tc>
          <w:tcPr>
            <w:tcW w:type="dxa" w:w="4680"/>
          </w:tcPr>
          <w:p>
            <w:r>
              <w:rPr>
                <w:rFonts w:ascii="Consolas" w:hAnsi="Consolas"/>
                <w:color w:val="202020"/>
                <w:sz w:val="19"/>
              </w:rPr>
              <w:t>SystemModstamp</w:t>
            </w:r>
          </w:p>
        </w:tc>
        <w:tc>
          <w:tcPr>
            <w:tcW w:type="dxa" w:w="4680"/>
          </w:tcPr>
          <w:p>
            <w:r>
              <w:rPr>
                <w:rFonts w:ascii="Consolas" w:hAnsi="Consolas"/>
                <w:color w:val="202020"/>
                <w:sz w:val="19"/>
              </w:rPr>
              <w:t>LastModified</w:t>
            </w:r>
          </w:p>
        </w:tc>
      </w:tr>
    </w:tbl>
    <w:p>
      <w:pPr>
        <w:spacing w:after="40"/>
      </w:pPr>
    </w:p>
    <w:p>
      <w:pPr>
        <w:spacing w:after="120"/>
      </w:pPr>
      <w:r>
        <w:rPr>
          <w:color w:val="202020"/>
        </w:rPr>
        <w:t xml:space="preserve">A mapping value that starts with </w:t>
      </w:r>
      <w:r>
        <w:rPr>
          <w:rFonts w:ascii="Consolas" w:hAnsi="Consolas"/>
          <w:color w:val="202020"/>
          <w:sz w:val="19"/>
        </w:rPr>
        <w:t>_bdh_</w:t>
      </w:r>
      <w:r>
        <w:rPr>
          <w:color w:val="202020"/>
        </w:rPr>
        <w:t xml:space="preserve"> (like </w:t>
      </w:r>
      <w:r>
        <w:rPr>
          <w:rFonts w:ascii="Consolas" w:hAnsi="Consolas"/>
          <w:color w:val="202020"/>
          <w:sz w:val="19"/>
        </w:rPr>
        <w:t>_bdh_Description</w:t>
      </w:r>
      <w:r>
        <w:rPr>
          <w:color w:val="202020"/>
        </w:rPr>
        <w:t xml:space="preserve">) is not written as a property — instead its text is folded into the item's </w:t>
      </w:r>
      <w:r>
        <w:rPr>
          <w:b/>
          <w:color w:val="202020"/>
        </w:rPr>
        <w:t>searchable content body</w:t>
      </w:r>
      <w:r>
        <w:rPr>
          <w:color w:val="202020"/>
        </w:rPr>
        <w:t>, along with the display name and a final "Data as of" line. That body is what Copilot reads when it grounds an answer. Columns you do not list are simply not indexed; custom columns are fully supported — just add them to the mapping.</w:t>
      </w:r>
    </w:p>
    <w:p>
      <w:pPr>
        <w:pStyle w:val="Heading2"/>
      </w:pPr>
      <w:r>
        <w:rPr>
          <w:color w:val="2E5496"/>
        </w:rPr>
        <w:t>5.4 The objects shipped by default</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600"/>
        <w:gridCol w:w="3200"/>
        <w:gridCol w:w="3560"/>
      </w:tblGrid>
      <w:tr>
        <w:tc>
          <w:tcPr>
            <w:tcW w:type="dxa" w:w="2600"/>
            <w:shd w:val="clear" w:color="auto" w:fill="2E5496"/>
          </w:tcPr>
          <w:p>
            <w:r>
              <w:rPr>
                <w:b/>
                <w:color w:val="FFFFFF"/>
                <w:sz w:val="19"/>
              </w:rPr>
              <w:t>Object (BDH)</w:t>
            </w:r>
          </w:p>
        </w:tc>
        <w:tc>
          <w:tcPr>
            <w:tcW w:type="dxa" w:w="3200"/>
            <w:shd w:val="clear" w:color="auto" w:fill="2E5496"/>
          </w:tcPr>
          <w:p>
            <w:r>
              <w:rPr>
                <w:b/>
                <w:color w:val="FFFFFF"/>
                <w:sz w:val="19"/>
              </w:rPr>
              <w:t>Shown in Copilot as</w:t>
            </w:r>
          </w:p>
        </w:tc>
        <w:tc>
          <w:tcPr>
            <w:tcW w:type="dxa" w:w="3560"/>
            <w:shd w:val="clear" w:color="auto" w:fill="2E5496"/>
          </w:tcPr>
          <w:p>
            <w:r>
              <w:rPr>
                <w:b/>
                <w:color w:val="FFFFFF"/>
                <w:sz w:val="19"/>
              </w:rPr>
              <w:t>Default ACL mode</w:t>
            </w:r>
          </w:p>
        </w:tc>
      </w:tr>
      <w:tr>
        <w:tc>
          <w:tcPr>
            <w:tcW w:type="dxa" w:w="2600"/>
          </w:tcPr>
          <w:p>
            <w:r>
              <w:rPr>
                <w:rFonts w:ascii="Consolas" w:hAnsi="Consolas"/>
                <w:color w:val="202020"/>
                <w:sz w:val="19"/>
              </w:rPr>
              <w:t>Contact</w:t>
            </w:r>
          </w:p>
        </w:tc>
        <w:tc>
          <w:tcPr>
            <w:tcW w:type="dxa" w:w="3200"/>
          </w:tcPr>
          <w:p>
            <w:r>
              <w:rPr>
                <w:color w:val="202020"/>
                <w:sz w:val="19"/>
              </w:rPr>
              <w:t>Contact</w:t>
            </w:r>
          </w:p>
        </w:tc>
        <w:tc>
          <w:tcPr>
            <w:tcW w:type="dxa" w:w="3560"/>
          </w:tcPr>
          <w:p>
            <w:r>
              <w:rPr>
                <w:rFonts w:ascii="Consolas" w:hAnsi="Consolas"/>
                <w:color w:val="202020"/>
                <w:sz w:val="19"/>
              </w:rPr>
              <w:t>ownerOnly</w:t>
            </w:r>
          </w:p>
        </w:tc>
      </w:tr>
      <w:tr>
        <w:tc>
          <w:tcPr>
            <w:tcW w:type="dxa" w:w="2600"/>
            <w:shd w:val="clear" w:color="auto" w:fill="F7F9FC"/>
          </w:tcPr>
          <w:p>
            <w:r>
              <w:rPr>
                <w:rFonts w:ascii="Consolas" w:hAnsi="Consolas"/>
                <w:color w:val="202020"/>
                <w:sz w:val="19"/>
              </w:rPr>
              <w:t>Account</w:t>
            </w:r>
          </w:p>
        </w:tc>
        <w:tc>
          <w:tcPr>
            <w:tcW w:type="dxa" w:w="3200"/>
            <w:shd w:val="clear" w:color="auto" w:fill="F7F9FC"/>
          </w:tcPr>
          <w:p>
            <w:r>
              <w:rPr>
                <w:color w:val="202020"/>
                <w:sz w:val="19"/>
              </w:rPr>
              <w:t>Client</w:t>
            </w:r>
          </w:p>
        </w:tc>
        <w:tc>
          <w:tcPr>
            <w:tcW w:type="dxa" w:w="3560"/>
            <w:shd w:val="clear" w:color="auto" w:fill="F7F9FC"/>
          </w:tcPr>
          <w:p>
            <w:r>
              <w:rPr>
                <w:rFonts w:ascii="Consolas" w:hAnsi="Consolas"/>
                <w:color w:val="202020"/>
                <w:sz w:val="19"/>
              </w:rPr>
              <w:t>group</w:t>
            </w:r>
            <w:r>
              <w:rPr>
                <w:color w:val="202020"/>
                <w:sz w:val="19"/>
              </w:rPr>
              <w:t xml:space="preserve"> (fixed Entra group)</w:t>
            </w:r>
          </w:p>
        </w:tc>
      </w:tr>
      <w:tr>
        <w:tc>
          <w:tcPr>
            <w:tcW w:type="dxa" w:w="2600"/>
          </w:tcPr>
          <w:p>
            <w:r>
              <w:rPr>
                <w:rFonts w:ascii="Consolas" w:hAnsi="Consolas"/>
                <w:color w:val="202020"/>
                <w:sz w:val="19"/>
              </w:rPr>
              <w:t>Opportunity</w:t>
            </w:r>
          </w:p>
        </w:tc>
        <w:tc>
          <w:tcPr>
            <w:tcW w:type="dxa" w:w="3200"/>
          </w:tcPr>
          <w:p>
            <w:r>
              <w:rPr>
                <w:color w:val="202020"/>
                <w:sz w:val="19"/>
              </w:rPr>
              <w:t>Opportunity</w:t>
            </w:r>
          </w:p>
        </w:tc>
        <w:tc>
          <w:tcPr>
            <w:tcW w:type="dxa" w:w="3560"/>
          </w:tcPr>
          <w:p>
            <w:r>
              <w:rPr>
                <w:rFonts w:ascii="Consolas" w:hAnsi="Consolas"/>
                <w:color w:val="202020"/>
                <w:sz w:val="19"/>
              </w:rPr>
              <w:t>ownerOnly</w:t>
            </w:r>
          </w:p>
        </w:tc>
      </w:tr>
      <w:tr>
        <w:tc>
          <w:tcPr>
            <w:tcW w:type="dxa" w:w="2600"/>
            <w:shd w:val="clear" w:color="auto" w:fill="F7F9FC"/>
          </w:tcPr>
          <w:p>
            <w:r>
              <w:rPr>
                <w:rFonts w:ascii="Consolas" w:hAnsi="Consolas"/>
                <w:color w:val="202020"/>
                <w:sz w:val="19"/>
              </w:rPr>
              <w:t>Case</w:t>
            </w:r>
          </w:p>
        </w:tc>
        <w:tc>
          <w:tcPr>
            <w:tcW w:type="dxa" w:w="3200"/>
            <w:shd w:val="clear" w:color="auto" w:fill="F7F9FC"/>
          </w:tcPr>
          <w:p>
            <w:r>
              <w:rPr>
                <w:color w:val="202020"/>
                <w:sz w:val="19"/>
              </w:rPr>
              <w:t>Case</w:t>
            </w:r>
          </w:p>
        </w:tc>
        <w:tc>
          <w:tcPr>
            <w:tcW w:type="dxa" w:w="3560"/>
            <w:shd w:val="clear" w:color="auto" w:fill="F7F9FC"/>
          </w:tcPr>
          <w:p>
            <w:r>
              <w:rPr>
                <w:rFonts w:ascii="Consolas" w:hAnsi="Consolas"/>
                <w:color w:val="202020"/>
                <w:sz w:val="19"/>
              </w:rPr>
              <w:t>ownerOnly</w:t>
            </w:r>
          </w:p>
        </w:tc>
      </w:tr>
      <w:tr>
        <w:tc>
          <w:tcPr>
            <w:tcW w:type="dxa" w:w="2600"/>
          </w:tcPr>
          <w:p>
            <w:r>
              <w:rPr>
                <w:rFonts w:ascii="Consolas" w:hAnsi="Consolas"/>
                <w:color w:val="202020"/>
                <w:sz w:val="19"/>
              </w:rPr>
              <w:t>Lead</w:t>
            </w:r>
          </w:p>
        </w:tc>
        <w:tc>
          <w:tcPr>
            <w:tcW w:type="dxa" w:w="3200"/>
          </w:tcPr>
          <w:p>
            <w:r>
              <w:rPr>
                <w:color w:val="202020"/>
                <w:sz w:val="19"/>
              </w:rPr>
              <w:t>Lead</w:t>
            </w:r>
          </w:p>
        </w:tc>
        <w:tc>
          <w:tcPr>
            <w:tcW w:type="dxa" w:w="3560"/>
          </w:tcPr>
          <w:p>
            <w:r>
              <w:rPr>
                <w:rFonts w:ascii="Consolas" w:hAnsi="Consolas"/>
                <w:color w:val="202020"/>
                <w:sz w:val="19"/>
              </w:rPr>
              <w:t>ownerOnly</w:t>
            </w:r>
          </w:p>
        </w:tc>
      </w:tr>
    </w:tbl>
    <w:p>
      <w:pPr>
        <w:spacing w:after="40"/>
      </w:pPr>
    </w:p>
    <w:p>
      <w:pPr>
        <w:spacing w:after="120"/>
      </w:pPr>
      <w:r>
        <w:rPr>
          <w:color w:val="202020"/>
        </w:rPr>
        <w:t xml:space="preserve">These are a sensible default set; adjust the object list, field mappings and ACL modes in </w:t>
      </w:r>
      <w:r>
        <w:rPr>
          <w:rFonts w:ascii="Consolas" w:hAnsi="Consolas"/>
          <w:color w:val="202020"/>
          <w:sz w:val="19"/>
        </w:rPr>
        <w:t>config/schema.json</w:t>
      </w:r>
      <w:r>
        <w:rPr>
          <w:color w:val="202020"/>
        </w:rPr>
        <w:t xml:space="preserve"> to match your BDH export.</w:t>
      </w:r>
    </w:p>
    <w:p>
      <w:pPr>
        <w:pStyle w:val="Heading2"/>
      </w:pPr>
      <w:r>
        <w:rPr>
          <w:color w:val="2E5496"/>
        </w:rPr>
        <w:t>5.5 The permission model — coarse by design</w:t>
      </w:r>
    </w:p>
    <w:p>
      <w:pPr>
        <w:spacing w:after="120"/>
      </w:pPr>
      <w:r>
        <w:rPr>
          <w:color w:val="202020"/>
        </w:rPr>
        <w:t xml:space="preserve">This is the most important thing to understand about the BDH connector. An </w:t>
      </w:r>
      <w:r>
        <w:rPr>
          <w:b/>
          <w:color w:val="202020"/>
        </w:rPr>
        <w:t>ACL</w:t>
      </w:r>
      <w:r>
        <w:rPr>
          <w:color w:val="202020"/>
        </w:rPr>
        <w:t xml:space="preserve"> (access control list) is the list of Entra ID identities allowed to see an item; Copilot only ever shows an item to someone on its ACL. Because BDH mirrors the Salesforce *data* but </w:t>
      </w:r>
      <w:r>
        <w:rPr>
          <w:b/>
          <w:color w:val="202020"/>
        </w:rPr>
        <w:t>not</w:t>
      </w:r>
      <w:r>
        <w:rPr>
          <w:color w:val="202020"/>
        </w:rPr>
        <w:t xml:space="preserve"> the Salesforce sharing tables, this connector cannot reproduce Salesforce's full sharing model. It offers three coarse modes, set per object with </w:t>
      </w:r>
      <w:r>
        <w:rPr>
          <w:rFonts w:ascii="Consolas" w:hAnsi="Consolas"/>
          <w:color w:val="202020"/>
          <w:sz w:val="19"/>
        </w:rPr>
        <w:t>aclMode</w:t>
      </w:r>
      <w:r>
        <w:rPr>
          <w:color w:val="202020"/>
        </w:rPr>
        <w:t>:</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800"/>
        <w:gridCol w:w="4000"/>
        <w:gridCol w:w="3560"/>
      </w:tblGrid>
      <w:tr>
        <w:tc>
          <w:tcPr>
            <w:tcW w:type="dxa" w:w="1800"/>
            <w:shd w:val="clear" w:color="auto" w:fill="2E5496"/>
          </w:tcPr>
          <w:p>
            <w:r>
              <w:rPr>
                <w:b/>
                <w:color w:val="FFFFFF"/>
                <w:sz w:val="19"/>
              </w:rPr>
              <w:t>Mode</w:t>
            </w:r>
          </w:p>
        </w:tc>
        <w:tc>
          <w:tcPr>
            <w:tcW w:type="dxa" w:w="4000"/>
            <w:shd w:val="clear" w:color="auto" w:fill="2E5496"/>
          </w:tcPr>
          <w:p>
            <w:r>
              <w:rPr>
                <w:b/>
                <w:color w:val="FFFFFF"/>
                <w:sz w:val="19"/>
              </w:rPr>
              <w:t>Who can see the item</w:t>
            </w:r>
          </w:p>
        </w:tc>
        <w:tc>
          <w:tcPr>
            <w:tcW w:type="dxa" w:w="3560"/>
            <w:shd w:val="clear" w:color="auto" w:fill="2E5496"/>
          </w:tcPr>
          <w:p>
            <w:r>
              <w:rPr>
                <w:b/>
                <w:color w:val="FFFFFF"/>
                <w:sz w:val="19"/>
              </w:rPr>
              <w:t>When to use it</w:t>
            </w:r>
          </w:p>
        </w:tc>
      </w:tr>
      <w:tr>
        <w:tc>
          <w:tcPr>
            <w:tcW w:type="dxa" w:w="1800"/>
          </w:tcPr>
          <w:p>
            <w:r>
              <w:rPr>
                <w:rFonts w:ascii="Consolas" w:hAnsi="Consolas"/>
                <w:color w:val="202020"/>
                <w:sz w:val="19"/>
              </w:rPr>
              <w:t>ownerOnly</w:t>
            </w:r>
            <w:r>
              <w:rPr>
                <w:color w:val="202020"/>
                <w:sz w:val="19"/>
              </w:rPr>
              <w:t xml:space="preserve"> (default)</w:t>
            </w:r>
          </w:p>
        </w:tc>
        <w:tc>
          <w:tcPr>
            <w:tcW w:type="dxa" w:w="4000"/>
          </w:tcPr>
          <w:p>
            <w:r>
              <w:rPr>
                <w:color w:val="202020"/>
                <w:sz w:val="19"/>
              </w:rPr>
              <w:t xml:space="preserve">Only the record's owner — </w:t>
            </w:r>
            <w:r>
              <w:rPr>
                <w:rFonts w:ascii="Consolas" w:hAnsi="Consolas"/>
                <w:color w:val="202020"/>
                <w:sz w:val="19"/>
              </w:rPr>
              <w:t>OwnerId</w:t>
            </w:r>
            <w:r>
              <w:rPr>
                <w:color w:val="202020"/>
                <w:sz w:val="19"/>
              </w:rPr>
              <w:t xml:space="preserve"> resolved to an Entra identity, with </w:t>
            </w:r>
            <w:r>
              <w:rPr>
                <w:rFonts w:ascii="Consolas" w:hAnsi="Consolas"/>
                <w:color w:val="202020"/>
                <w:sz w:val="19"/>
              </w:rPr>
              <w:t>OwnerEmail</w:t>
            </w:r>
            <w:r>
              <w:rPr>
                <w:color w:val="202020"/>
                <w:sz w:val="19"/>
              </w:rPr>
              <w:t xml:space="preserve"> as a fallback</w:t>
            </w:r>
          </w:p>
        </w:tc>
        <w:tc>
          <w:tcPr>
            <w:tcW w:type="dxa" w:w="3560"/>
          </w:tcPr>
          <w:p>
            <w:r>
              <w:rPr>
                <w:color w:val="202020"/>
                <w:sz w:val="19"/>
              </w:rPr>
              <w:t>Records that should stay with the person who owns them (Contact, Opportunity, Case, Lead)</w:t>
            </w:r>
          </w:p>
        </w:tc>
      </w:tr>
      <w:tr>
        <w:tc>
          <w:tcPr>
            <w:tcW w:type="dxa" w:w="1800"/>
            <w:shd w:val="clear" w:color="auto" w:fill="F7F9FC"/>
          </w:tcPr>
          <w:p>
            <w:r>
              <w:rPr>
                <w:rFonts w:ascii="Consolas" w:hAnsi="Consolas"/>
                <w:color w:val="202020"/>
                <w:sz w:val="19"/>
              </w:rPr>
              <w:t>group</w:t>
            </w:r>
          </w:p>
        </w:tc>
        <w:tc>
          <w:tcPr>
            <w:tcW w:type="dxa" w:w="4000"/>
            <w:shd w:val="clear" w:color="auto" w:fill="F7F9FC"/>
          </w:tcPr>
          <w:p>
            <w:r>
              <w:rPr>
                <w:color w:val="202020"/>
                <w:sz w:val="19"/>
              </w:rPr>
              <w:t>One fixed Entra group (</w:t>
            </w:r>
            <w:r>
              <w:rPr>
                <w:rFonts w:ascii="Consolas" w:hAnsi="Consolas"/>
                <w:color w:val="202020"/>
                <w:sz w:val="19"/>
              </w:rPr>
              <w:t>aclGroupId</w:t>
            </w:r>
            <w:r>
              <w:rPr>
                <w:color w:val="202020"/>
                <w:sz w:val="19"/>
              </w:rPr>
              <w:t>), e.g. an "all sales" group</w:t>
            </w:r>
          </w:p>
        </w:tc>
        <w:tc>
          <w:tcPr>
            <w:tcW w:type="dxa" w:w="3560"/>
            <w:shd w:val="clear" w:color="auto" w:fill="F7F9FC"/>
          </w:tcPr>
          <w:p>
            <w:r>
              <w:rPr>
                <w:color w:val="202020"/>
                <w:sz w:val="19"/>
              </w:rPr>
              <w:t>Objects the whole org or a team should see, e.g. Client/Account</w:t>
            </w:r>
          </w:p>
        </w:tc>
      </w:tr>
      <w:tr>
        <w:tc>
          <w:tcPr>
            <w:tcW w:type="dxa" w:w="1800"/>
          </w:tcPr>
          <w:p>
            <w:r>
              <w:rPr>
                <w:rFonts w:ascii="Consolas" w:hAnsi="Consolas"/>
                <w:color w:val="202020"/>
                <w:sz w:val="19"/>
              </w:rPr>
              <w:t>public</w:t>
            </w:r>
          </w:p>
        </w:tc>
        <w:tc>
          <w:tcPr>
            <w:tcW w:type="dxa" w:w="4000"/>
          </w:tcPr>
          <w:p>
            <w:r>
              <w:rPr>
                <w:color w:val="202020"/>
                <w:sz w:val="19"/>
              </w:rPr>
              <w:t>Everyone except guests</w:t>
            </w:r>
          </w:p>
        </w:tc>
        <w:tc>
          <w:tcPr>
            <w:tcW w:type="dxa" w:w="3560"/>
          </w:tcPr>
          <w:p>
            <w:r>
              <w:rPr>
                <w:color w:val="202020"/>
                <w:sz w:val="19"/>
              </w:rPr>
              <w:t>Genuine reference data everyone may see — an explicit, conscious opt-in</w:t>
            </w:r>
          </w:p>
        </w:tc>
      </w:tr>
    </w:tbl>
    <w:p>
      <w:pPr>
        <w:spacing w:after="40"/>
      </w:pPr>
    </w:p>
    <w:p>
      <w:pPr>
        <w:spacing w:after="120"/>
      </w:pPr>
      <w:r>
        <w:rPr>
          <w:color w:val="202020"/>
        </w:rPr>
        <w:t xml:space="preserve">Two optional settings adjust every resolved ACL: </w:t>
      </w:r>
      <w:r>
        <w:rPr>
          <w:rFonts w:ascii="Consolas" w:hAnsi="Consolas"/>
          <w:color w:val="202020"/>
          <w:sz w:val="19"/>
        </w:rPr>
        <w:t>BDH_ADMIN_GROUP_ID</w:t>
      </w:r>
      <w:r>
        <w:rPr>
          <w:color w:val="202020"/>
        </w:rPr>
        <w:t xml:space="preserve"> appends an operators/admin group to every non-public item, and </w:t>
      </w:r>
      <w:r>
        <w:rPr>
          <w:rFonts w:ascii="Consolas" w:hAnsi="Consolas"/>
          <w:color w:val="202020"/>
          <w:sz w:val="19"/>
        </w:rPr>
        <w:t>FALLBACK_ACL_GROUP_ID</w:t>
      </w:r>
      <w:r>
        <w:rPr>
          <w:color w:val="202020"/>
        </w:rPr>
        <w:t xml:space="preserve"> grants a default group </w:t>
      </w:r>
      <w:r>
        <w:rPr>
          <w:b/>
          <w:color w:val="202020"/>
        </w:rPr>
        <w:t>only</w:t>
      </w:r>
      <w:r>
        <w:rPr>
          <w:color w:val="202020"/>
        </w:rPr>
        <w:t xml:space="preserve"> when nothing else resolved. The fallback never widens an ACL that already resolved.</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How this differs from live Salesforce — and what it means for access. In Salesforce a record can be shared by role hierarchy, sharing rules or teams. None of that exists in BDH. Under </w:t>
            </w:r>
            <w:r>
              <w:rPr>
                <w:rFonts w:ascii="Consolas" w:hAnsi="Consolas"/>
                <w:color w:val="202020"/>
                <w:sz w:val="19"/>
              </w:rPr>
              <w:t>ownerOnly</w:t>
            </w:r>
            <w:r>
              <w:rPr>
                <w:color w:val="202020"/>
                <w:sz w:val="20"/>
              </w:rPr>
              <w:t xml:space="preserve">, a record that Salesforce shares with a whole team is visible </w:t>
            </w:r>
            <w:r>
              <w:rPr>
                <w:b/>
                <w:color w:val="202020"/>
                <w:sz w:val="20"/>
              </w:rPr>
              <w:t>only to its owner</w:t>
            </w:r>
            <w:r>
              <w:rPr>
                <w:color w:val="202020"/>
                <w:sz w:val="20"/>
              </w:rPr>
              <w:t xml:space="preserve"> here. If a record type's sharing matters beyond simple ownership, either set </w:t>
            </w:r>
            <w:r>
              <w:rPr>
                <w:rFonts w:ascii="Consolas" w:hAnsi="Consolas"/>
                <w:color w:val="202020"/>
                <w:sz w:val="19"/>
              </w:rPr>
              <w:t>aclMode=group</w:t>
            </w:r>
            <w:r>
              <w:rPr>
                <w:color w:val="202020"/>
                <w:sz w:val="20"/>
              </w:rPr>
              <w:t xml:space="preserve"> (or, consciously, </w:t>
            </w:r>
            <w:r>
              <w:rPr>
                <w:rFonts w:ascii="Consolas" w:hAnsi="Consolas"/>
                <w:color w:val="202020"/>
                <w:sz w:val="19"/>
              </w:rPr>
              <w:t>public</w:t>
            </w:r>
            <w:r>
              <w:rPr>
                <w:color w:val="202020"/>
                <w:sz w:val="20"/>
              </w:rPr>
              <w:t>), or index it with the live Salesforce connector instead. Do not assume Salesforce sharing semantics carry over.</w:t>
            </w:r>
          </w:p>
        </w:tc>
      </w:tr>
    </w:tbl>
    <w:p>
      <w:pPr>
        <w:spacing w:after="40"/>
      </w:pPr>
    </w:p>
    <w:p>
      <w:pPr>
        <w:spacing w:after="120"/>
      </w:pPr>
      <w:r>
        <w:rPr>
          <w:color w:val="202020"/>
        </w:rPr>
        <w:t>Two safety behaviours protect against accidental exposure:</w:t>
      </w:r>
    </w:p>
    <w:p>
      <w:pPr>
        <w:pStyle w:val="ListBullet"/>
        <w:spacing w:after="40"/>
      </w:pPr>
      <w:r>
        <w:rPr>
          <w:b/>
          <w:color w:val="202020"/>
        </w:rPr>
        <w:t>Zero-principal records are skipped, never made public.</w:t>
      </w:r>
      <w:r>
        <w:rPr>
          <w:color w:val="202020"/>
        </w:rPr>
        <w:t xml:space="preserve"> If a record resolves to no Entra identities at all (and no fallback group is set), it is not ingested — the connector never falls open to a world-readable item.</w:t>
      </w:r>
    </w:p>
    <w:p>
      <w:pPr>
        <w:pStyle w:val="ListBullet"/>
        <w:spacing w:after="40"/>
      </w:pPr>
      <w:r>
        <w:rPr>
          <w:b/>
          <w:color w:val="202020"/>
        </w:rPr>
        <w:t>An incomplete user directory fails loudly.</w:t>
      </w:r>
      <w:r>
        <w:rPr>
          <w:color w:val="202020"/>
        </w:rPr>
        <w:t xml:space="preserve"> ACLs depend on a directory of Salesforce users (see </w:t>
      </w:r>
      <w:r>
        <w:rPr>
          <w:b/>
          <w:color w:val="202020"/>
        </w:rPr>
        <w:t>Section 8</w:t>
      </w:r>
      <w:r>
        <w:rPr>
          <w:color w:val="202020"/>
        </w:rPr>
        <w:t xml:space="preserve"> and the runbook in </w:t>
      </w:r>
      <w:r>
        <w:rPr>
          <w:b/>
          <w:color w:val="202020"/>
        </w:rPr>
        <w:t>Section 13</w:t>
      </w:r>
      <w:r>
        <w:rPr>
          <w:color w:val="202020"/>
        </w:rPr>
        <w:t>). If that directory is only partially read, the connector refuses the sync rather than quietly applying coarse ACLs across the whole crawl.</w:t>
      </w:r>
    </w:p>
    <w:p>
      <w:r>
        <w:br w:type="page"/>
      </w:r>
    </w:p>
    <w:p>
      <w:pPr>
        <w:pStyle w:val="Heading1"/>
      </w:pPr>
      <w:r>
        <w:rPr>
          <w:color w:val="1F3864"/>
        </w:rPr>
        <w:t>6. The filter-first design (the signature feature)</w:t>
      </w:r>
    </w:p>
    <w:p>
      <w:pPr>
        <w:spacing w:after="200"/>
      </w:pPr>
      <w:r>
        <w:rPr>
          <w:color w:val="595959"/>
          <w:sz w:val="23"/>
        </w:rPr>
        <w:t>BDH holds more than 150 million rows. Indexing all of it is neither possible nor useful, so the connector is built filter-first: it is configured to read as little as possible. This is the connector's signature feature and the thing you will tune most often.</w:t>
      </w:r>
    </w:p>
    <w:p>
      <w:pPr>
        <w:pStyle w:val="Heading2"/>
      </w:pPr>
      <w:r>
        <w:rPr>
          <w:color w:val="2E5496"/>
        </w:rPr>
        <w:t>6.1 Why filtering is mandatory here</w:t>
      </w:r>
    </w:p>
    <w:p>
      <w:pPr>
        <w:spacing w:after="120"/>
      </w:pPr>
      <w:r>
        <w:rPr>
          <w:color w:val="202020"/>
        </w:rPr>
        <w:t xml:space="preserve">A single unfiltered object could mean scanning tens of millions of rows: hours of file reads, huge amounts of Graph write quota burned on records no one needs, and a self-inflicted outage. The filter layer, configured in </w:t>
      </w:r>
      <w:r>
        <w:rPr>
          <w:rFonts w:ascii="Consolas" w:hAnsi="Consolas"/>
          <w:color w:val="202020"/>
          <w:sz w:val="19"/>
        </w:rPr>
        <w:t>config/filters.json</w:t>
      </w:r>
      <w:r>
        <w:rPr>
          <w:color w:val="202020"/>
        </w:rPr>
        <w:t>, cuts the crawl down in three stages, run strictly in this order, each cheaper than the one it protects:</w:t>
      </w:r>
    </w:p>
    <w:p>
      <w:pPr>
        <w:pStyle w:val="ListBullet"/>
        <w:spacing w:after="40"/>
      </w:pPr>
      <w:r>
        <w:rPr>
          <w:b/>
          <w:color w:val="202020"/>
        </w:rPr>
        <w:t>Stage 1 — partition pruning (zero file reads).</w:t>
      </w:r>
      <w:r>
        <w:rPr>
          <w:color w:val="202020"/>
        </w:rPr>
        <w:t xml:space="preserve"> While walking the object's directories, the connector checks each </w:t>
      </w:r>
      <w:r>
        <w:rPr>
          <w:rFonts w:ascii="Consolas" w:hAnsi="Consolas"/>
          <w:color w:val="202020"/>
          <w:sz w:val="19"/>
        </w:rPr>
        <w:t>key=value</w:t>
      </w:r>
      <w:r>
        <w:rPr>
          <w:color w:val="202020"/>
        </w:rPr>
        <w:t xml:space="preserve"> folder against your partition rules and against the incremental watermark. A folder that fails is skipped entirely — none of its files are ever opened.</w:t>
      </w:r>
    </w:p>
    <w:p>
      <w:pPr>
        <w:pStyle w:val="ListBullet"/>
        <w:spacing w:after="40"/>
      </w:pPr>
      <w:r>
        <w:rPr>
          <w:b/>
          <w:color w:val="202020"/>
        </w:rPr>
        <w:t>Stage 2 — record predicates (streamed).</w:t>
      </w:r>
      <w:r>
        <w:rPr>
          <w:color w:val="202020"/>
        </w:rPr>
        <w:t xml:space="preserve"> Surviving files are read one row at a time and each row is tested against your record rules. Rejected rows are dropped before any permission resolution or Graph traffic.</w:t>
      </w:r>
    </w:p>
    <w:p>
      <w:pPr>
        <w:pStyle w:val="ListBullet"/>
        <w:spacing w:after="40"/>
      </w:pPr>
      <w:r>
        <w:rPr>
          <w:b/>
          <w:color w:val="202020"/>
        </w:rPr>
        <w:t>Stage 3 — the row cap (safety valve).</w:t>
      </w:r>
      <w:r>
        <w:rPr>
          <w:color w:val="202020"/>
        </w:rPr>
        <w:t xml:space="preserve"> If an object still yields more than </w:t>
      </w:r>
      <w:r>
        <w:rPr>
          <w:rFonts w:ascii="Consolas" w:hAnsi="Consolas"/>
          <w:color w:val="202020"/>
          <w:sz w:val="19"/>
        </w:rPr>
        <w:t>BDH_MAX_RECORDS_PER_OBJECT</w:t>
      </w:r>
      <w:r>
        <w:rPr>
          <w:color w:val="202020"/>
        </w:rPr>
        <w:t xml:space="preserve"> rows (default 500,000) the fetch stops, an alert fires, and the crawl is marked PARTIAL for that object. This is a failsafe, not a target.</w:t>
      </w:r>
    </w:p>
    <w:p>
      <w:pPr>
        <w:pStyle w:val="Heading2"/>
      </w:pPr>
      <w:r>
        <w:rPr>
          <w:color w:val="2E5496"/>
        </w:rPr>
        <w:t>6.2 Partition pruning — the highest-leverage filter</w:t>
      </w:r>
    </w:p>
    <w:p>
      <w:pPr>
        <w:spacing w:after="120"/>
      </w:pPr>
      <w:r>
        <w:rPr>
          <w:color w:val="202020"/>
        </w:rPr>
        <w:t>A record predicate still costs a full read of every surviving file; a partition rule costs a single directory listing. So whenever a constraint can be expressed on a partition key (</w:t>
      </w:r>
      <w:r>
        <w:rPr>
          <w:rFonts w:ascii="Consolas" w:hAnsi="Consolas"/>
          <w:color w:val="202020"/>
          <w:sz w:val="19"/>
        </w:rPr>
        <w:t>dt</w:t>
      </w:r>
      <w:r>
        <w:rPr>
          <w:color w:val="202020"/>
        </w:rPr>
        <w:t xml:space="preserve">, </w:t>
      </w:r>
      <w:r>
        <w:rPr>
          <w:rFonts w:ascii="Consolas" w:hAnsi="Consolas"/>
          <w:color w:val="202020"/>
          <w:sz w:val="19"/>
        </w:rPr>
        <w:t>region</w:t>
      </w:r>
      <w:r>
        <w:rPr>
          <w:color w:val="202020"/>
        </w:rPr>
        <w:t xml:space="preserve">, …), express it there. The single most valuable rule you can write is a date window on </w:t>
      </w:r>
      <w:r>
        <w:rPr>
          <w:rFonts w:ascii="Consolas" w:hAnsi="Consolas"/>
          <w:color w:val="202020"/>
          <w:sz w:val="19"/>
        </w:rPr>
        <w:t>dt</w:t>
      </w:r>
      <w:r>
        <w:rPr>
          <w:color w:val="202020"/>
        </w:rPr>
        <w:t>, which bounds the crawl to recent nightly loads no matter how large the table is:</w:t>
      </w:r>
    </w:p>
    <w:p>
      <w:pPr>
        <w:spacing w:after="160"/>
      </w:pPr>
      <w:r>
        <w:rPr>
          <w:rFonts w:ascii="Consolas" w:hAnsi="Consolas"/>
          <w:color w:val="202020"/>
          <w:sz w:val="19"/>
        </w:rPr>
        <w:t>{ "key": "dt", "op": "withinLastDays", "value": "450" }</w:t>
      </w:r>
    </w:p>
    <w:p>
      <w:pPr>
        <w:spacing w:after="120"/>
      </w:pPr>
      <w:r>
        <w:rPr>
          <w:color w:val="202020"/>
        </w:rPr>
        <w:t xml:space="preserve">Partition rules live under </w:t>
      </w:r>
      <w:r>
        <w:rPr>
          <w:rFonts w:ascii="Consolas" w:hAnsi="Consolas"/>
          <w:color w:val="202020"/>
          <w:sz w:val="19"/>
        </w:rPr>
        <w:t>partition</w:t>
      </w:r>
      <w:r>
        <w:rPr>
          <w:color w:val="202020"/>
        </w:rPr>
        <w:t xml:space="preserve"> in an object's filter and are an implicit AND (all must pass). A rule on a key that is simply absent at the current folder level never prunes — the key may appear deeper — so pruning only ever happens on a real mismatch.</w:t>
      </w:r>
    </w:p>
    <w:p>
      <w:pPr>
        <w:pStyle w:val="Heading2"/>
      </w:pPr>
      <w:r>
        <w:rPr>
          <w:color w:val="2E5496"/>
        </w:rPr>
        <w:t>6.3 Record predicates — the 14 operators</w:t>
      </w:r>
    </w:p>
    <w:p>
      <w:pPr>
        <w:spacing w:after="120"/>
      </w:pPr>
      <w:r>
        <w:rPr>
          <w:color w:val="202020"/>
        </w:rPr>
        <w:t xml:space="preserve">Record rules test the values inside each row. A single rule (a "predicate") names a </w:t>
      </w:r>
      <w:r>
        <w:rPr>
          <w:rFonts w:ascii="Consolas" w:hAnsi="Consolas"/>
          <w:color w:val="202020"/>
          <w:sz w:val="19"/>
        </w:rPr>
        <w:t>field</w:t>
      </w:r>
      <w:r>
        <w:rPr>
          <w:color w:val="202020"/>
        </w:rPr>
        <w:t xml:space="preserve">, an </w:t>
      </w:r>
      <w:r>
        <w:rPr>
          <w:rFonts w:ascii="Consolas" w:hAnsi="Consolas"/>
          <w:color w:val="202020"/>
          <w:sz w:val="19"/>
        </w:rPr>
        <w:t>op</w:t>
      </w:r>
      <w:r>
        <w:rPr>
          <w:color w:val="202020"/>
        </w:rPr>
        <w:t xml:space="preserve"> (operator), and an operand. Field lookup and string comparison are case-insensitive; the operand is always written as a JSON string in the file (</w:t>
      </w:r>
      <w:r>
        <w:rPr>
          <w:rFonts w:ascii="Consolas" w:hAnsi="Consolas"/>
          <w:color w:val="202020"/>
          <w:sz w:val="19"/>
        </w:rPr>
        <w:t>"value": "100000"</w:t>
      </w:r>
      <w:r>
        <w:rPr>
          <w:color w:val="202020"/>
        </w:rPr>
        <w:t>), and the type is worked out when the rule runs. There are 14 operators: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600"/>
        <w:gridCol w:w="3360"/>
        <w:gridCol w:w="4400"/>
      </w:tblGrid>
      <w:tr>
        <w:tc>
          <w:tcPr>
            <w:tcW w:type="dxa" w:w="1600"/>
            <w:shd w:val="clear" w:color="auto" w:fill="2E5496"/>
          </w:tcPr>
          <w:p>
            <w:r>
              <w:rPr>
                <w:b/>
                <w:color w:val="FFFFFF"/>
                <w:sz w:val="19"/>
              </w:rPr>
              <w:t>Operator</w:t>
            </w:r>
          </w:p>
        </w:tc>
        <w:tc>
          <w:tcPr>
            <w:tcW w:type="dxa" w:w="3360"/>
            <w:shd w:val="clear" w:color="auto" w:fill="2E5496"/>
          </w:tcPr>
          <w:p>
            <w:r>
              <w:rPr>
                <w:b/>
                <w:color w:val="FFFFFF"/>
                <w:sz w:val="19"/>
              </w:rPr>
              <w:t>Meaning</w:t>
            </w:r>
          </w:p>
        </w:tc>
        <w:tc>
          <w:tcPr>
            <w:tcW w:type="dxa" w:w="4400"/>
            <w:shd w:val="clear" w:color="auto" w:fill="2E5496"/>
          </w:tcPr>
          <w:p>
            <w:r>
              <w:rPr>
                <w:b/>
                <w:color w:val="FFFFFF"/>
                <w:sz w:val="19"/>
              </w:rPr>
              <w:t>Example predicate</w:t>
            </w:r>
          </w:p>
        </w:tc>
      </w:tr>
      <w:tr>
        <w:tc>
          <w:tcPr>
            <w:tcW w:type="dxa" w:w="1600"/>
          </w:tcPr>
          <w:p>
            <w:r>
              <w:rPr>
                <w:rFonts w:ascii="Consolas" w:hAnsi="Consolas"/>
                <w:color w:val="202020"/>
                <w:sz w:val="19"/>
              </w:rPr>
              <w:t>equals</w:t>
            </w:r>
          </w:p>
        </w:tc>
        <w:tc>
          <w:tcPr>
            <w:tcW w:type="dxa" w:w="3360"/>
          </w:tcPr>
          <w:p>
            <w:r>
              <w:rPr>
                <w:color w:val="202020"/>
                <w:sz w:val="19"/>
              </w:rPr>
              <w:t>Case-insensitive string equals</w:t>
            </w:r>
          </w:p>
        </w:tc>
        <w:tc>
          <w:tcPr>
            <w:tcW w:type="dxa" w:w="4400"/>
          </w:tcPr>
          <w:p>
            <w:r>
              <w:rPr>
                <w:rFonts w:ascii="Consolas" w:hAnsi="Consolas"/>
                <w:color w:val="202020"/>
                <w:sz w:val="19"/>
              </w:rPr>
              <w:t>{"field":"Status","op":"equals","value":"Active"}</w:t>
            </w:r>
          </w:p>
        </w:tc>
      </w:tr>
      <w:tr>
        <w:tc>
          <w:tcPr>
            <w:tcW w:type="dxa" w:w="1600"/>
            <w:shd w:val="clear" w:color="auto" w:fill="F7F9FC"/>
          </w:tcPr>
          <w:p>
            <w:r>
              <w:rPr>
                <w:rFonts w:ascii="Consolas" w:hAnsi="Consolas"/>
                <w:color w:val="202020"/>
                <w:sz w:val="19"/>
              </w:rPr>
              <w:t>notEquals</w:t>
            </w:r>
          </w:p>
        </w:tc>
        <w:tc>
          <w:tcPr>
            <w:tcW w:type="dxa" w:w="3360"/>
            <w:shd w:val="clear" w:color="auto" w:fill="F7F9FC"/>
          </w:tcPr>
          <w:p>
            <w:r>
              <w:rPr>
                <w:color w:val="202020"/>
                <w:sz w:val="19"/>
              </w:rPr>
              <w:t>Case-insensitive string not-equals</w:t>
            </w:r>
          </w:p>
        </w:tc>
        <w:tc>
          <w:tcPr>
            <w:tcW w:type="dxa" w:w="4400"/>
            <w:shd w:val="clear" w:color="auto" w:fill="F7F9FC"/>
          </w:tcPr>
          <w:p>
            <w:r>
              <w:rPr>
                <w:rFonts w:ascii="Consolas" w:hAnsi="Consolas"/>
                <w:color w:val="202020"/>
                <w:sz w:val="19"/>
              </w:rPr>
              <w:t>{"field":"Status","op":"notEquals","value":"Closed"}</w:t>
            </w:r>
          </w:p>
        </w:tc>
      </w:tr>
      <w:tr>
        <w:tc>
          <w:tcPr>
            <w:tcW w:type="dxa" w:w="1600"/>
          </w:tcPr>
          <w:p>
            <w:r>
              <w:rPr>
                <w:rFonts w:ascii="Consolas" w:hAnsi="Consolas"/>
                <w:color w:val="202020"/>
                <w:sz w:val="19"/>
              </w:rPr>
              <w:t>in</w:t>
            </w:r>
          </w:p>
        </w:tc>
        <w:tc>
          <w:tcPr>
            <w:tcW w:type="dxa" w:w="3360"/>
          </w:tcPr>
          <w:p>
            <w:r>
              <w:rPr>
                <w:color w:val="202020"/>
                <w:sz w:val="19"/>
              </w:rPr>
              <w:t>Value is in a list</w:t>
            </w:r>
          </w:p>
        </w:tc>
        <w:tc>
          <w:tcPr>
            <w:tcW w:type="dxa" w:w="4400"/>
          </w:tcPr>
          <w:p>
            <w:r>
              <w:rPr>
                <w:rFonts w:ascii="Consolas" w:hAnsi="Consolas"/>
                <w:color w:val="202020"/>
                <w:sz w:val="19"/>
              </w:rPr>
              <w:t>{"field":"Region","op":"in","values":["EMEA","NA"]}</w:t>
            </w:r>
          </w:p>
        </w:tc>
      </w:tr>
      <w:tr>
        <w:tc>
          <w:tcPr>
            <w:tcW w:type="dxa" w:w="1600"/>
            <w:shd w:val="clear" w:color="auto" w:fill="F7F9FC"/>
          </w:tcPr>
          <w:p>
            <w:r>
              <w:rPr>
                <w:rFonts w:ascii="Consolas" w:hAnsi="Consolas"/>
                <w:color w:val="202020"/>
                <w:sz w:val="19"/>
              </w:rPr>
              <w:t>notIn</w:t>
            </w:r>
          </w:p>
        </w:tc>
        <w:tc>
          <w:tcPr>
            <w:tcW w:type="dxa" w:w="3360"/>
            <w:shd w:val="clear" w:color="auto" w:fill="F7F9FC"/>
          </w:tcPr>
          <w:p>
            <w:r>
              <w:rPr>
                <w:color w:val="202020"/>
                <w:sz w:val="19"/>
              </w:rPr>
              <w:t>Value is not in a list</w:t>
            </w:r>
          </w:p>
        </w:tc>
        <w:tc>
          <w:tcPr>
            <w:tcW w:type="dxa" w:w="4400"/>
            <w:shd w:val="clear" w:color="auto" w:fill="F7F9FC"/>
          </w:tcPr>
          <w:p>
            <w:r>
              <w:rPr>
                <w:rFonts w:ascii="Consolas" w:hAnsi="Consolas"/>
                <w:color w:val="202020"/>
                <w:sz w:val="19"/>
              </w:rPr>
              <w:t>{"field":"Type","op":"notIn","values":["Archived"]}</w:t>
            </w:r>
          </w:p>
        </w:tc>
      </w:tr>
      <w:tr>
        <w:tc>
          <w:tcPr>
            <w:tcW w:type="dxa" w:w="1600"/>
          </w:tcPr>
          <w:p>
            <w:r>
              <w:rPr>
                <w:rFonts w:ascii="Consolas" w:hAnsi="Consolas"/>
                <w:color w:val="202020"/>
                <w:sz w:val="19"/>
              </w:rPr>
              <w:t>prefix</w:t>
            </w:r>
          </w:p>
        </w:tc>
        <w:tc>
          <w:tcPr>
            <w:tcW w:type="dxa" w:w="3360"/>
          </w:tcPr>
          <w:p>
            <w:r>
              <w:rPr>
                <w:color w:val="202020"/>
                <w:sz w:val="19"/>
              </w:rPr>
              <w:t>Starts with the given text</w:t>
            </w:r>
          </w:p>
        </w:tc>
        <w:tc>
          <w:tcPr>
            <w:tcW w:type="dxa" w:w="4400"/>
          </w:tcPr>
          <w:p>
            <w:r>
              <w:rPr>
                <w:rFonts w:ascii="Consolas" w:hAnsi="Consolas"/>
                <w:color w:val="202020"/>
                <w:sz w:val="19"/>
              </w:rPr>
              <w:t>{"field":"CaseNumber","op":"prefix","value":"UK-"}</w:t>
            </w:r>
          </w:p>
        </w:tc>
      </w:tr>
      <w:tr>
        <w:tc>
          <w:tcPr>
            <w:tcW w:type="dxa" w:w="1600"/>
            <w:shd w:val="clear" w:color="auto" w:fill="F7F9FC"/>
          </w:tcPr>
          <w:p>
            <w:r>
              <w:rPr>
                <w:rFonts w:ascii="Consolas" w:hAnsi="Consolas"/>
                <w:color w:val="202020"/>
                <w:sz w:val="19"/>
              </w:rPr>
              <w:t>contains</w:t>
            </w:r>
          </w:p>
        </w:tc>
        <w:tc>
          <w:tcPr>
            <w:tcW w:type="dxa" w:w="3360"/>
            <w:shd w:val="clear" w:color="auto" w:fill="F7F9FC"/>
          </w:tcPr>
          <w:p>
            <w:r>
              <w:rPr>
                <w:color w:val="202020"/>
                <w:sz w:val="19"/>
              </w:rPr>
              <w:t>Contains the given text</w:t>
            </w:r>
          </w:p>
        </w:tc>
        <w:tc>
          <w:tcPr>
            <w:tcW w:type="dxa" w:w="4400"/>
            <w:shd w:val="clear" w:color="auto" w:fill="F7F9FC"/>
          </w:tcPr>
          <w:p>
            <w:r>
              <w:rPr>
                <w:rFonts w:ascii="Consolas" w:hAnsi="Consolas"/>
                <w:color w:val="202020"/>
                <w:sz w:val="19"/>
              </w:rPr>
              <w:t>{"field":"Company","op":"contains","value":"Ltd"}</w:t>
            </w:r>
          </w:p>
        </w:tc>
      </w:tr>
      <w:tr>
        <w:tc>
          <w:tcPr>
            <w:tcW w:type="dxa" w:w="1600"/>
          </w:tcPr>
          <w:p>
            <w:r>
              <w:rPr>
                <w:rFonts w:ascii="Consolas" w:hAnsi="Consolas"/>
                <w:color w:val="202020"/>
                <w:sz w:val="19"/>
              </w:rPr>
              <w:t>gte</w:t>
            </w:r>
            <w:r>
              <w:rPr>
                <w:color w:val="202020"/>
                <w:sz w:val="19"/>
              </w:rPr>
              <w:t xml:space="preserve"> (alias </w:t>
            </w:r>
            <w:r>
              <w:rPr>
                <w:rFonts w:ascii="Consolas" w:hAnsi="Consolas"/>
                <w:color w:val="202020"/>
                <w:sz w:val="19"/>
              </w:rPr>
              <w:t>&gt;=</w:t>
            </w:r>
            <w:r>
              <w:rPr>
                <w:color w:val="202020"/>
                <w:sz w:val="19"/>
              </w:rPr>
              <w:t>)</w:t>
            </w:r>
          </w:p>
        </w:tc>
        <w:tc>
          <w:tcPr>
            <w:tcW w:type="dxa" w:w="3360"/>
          </w:tcPr>
          <w:p>
            <w:r>
              <w:rPr>
                <w:color w:val="202020"/>
                <w:sz w:val="19"/>
              </w:rPr>
              <w:t>Numeric greater-than-or-equal</w:t>
            </w:r>
          </w:p>
        </w:tc>
        <w:tc>
          <w:tcPr>
            <w:tcW w:type="dxa" w:w="4400"/>
          </w:tcPr>
          <w:p>
            <w:r>
              <w:rPr>
                <w:rFonts w:ascii="Consolas" w:hAnsi="Consolas"/>
                <w:color w:val="202020"/>
                <w:sz w:val="19"/>
              </w:rPr>
              <w:t>{"field":"AnnualRevenue","op":"gte","value":"100000"}</w:t>
            </w:r>
          </w:p>
        </w:tc>
      </w:tr>
      <w:tr>
        <w:tc>
          <w:tcPr>
            <w:tcW w:type="dxa" w:w="1600"/>
            <w:shd w:val="clear" w:color="auto" w:fill="F7F9FC"/>
          </w:tcPr>
          <w:p>
            <w:r>
              <w:rPr>
                <w:rFonts w:ascii="Consolas" w:hAnsi="Consolas"/>
                <w:color w:val="202020"/>
                <w:sz w:val="19"/>
              </w:rPr>
              <w:t>lte</w:t>
            </w:r>
            <w:r>
              <w:rPr>
                <w:color w:val="202020"/>
                <w:sz w:val="19"/>
              </w:rPr>
              <w:t xml:space="preserve"> (alias </w:t>
            </w:r>
            <w:r>
              <w:rPr>
                <w:rFonts w:ascii="Consolas" w:hAnsi="Consolas"/>
                <w:color w:val="202020"/>
                <w:sz w:val="19"/>
              </w:rPr>
              <w:t>&lt;=</w:t>
            </w:r>
            <w:r>
              <w:rPr>
                <w:color w:val="202020"/>
                <w:sz w:val="19"/>
              </w:rPr>
              <w:t>)</w:t>
            </w:r>
          </w:p>
        </w:tc>
        <w:tc>
          <w:tcPr>
            <w:tcW w:type="dxa" w:w="3360"/>
            <w:shd w:val="clear" w:color="auto" w:fill="F7F9FC"/>
          </w:tcPr>
          <w:p>
            <w:r>
              <w:rPr>
                <w:color w:val="202020"/>
                <w:sz w:val="19"/>
              </w:rPr>
              <w:t>Numeric less-than-or-equal</w:t>
            </w:r>
          </w:p>
        </w:tc>
        <w:tc>
          <w:tcPr>
            <w:tcW w:type="dxa" w:w="4400"/>
            <w:shd w:val="clear" w:color="auto" w:fill="F7F9FC"/>
          </w:tcPr>
          <w:p>
            <w:r>
              <w:rPr>
                <w:rFonts w:ascii="Consolas" w:hAnsi="Consolas"/>
                <w:color w:val="202020"/>
                <w:sz w:val="19"/>
              </w:rPr>
              <w:t>{"field":"Probability","op":"lte","value":"90"}</w:t>
            </w:r>
          </w:p>
        </w:tc>
      </w:tr>
      <w:tr>
        <w:tc>
          <w:tcPr>
            <w:tcW w:type="dxa" w:w="1600"/>
          </w:tcPr>
          <w:p>
            <w:r>
              <w:rPr>
                <w:rFonts w:ascii="Consolas" w:hAnsi="Consolas"/>
                <w:color w:val="202020"/>
                <w:sz w:val="19"/>
              </w:rPr>
              <w:t>between</w:t>
            </w:r>
          </w:p>
        </w:tc>
        <w:tc>
          <w:tcPr>
            <w:tcW w:type="dxa" w:w="3360"/>
          </w:tcPr>
          <w:p>
            <w:r>
              <w:rPr>
                <w:color w:val="202020"/>
                <w:sz w:val="19"/>
              </w:rPr>
              <w:t>Numeric range, inclusive (exactly two values)</w:t>
            </w:r>
          </w:p>
        </w:tc>
        <w:tc>
          <w:tcPr>
            <w:tcW w:type="dxa" w:w="4400"/>
          </w:tcPr>
          <w:p>
            <w:r>
              <w:rPr>
                <w:rFonts w:ascii="Consolas" w:hAnsi="Consolas"/>
                <w:color w:val="202020"/>
                <w:sz w:val="19"/>
              </w:rPr>
              <w:t>{"field":"Probability","op":"between","values":["25","100"]}</w:t>
            </w:r>
          </w:p>
        </w:tc>
      </w:tr>
      <w:tr>
        <w:tc>
          <w:tcPr>
            <w:tcW w:type="dxa" w:w="1600"/>
            <w:shd w:val="clear" w:color="auto" w:fill="F7F9FC"/>
          </w:tcPr>
          <w:p>
            <w:r>
              <w:rPr>
                <w:rFonts w:ascii="Consolas" w:hAnsi="Consolas"/>
                <w:color w:val="202020"/>
                <w:sz w:val="19"/>
              </w:rPr>
              <w:t>withinLastDays</w:t>
            </w:r>
          </w:p>
        </w:tc>
        <w:tc>
          <w:tcPr>
            <w:tcW w:type="dxa" w:w="3360"/>
            <w:shd w:val="clear" w:color="auto" w:fill="F7F9FC"/>
          </w:tcPr>
          <w:p>
            <w:r>
              <w:rPr>
                <w:color w:val="202020"/>
                <w:sz w:val="19"/>
              </w:rPr>
              <w:t>Date within the last N days (UTC; N a non-negative integer)</w:t>
            </w:r>
          </w:p>
        </w:tc>
        <w:tc>
          <w:tcPr>
            <w:tcW w:type="dxa" w:w="4400"/>
            <w:shd w:val="clear" w:color="auto" w:fill="F7F9FC"/>
          </w:tcPr>
          <w:p>
            <w:r>
              <w:rPr>
                <w:rFonts w:ascii="Consolas" w:hAnsi="Consolas"/>
                <w:color w:val="202020"/>
                <w:sz w:val="19"/>
              </w:rPr>
              <w:t>{"field":"CloseDate","op":"withinLastDays","value":"180"}</w:t>
            </w:r>
          </w:p>
        </w:tc>
      </w:tr>
      <w:tr>
        <w:tc>
          <w:tcPr>
            <w:tcW w:type="dxa" w:w="1600"/>
          </w:tcPr>
          <w:p>
            <w:r>
              <w:rPr>
                <w:rFonts w:ascii="Consolas" w:hAnsi="Consolas"/>
                <w:color w:val="202020"/>
                <w:sz w:val="19"/>
              </w:rPr>
              <w:t>after</w:t>
            </w:r>
          </w:p>
        </w:tc>
        <w:tc>
          <w:tcPr>
            <w:tcW w:type="dxa" w:w="3360"/>
          </w:tcPr>
          <w:p>
            <w:r>
              <w:rPr>
                <w:color w:val="202020"/>
                <w:sz w:val="19"/>
              </w:rPr>
              <w:t>Date strictly after</w:t>
            </w:r>
          </w:p>
        </w:tc>
        <w:tc>
          <w:tcPr>
            <w:tcW w:type="dxa" w:w="4400"/>
          </w:tcPr>
          <w:p>
            <w:r>
              <w:rPr>
                <w:rFonts w:ascii="Consolas" w:hAnsi="Consolas"/>
                <w:color w:val="202020"/>
                <w:sz w:val="19"/>
              </w:rPr>
              <w:t>{"field":"CloseDate","op":"after","value":"2025-01-01"}</w:t>
            </w:r>
          </w:p>
        </w:tc>
      </w:tr>
      <w:tr>
        <w:tc>
          <w:tcPr>
            <w:tcW w:type="dxa" w:w="1600"/>
            <w:shd w:val="clear" w:color="auto" w:fill="F7F9FC"/>
          </w:tcPr>
          <w:p>
            <w:r>
              <w:rPr>
                <w:rFonts w:ascii="Consolas" w:hAnsi="Consolas"/>
                <w:color w:val="202020"/>
                <w:sz w:val="19"/>
              </w:rPr>
              <w:t>before</w:t>
            </w:r>
          </w:p>
        </w:tc>
        <w:tc>
          <w:tcPr>
            <w:tcW w:type="dxa" w:w="3360"/>
            <w:shd w:val="clear" w:color="auto" w:fill="F7F9FC"/>
          </w:tcPr>
          <w:p>
            <w:r>
              <w:rPr>
                <w:color w:val="202020"/>
                <w:sz w:val="19"/>
              </w:rPr>
              <w:t>Date strictly before</w:t>
            </w:r>
          </w:p>
        </w:tc>
        <w:tc>
          <w:tcPr>
            <w:tcW w:type="dxa" w:w="4400"/>
            <w:shd w:val="clear" w:color="auto" w:fill="F7F9FC"/>
          </w:tcPr>
          <w:p>
            <w:r>
              <w:rPr>
                <w:rFonts w:ascii="Consolas" w:hAnsi="Consolas"/>
                <w:color w:val="202020"/>
                <w:sz w:val="19"/>
              </w:rPr>
              <w:t>{"field":"CreatedDate","op":"before","value":"2026-01-01"}</w:t>
            </w:r>
          </w:p>
        </w:tc>
      </w:tr>
      <w:tr>
        <w:tc>
          <w:tcPr>
            <w:tcW w:type="dxa" w:w="1600"/>
          </w:tcPr>
          <w:p>
            <w:r>
              <w:rPr>
                <w:rFonts w:ascii="Consolas" w:hAnsi="Consolas"/>
                <w:color w:val="202020"/>
                <w:sz w:val="19"/>
              </w:rPr>
              <w:t>isNull</w:t>
            </w:r>
          </w:p>
        </w:tc>
        <w:tc>
          <w:tcPr>
            <w:tcW w:type="dxa" w:w="3360"/>
          </w:tcPr>
          <w:p>
            <w:r>
              <w:rPr>
                <w:color w:val="202020"/>
                <w:sz w:val="19"/>
              </w:rPr>
              <w:t>Field is missing or empty</w:t>
            </w:r>
          </w:p>
        </w:tc>
        <w:tc>
          <w:tcPr>
            <w:tcW w:type="dxa" w:w="4400"/>
          </w:tcPr>
          <w:p>
            <w:r>
              <w:rPr>
                <w:rFonts w:ascii="Consolas" w:hAnsi="Consolas"/>
                <w:color w:val="202020"/>
                <w:sz w:val="19"/>
              </w:rPr>
              <w:t>{"field":"Email","op":"isNull"}</w:t>
            </w:r>
          </w:p>
        </w:tc>
      </w:tr>
      <w:tr>
        <w:tc>
          <w:tcPr>
            <w:tcW w:type="dxa" w:w="1600"/>
            <w:shd w:val="clear" w:color="auto" w:fill="F7F9FC"/>
          </w:tcPr>
          <w:p>
            <w:r>
              <w:rPr>
                <w:rFonts w:ascii="Consolas" w:hAnsi="Consolas"/>
                <w:color w:val="202020"/>
                <w:sz w:val="19"/>
              </w:rPr>
              <w:t>isNotNull</w:t>
            </w:r>
          </w:p>
        </w:tc>
        <w:tc>
          <w:tcPr>
            <w:tcW w:type="dxa" w:w="3360"/>
            <w:shd w:val="clear" w:color="auto" w:fill="F7F9FC"/>
          </w:tcPr>
          <w:p>
            <w:r>
              <w:rPr>
                <w:color w:val="202020"/>
                <w:sz w:val="19"/>
              </w:rPr>
              <w:t>Field has a value</w:t>
            </w:r>
          </w:p>
        </w:tc>
        <w:tc>
          <w:tcPr>
            <w:tcW w:type="dxa" w:w="4400"/>
            <w:shd w:val="clear" w:color="auto" w:fill="F7F9FC"/>
          </w:tcPr>
          <w:p>
            <w:r>
              <w:rPr>
                <w:rFonts w:ascii="Consolas" w:hAnsi="Consolas"/>
                <w:color w:val="202020"/>
                <w:sz w:val="19"/>
              </w:rPr>
              <w:t>{"field":"Email","op":"isNotNull"}</w:t>
            </w:r>
          </w:p>
        </w:tc>
      </w:tr>
    </w:tbl>
    <w:p>
      <w:pPr>
        <w:spacing w:after="40"/>
      </w:pPr>
    </w:p>
    <w:p>
      <w:pPr>
        <w:pStyle w:val="ListBullet"/>
        <w:spacing w:after="40"/>
      </w:pPr>
      <w:r>
        <w:rPr>
          <w:color w:val="202020"/>
        </w:rPr>
        <w:t>Numeric operators (</w:t>
      </w:r>
      <w:r>
        <w:rPr>
          <w:rFonts w:ascii="Consolas" w:hAnsi="Consolas"/>
          <w:color w:val="202020"/>
          <w:sz w:val="19"/>
        </w:rPr>
        <w:t>gte</w:t>
      </w:r>
      <w:r>
        <w:rPr>
          <w:color w:val="202020"/>
        </w:rPr>
        <w:t xml:space="preserve">, </w:t>
      </w:r>
      <w:r>
        <w:rPr>
          <w:rFonts w:ascii="Consolas" w:hAnsi="Consolas"/>
          <w:color w:val="202020"/>
          <w:sz w:val="19"/>
        </w:rPr>
        <w:t>lte</w:t>
      </w:r>
      <w:r>
        <w:rPr>
          <w:color w:val="202020"/>
        </w:rPr>
        <w:t xml:space="preserve">, </w:t>
      </w:r>
      <w:r>
        <w:rPr>
          <w:rFonts w:ascii="Consolas" w:hAnsi="Consolas"/>
          <w:color w:val="202020"/>
          <w:sz w:val="19"/>
        </w:rPr>
        <w:t>between</w:t>
      </w:r>
      <w:r>
        <w:rPr>
          <w:color w:val="202020"/>
        </w:rPr>
        <w:t xml:space="preserve">) never match a non-numeric value. The loader will reject a date-looking operand on these and tell you to use </w:t>
      </w:r>
      <w:r>
        <w:rPr>
          <w:rFonts w:ascii="Consolas" w:hAnsi="Consolas"/>
          <w:color w:val="202020"/>
          <w:sz w:val="19"/>
        </w:rPr>
        <w:t>after</w:t>
      </w:r>
      <w:r>
        <w:rPr>
          <w:color w:val="202020"/>
        </w:rPr>
        <w:t xml:space="preserve"> / </w:t>
      </w:r>
      <w:r>
        <w:rPr>
          <w:rFonts w:ascii="Consolas" w:hAnsi="Consolas"/>
          <w:color w:val="202020"/>
          <w:sz w:val="19"/>
        </w:rPr>
        <w:t>before</w:t>
      </w:r>
      <w:r>
        <w:rPr>
          <w:color w:val="202020"/>
        </w:rPr>
        <w:t xml:space="preserve"> / </w:t>
      </w:r>
      <w:r>
        <w:rPr>
          <w:rFonts w:ascii="Consolas" w:hAnsi="Consolas"/>
          <w:color w:val="202020"/>
          <w:sz w:val="19"/>
        </w:rPr>
        <w:t>withinLastDays</w:t>
      </w:r>
      <w:r>
        <w:rPr>
          <w:color w:val="202020"/>
        </w:rPr>
        <w:t xml:space="preserve"> instead.</w:t>
      </w:r>
    </w:p>
    <w:p>
      <w:pPr>
        <w:pStyle w:val="ListBullet"/>
        <w:spacing w:after="40"/>
      </w:pPr>
      <w:r>
        <w:rPr>
          <w:color w:val="202020"/>
        </w:rPr>
        <w:t xml:space="preserve">Every value-comparing operator fails on a missing/empty field — only </w:t>
      </w:r>
      <w:r>
        <w:rPr>
          <w:rFonts w:ascii="Consolas" w:hAnsi="Consolas"/>
          <w:color w:val="202020"/>
          <w:sz w:val="19"/>
        </w:rPr>
        <w:t>isNull</w:t>
      </w:r>
      <w:r>
        <w:rPr>
          <w:color w:val="202020"/>
        </w:rPr>
        <w:t xml:space="preserve"> matches those.</w:t>
      </w:r>
    </w:p>
    <w:p>
      <w:pPr>
        <w:pStyle w:val="ListBullet"/>
        <w:spacing w:after="40"/>
      </w:pPr>
      <w:r>
        <w:rPr>
          <w:color w:val="202020"/>
        </w:rPr>
        <w:t>Put the most selective predicate first in a group so cheap rules drop rows earliest.</w:t>
      </w:r>
    </w:p>
    <w:p>
      <w:pPr>
        <w:pStyle w:val="Heading2"/>
      </w:pPr>
      <w:r>
        <w:rPr>
          <w:color w:val="2E5496"/>
        </w:rPr>
        <w:t>6.4 OR-of-AND filter groups</w:t>
      </w:r>
    </w:p>
    <w:p>
      <w:pPr>
        <w:spacing w:after="120"/>
      </w:pPr>
      <w:r>
        <w:rPr>
          <w:color w:val="202020"/>
        </w:rPr>
        <w:t xml:space="preserve">Record rules are grouped as an </w:t>
      </w:r>
      <w:r>
        <w:rPr>
          <w:b/>
          <w:color w:val="202020"/>
        </w:rPr>
        <w:t>OR of AND-groups</w:t>
      </w:r>
      <w:r>
        <w:rPr>
          <w:color w:val="202020"/>
        </w:rPr>
        <w:t xml:space="preserve"> under </w:t>
      </w:r>
      <w:r>
        <w:rPr>
          <w:rFonts w:ascii="Consolas" w:hAnsi="Consolas"/>
          <w:color w:val="202020"/>
          <w:sz w:val="19"/>
        </w:rPr>
        <w:t>anyOf</w:t>
      </w:r>
      <w:r>
        <w:rPr>
          <w:color w:val="202020"/>
        </w:rPr>
        <w:t xml:space="preserve">. Each entry is an </w:t>
      </w:r>
      <w:r>
        <w:rPr>
          <w:rFonts w:ascii="Consolas" w:hAnsi="Consolas"/>
          <w:color w:val="202020"/>
          <w:sz w:val="19"/>
        </w:rPr>
        <w:t>{ "allOf": [ … ] }</w:t>
      </w:r>
      <w:r>
        <w:rPr>
          <w:color w:val="202020"/>
        </w:rPr>
        <w:t xml:space="preserve"> group whose predicates must all pass; a row matches if </w:t>
      </w:r>
      <w:r>
        <w:rPr>
          <w:b/>
          <w:color w:val="202020"/>
        </w:rPr>
        <w:t>any one group</w:t>
      </w:r>
      <w:r>
        <w:rPr>
          <w:color w:val="202020"/>
        </w:rPr>
        <w:t xml:space="preserve"> matches. A top-level </w:t>
      </w:r>
      <w:r>
        <w:rPr>
          <w:rFonts w:ascii="Consolas" w:hAnsi="Consolas"/>
          <w:color w:val="202020"/>
          <w:sz w:val="19"/>
        </w:rPr>
        <w:t>allOf</w:t>
      </w:r>
      <w:r>
        <w:rPr>
          <w:color w:val="202020"/>
        </w:rPr>
        <w:t xml:space="preserve"> is shorthand for a single group. You may use </w:t>
      </w:r>
      <w:r>
        <w:rPr>
          <w:rFonts w:ascii="Consolas" w:hAnsi="Consolas"/>
          <w:color w:val="202020"/>
          <w:sz w:val="19"/>
        </w:rPr>
        <w:t>anyOf</w:t>
      </w:r>
      <w:r>
        <w:rPr>
          <w:color w:val="202020"/>
        </w:rPr>
        <w:t xml:space="preserve"> or </w:t>
      </w:r>
      <w:r>
        <w:rPr>
          <w:rFonts w:ascii="Consolas" w:hAnsi="Consolas"/>
          <w:color w:val="202020"/>
          <w:sz w:val="19"/>
        </w:rPr>
        <w:t>allOf</w:t>
      </w:r>
      <w:r>
        <w:rPr>
          <w:color w:val="202020"/>
        </w:rPr>
        <w:t xml:space="preserve"> on an object, but never both. With no record rules at all, every row matches (partition rules may still apply).</w:t>
      </w:r>
    </w:p>
    <w:p>
      <w:pPr>
        <w:pStyle w:val="Heading2"/>
      </w:pPr>
      <w:r>
        <w:rPr>
          <w:color w:val="2E5496"/>
        </w:rPr>
        <w:t>6.5 Writing a filter, object by object</w:t>
      </w:r>
    </w:p>
    <w:p>
      <w:pPr>
        <w:spacing w:after="120"/>
      </w:pPr>
      <w:r>
        <w:rPr>
          <w:color w:val="202020"/>
        </w:rPr>
        <w:t xml:space="preserve">Below is the shipped starter set, showing the common shapes. Notice that the object key must match the object name in </w:t>
      </w:r>
      <w:r>
        <w:rPr>
          <w:rFonts w:ascii="Consolas" w:hAnsi="Consolas"/>
          <w:color w:val="202020"/>
          <w:sz w:val="19"/>
        </w:rPr>
        <w:t>config/schema.json</w:t>
      </w:r>
      <w:r>
        <w:rPr>
          <w:color w:val="202020"/>
        </w:rPr>
        <w:t xml:space="preserve"> (case-insensitive) — note that </w:t>
      </w:r>
      <w:r>
        <w:rPr>
          <w:rFonts w:ascii="Consolas" w:hAnsi="Consolas"/>
          <w:color w:val="202020"/>
          <w:sz w:val="19"/>
        </w:rPr>
        <w:t>Account</w:t>
      </w:r>
      <w:r>
        <w:rPr>
          <w:color w:val="202020"/>
        </w:rPr>
        <w:t xml:space="preserve"> is the object even though it displays as "Client".</w:t>
      </w:r>
    </w:p>
    <w:p>
      <w:pPr>
        <w:spacing w:after="40"/>
      </w:pPr>
      <w:r>
        <w:rPr>
          <w:b/>
          <w:color w:val="202020"/>
        </w:rPr>
        <w:t>Contact</w:t>
      </w:r>
      <w:r>
        <w:rPr>
          <w:color w:val="202020"/>
        </w:rPr>
        <w:t xml:space="preserve"> — active-mailbox contacts from the last ~15 months of loads (a </w:t>
      </w:r>
      <w:r>
        <w:rPr>
          <w:rFonts w:ascii="Consolas" w:hAnsi="Consolas"/>
          <w:color w:val="202020"/>
          <w:sz w:val="19"/>
        </w:rPr>
        <w:t>dt</w:t>
      </w:r>
      <w:r>
        <w:rPr>
          <w:color w:val="202020"/>
        </w:rPr>
        <w:t xml:space="preserve"> window plus one record rule):</w:t>
      </w:r>
    </w:p>
    <w:p>
      <w:pPr>
        <w:spacing w:after="120"/>
      </w:pPr>
      <w:r>
        <w:rPr>
          <w:rFonts w:ascii="Consolas" w:hAnsi="Consolas"/>
          <w:color w:val="202020"/>
          <w:sz w:val="19"/>
        </w:rPr>
        <w:t>"Contact": { "partition": [ {"key":"dt","op":"withinLastDays","value":"450"} ], "allOf": [ {"field":"Email","op":"isNotNull"} ] }</w:t>
      </w:r>
    </w:p>
    <w:p>
      <w:pPr>
        <w:spacing w:after="40"/>
      </w:pPr>
      <w:r>
        <w:rPr>
          <w:b/>
          <w:color w:val="202020"/>
        </w:rPr>
        <w:t>Account (Client)</w:t>
      </w:r>
      <w:r>
        <w:rPr>
          <w:color w:val="202020"/>
        </w:rPr>
        <w:t xml:space="preserve"> — recent loads, excluding dormant/archived clients:</w:t>
      </w:r>
    </w:p>
    <w:p>
      <w:pPr>
        <w:spacing w:after="120"/>
      </w:pPr>
      <w:r>
        <w:rPr>
          <w:rFonts w:ascii="Consolas" w:hAnsi="Consolas"/>
          <w:color w:val="202020"/>
          <w:sz w:val="19"/>
        </w:rPr>
        <w:t>"Account": { "partition": [ {"key":"dt","op":"withinLastDays","value":"450"} ], "allOf": [ {"field":"Type","op":"notIn","values":["Prospect - Dormant","Archived"]} ] }</w:t>
      </w:r>
    </w:p>
    <w:p>
      <w:pPr>
        <w:spacing w:after="40"/>
      </w:pPr>
      <w:r>
        <w:rPr>
          <w:b/>
          <w:color w:val="202020"/>
        </w:rPr>
        <w:t>Opportunity</w:t>
      </w:r>
      <w:r>
        <w:rPr>
          <w:color w:val="202020"/>
        </w:rPr>
        <w:t xml:space="preserve"> — all open pipeline OR closed-lost from the last 6 months (this is where OR-of-AND earns its keep):</w:t>
      </w:r>
    </w:p>
    <w:p>
      <w:pPr>
        <w:spacing w:after="160"/>
      </w:pPr>
      <w:r>
        <w:rPr>
          <w:rFonts w:ascii="Consolas" w:hAnsi="Consolas"/>
          <w:color w:val="202020"/>
          <w:sz w:val="19"/>
        </w:rPr>
        <w:t>"Opportunity": { "partition": [ {"key":"dt","op":"withinLastDays","value":"450"} ], "anyOf": [ {"allOf":[{"field":"StageName","op":"notIn","values":["Closed Lost"]}]}, {"allOf":[{"field":"StageName","op":"equals","value":"Closed Lost"},{"field":"CloseDate","op":"withinLastDays","value":"180"}]} ] }</w:t>
      </w:r>
    </w:p>
    <w:p>
      <w:pPr>
        <w:spacing w:after="120"/>
      </w:pPr>
      <w:r>
        <w:rPr>
          <w:color w:val="202020"/>
        </w:rPr>
        <w:t>Read the second example as: keep a row if (Stage is not Closed Lost) OR (Stage is Closed Lost AND it closed within the last 180 days).</w:t>
      </w: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color w:val="202020"/>
                <w:sz w:val="20"/>
              </w:rPr>
              <w:t xml:space="preserve">Aim well under the row cap — it is a failsafe, not a target. Every matched record becomes a rate-limited write to Graph (plan for roughly 25 items per second on one connection), so 500,000 matches is hours of ingestion. Filter tighter, or spread object types across multiple connections (sharding — </w:t>
            </w:r>
            <w:r>
              <w:rPr>
                <w:b/>
                <w:color w:val="202020"/>
                <w:sz w:val="20"/>
              </w:rPr>
              <w:t>Common Guide §6</w:t>
            </w:r>
            <w:r>
              <w:rPr>
                <w:color w:val="202020"/>
                <w:sz w:val="20"/>
              </w:rPr>
              <w:t>), rather than leaning on the cap.</w:t>
            </w:r>
          </w:p>
        </w:tc>
      </w:tr>
    </w:tbl>
    <w:p>
      <w:pPr>
        <w:spacing w:after="40"/>
      </w:pPr>
    </w:p>
    <w:p>
      <w:pPr>
        <w:spacing w:after="120"/>
      </w:pPr>
      <w:r>
        <w:rPr>
          <w:color w:val="202020"/>
        </w:rPr>
        <w:t xml:space="preserve">The full field-by-field reference for </w:t>
      </w:r>
      <w:r>
        <w:rPr>
          <w:rFonts w:ascii="Consolas" w:hAnsi="Consolas"/>
          <w:color w:val="202020"/>
          <w:sz w:val="19"/>
        </w:rPr>
        <w:t>filters.json</w:t>
      </w:r>
      <w:r>
        <w:rPr>
          <w:color w:val="202020"/>
        </w:rPr>
        <w:t xml:space="preserve"> is in </w:t>
      </w:r>
      <w:r>
        <w:rPr>
          <w:b/>
          <w:color w:val="202020"/>
        </w:rPr>
        <w:t>Section 14</w:t>
      </w:r>
      <w:r>
        <w:rPr>
          <w:color w:val="202020"/>
        </w:rPr>
        <w:t>.</w:t>
      </w:r>
    </w:p>
    <w:p>
      <w:pPr>
        <w:pStyle w:val="Heading1"/>
      </w:pPr>
      <w:r>
        <w:rPr>
          <w:color w:val="1F3864"/>
        </w:rPr>
        <w:t>7. The fail-closed scale guard (a critical safety feature)</w:t>
      </w:r>
    </w:p>
    <w:p>
      <w:pPr>
        <w:spacing w:after="200"/>
      </w:pPr>
      <w:r>
        <w:rPr>
          <w:color w:val="595959"/>
          <w:sz w:val="23"/>
        </w:rPr>
        <w:t>Because an unfiltered scan at BDH scale is an outage, the connector refuses to run one. An object with no effective filter does not crawl — it fails closed. This is deliberate, and you will meet it the first time you add a new object.</w:t>
      </w:r>
    </w:p>
    <w:p>
      <w:pPr>
        <w:pStyle w:val="Heading2"/>
      </w:pPr>
      <w:r>
        <w:rPr>
          <w:color w:val="2E5496"/>
        </w:rPr>
        <w:t>7.1 What the guard does</w:t>
      </w:r>
    </w:p>
    <w:p>
      <w:pPr>
        <w:spacing w:after="120"/>
      </w:pPr>
      <w:r>
        <w:rPr>
          <w:color w:val="202020"/>
        </w:rPr>
        <w:t xml:space="preserve">Before crawling an object the connector checks that the object is </w:t>
      </w:r>
      <w:r>
        <w:rPr>
          <w:b/>
          <w:color w:val="202020"/>
        </w:rPr>
        <w:t>effectively filtered</w:t>
      </w:r>
      <w:r>
        <w:rPr>
          <w:color w:val="202020"/>
        </w:rPr>
        <w:t xml:space="preserve">. If it is not, and it has not been explicitly exempted, the crawl for that object is refused with a </w:t>
      </w:r>
      <w:r>
        <w:rPr>
          <w:rFonts w:ascii="Consolas" w:hAnsi="Consolas"/>
          <w:color w:val="202020"/>
          <w:sz w:val="19"/>
        </w:rPr>
        <w:t>FullScanRefusedException</w:t>
      </w:r>
      <w:r>
        <w:rPr>
          <w:color w:val="202020"/>
        </w:rPr>
        <w:t xml:space="preserve">, a </w:t>
      </w:r>
      <w:r>
        <w:rPr>
          <w:rFonts w:ascii="Consolas" w:hAnsi="Consolas"/>
          <w:color w:val="202020"/>
          <w:sz w:val="19"/>
        </w:rPr>
        <w:t>guard_refusals_total</w:t>
      </w:r>
      <w:r>
        <w:rPr>
          <w:color w:val="202020"/>
        </w:rPr>
        <w:t xml:space="preserve"> metric ticks up, and the object is listed among the crawl's failed objects. The refusal affects only that object — every other object keeps crawling.</w:t>
      </w:r>
    </w:p>
    <w:p>
      <w:pPr>
        <w:spacing w:after="120"/>
      </w:pPr>
      <w:r>
        <w:rPr>
          <w:color w:val="202020"/>
        </w:rPr>
        <w:t>"Effectively filtered" has a precise meaning, designed to close a loophole:</w:t>
      </w:r>
    </w:p>
    <w:p>
      <w:pPr>
        <w:pStyle w:val="ListBullet"/>
        <w:spacing w:after="40"/>
      </w:pPr>
      <w:r>
        <w:rPr>
          <w:color w:val="202020"/>
        </w:rPr>
        <w:t xml:space="preserve">An object counts as filtered if it has </w:t>
      </w:r>
      <w:r>
        <w:rPr>
          <w:b/>
          <w:color w:val="202020"/>
        </w:rPr>
        <w:t>any record predicate</w:t>
      </w:r>
      <w:r>
        <w:rPr>
          <w:color w:val="202020"/>
        </w:rPr>
        <w:t xml:space="preserve">, OR a </w:t>
      </w:r>
      <w:r>
        <w:rPr>
          <w:b/>
          <w:color w:val="202020"/>
        </w:rPr>
        <w:t xml:space="preserve">partition rule on the </w:t>
      </w:r>
      <w:r>
        <w:rPr>
          <w:rFonts w:ascii="Consolas" w:hAnsi="Consolas"/>
          <w:b/>
          <w:color w:val="202020"/>
          <w:sz w:val="19"/>
        </w:rPr>
        <w:t>dt</w:t>
      </w:r>
      <w:r>
        <w:rPr>
          <w:b/>
          <w:color w:val="202020"/>
        </w:rPr>
        <w:t xml:space="preserve"> key</w:t>
      </w:r>
      <w:r>
        <w:rPr>
          <w:color w:val="202020"/>
        </w:rPr>
        <w:t xml:space="preserve"> that can actually prune.</w:t>
      </w:r>
    </w:p>
    <w:p>
      <w:pPr>
        <w:pStyle w:val="ListBullet"/>
        <w:spacing w:after="40"/>
      </w:pPr>
      <w:r>
        <w:rPr>
          <w:color w:val="202020"/>
        </w:rPr>
        <w:t>A partition rule on a non-</w:t>
      </w:r>
      <w:r>
        <w:rPr>
          <w:rFonts w:ascii="Consolas" w:hAnsi="Consolas"/>
          <w:color w:val="202020"/>
          <w:sz w:val="19"/>
        </w:rPr>
        <w:t>dt</w:t>
      </w:r>
      <w:r>
        <w:rPr>
          <w:color w:val="202020"/>
        </w:rPr>
        <w:t xml:space="preserve"> key does </w:t>
      </w:r>
      <w:r>
        <w:rPr>
          <w:b/>
          <w:color w:val="202020"/>
        </w:rPr>
        <w:t>not</w:t>
      </w:r>
      <w:r>
        <w:rPr>
          <w:color w:val="202020"/>
        </w:rPr>
        <w:t xml:space="preserve"> count on its own, because that key might be absent and prune nothing.</w:t>
      </w:r>
    </w:p>
    <w:p>
      <w:pPr>
        <w:pStyle w:val="ListBullet"/>
        <w:spacing w:after="40"/>
      </w:pPr>
      <w:r>
        <w:rPr>
          <w:color w:val="202020"/>
        </w:rPr>
        <w:t xml:space="preserve">A </w:t>
      </w:r>
      <w:r>
        <w:rPr>
          <w:rFonts w:ascii="Consolas" w:hAnsi="Consolas"/>
          <w:color w:val="202020"/>
          <w:sz w:val="19"/>
        </w:rPr>
        <w:t>dt isNotNull</w:t>
      </w:r>
      <w:r>
        <w:rPr>
          <w:color w:val="202020"/>
        </w:rPr>
        <w:t xml:space="preserve"> rule does </w:t>
      </w:r>
      <w:r>
        <w:rPr>
          <w:b/>
          <w:color w:val="202020"/>
        </w:rPr>
        <w:t>not</w:t>
      </w:r>
      <w:r>
        <w:rPr>
          <w:color w:val="202020"/>
        </w:rPr>
        <w:t xml:space="preserve"> count either — it matches every partition and prunes nothing. A filter that prunes nothing is treated as no filter at all.</w:t>
      </w:r>
    </w:p>
    <w:p>
      <w:pPr>
        <w:pStyle w:val="Heading2"/>
      </w:pPr>
      <w:r>
        <w:rPr>
          <w:color w:val="2E5496"/>
        </w:rPr>
        <w:t>7.2 What you see when it fires, and how to fix it</w:t>
      </w:r>
    </w:p>
    <w:p>
      <w:pPr>
        <w:spacing w:after="120"/>
      </w:pPr>
      <w:r>
        <w:rPr>
          <w:color w:val="202020"/>
        </w:rPr>
        <w:t>The log and the crawl summary carry a clear message naming the object, for example:</w:t>
      </w:r>
    </w:p>
    <w:p>
      <w:pPr>
        <w:spacing w:after="160"/>
      </w:pPr>
      <w:r>
        <w:rPr>
          <w:rFonts w:ascii="Consolas" w:hAnsi="Consolas"/>
          <w:color w:val="202020"/>
          <w:sz w:val="19"/>
        </w:rPr>
        <w:t>'Widget' has no filter configured in config/filters.json. At BDH scale an unfiltered scan is refused by default — add partition/record filters, list the object under fullScanAllowed, or set ALLOW_FULL_SCAN=true to override.</w:t>
      </w:r>
    </w:p>
    <w:p>
      <w:pPr>
        <w:spacing w:after="120"/>
      </w:pPr>
      <w:r>
        <w:rPr>
          <w:color w:val="202020"/>
        </w:rPr>
        <w:t xml:space="preserve">Almost always, the right fix is to </w:t>
      </w:r>
      <w:r>
        <w:rPr>
          <w:b/>
          <w:color w:val="202020"/>
        </w:rPr>
        <w:t>add a real filter</w:t>
      </w:r>
      <w:r>
        <w:rPr>
          <w:color w:val="202020"/>
        </w:rPr>
        <w:t xml:space="preserve"> — this is normal, not an error to suppress:</w:t>
      </w:r>
    </w:p>
    <w:p>
      <w:pPr>
        <w:pStyle w:val="ListBullet"/>
        <w:spacing w:after="40"/>
      </w:pPr>
      <w:r>
        <w:rPr>
          <w:color w:val="202020"/>
        </w:rPr>
        <w:t xml:space="preserve">Add a </w:t>
      </w:r>
      <w:r>
        <w:rPr>
          <w:rFonts w:ascii="Consolas" w:hAnsi="Consolas"/>
          <w:color w:val="202020"/>
          <w:sz w:val="19"/>
        </w:rPr>
        <w:t>dt withinLastDays</w:t>
      </w:r>
      <w:r>
        <w:rPr>
          <w:color w:val="202020"/>
        </w:rPr>
        <w:t xml:space="preserve"> partition rule (highest leverage) and/or a record rule for the object in </w:t>
      </w:r>
      <w:r>
        <w:rPr>
          <w:rFonts w:ascii="Consolas" w:hAnsi="Consolas"/>
          <w:color w:val="202020"/>
          <w:sz w:val="19"/>
        </w:rPr>
        <w:t>config/filters.json</w:t>
      </w:r>
      <w:r>
        <w:rPr>
          <w:color w:val="202020"/>
        </w:rPr>
        <w:t>.</w:t>
      </w:r>
    </w:p>
    <w:p>
      <w:pPr>
        <w:pStyle w:val="ListBullet"/>
        <w:spacing w:after="40"/>
      </w:pPr>
      <w:r>
        <w:rPr>
          <w:color w:val="202020"/>
        </w:rPr>
        <w:t xml:space="preserve">Re-run </w:t>
      </w:r>
      <w:r>
        <w:rPr>
          <w:rFonts w:ascii="Consolas" w:hAnsi="Consolas"/>
          <w:color w:val="202020"/>
          <w:sz w:val="19"/>
        </w:rPr>
        <w:t>validate-config --strict</w:t>
      </w:r>
      <w:r>
        <w:rPr>
          <w:color w:val="202020"/>
        </w:rPr>
        <w:t xml:space="preserve"> — it names every refusing object before deployment.</w:t>
      </w:r>
    </w:p>
    <w:p>
      <w:pPr>
        <w:pStyle w:val="ListBullet"/>
        <w:spacing w:after="40"/>
      </w:pPr>
      <w:r>
        <w:rPr>
          <w:color w:val="202020"/>
        </w:rPr>
        <w:t>Redeploy. No state repair is needed; the object simply starts crawling.</w:t>
      </w:r>
    </w:p>
    <w:p>
      <w:pPr>
        <w:pStyle w:val="Heading2"/>
      </w:pPr>
      <w:r>
        <w:rPr>
          <w:color w:val="2E5496"/>
        </w:rPr>
        <w:t>7.3 The rare legitimate override</w:t>
      </w:r>
    </w:p>
    <w:p>
      <w:pPr>
        <w:spacing w:after="120"/>
      </w:pPr>
      <w:r>
        <w:rPr>
          <w:color w:val="202020"/>
        </w:rPr>
        <w:t>A few objects genuinely need every row — small reference tables (think price books) that are bounded by nature. For those, and only those, you may exempt the object. Prefer the per-object list, which is reviewable and versioned:</w:t>
      </w:r>
    </w:p>
    <w:p>
      <w:pPr>
        <w:spacing w:after="160"/>
      </w:pPr>
      <w:r>
        <w:rPr>
          <w:rFonts w:ascii="Consolas" w:hAnsi="Consolas"/>
          <w:color w:val="202020"/>
          <w:sz w:val="19"/>
        </w:rPr>
        <w:t>{ "objects": { }, "fullScanAllowed": ["Pricebook"] }</w:t>
      </w:r>
    </w:p>
    <w:p>
      <w:pPr>
        <w:spacing w:after="120"/>
      </w:pPr>
      <w:r>
        <w:rPr>
          <w:color w:val="202020"/>
        </w:rPr>
        <w:t xml:space="preserve">The global </w:t>
      </w:r>
      <w:r>
        <w:rPr>
          <w:rFonts w:ascii="Consolas" w:hAnsi="Consolas"/>
          <w:color w:val="202020"/>
          <w:sz w:val="19"/>
        </w:rPr>
        <w:t>ALLOW_FULL_SCAN=true</w:t>
      </w:r>
      <w:r>
        <w:rPr>
          <w:color w:val="202020"/>
        </w:rPr>
        <w:t xml:space="preserve"> switch turns the guard off for everything at once — avoid it, and treat any change that adds it as a security-relevant event.</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Never use </w:t>
            </w:r>
            <w:r>
              <w:rPr>
                <w:rFonts w:ascii="Consolas" w:hAnsi="Consolas"/>
                <w:color w:val="202020"/>
                <w:sz w:val="19"/>
              </w:rPr>
              <w:t>fullScanAllowed</w:t>
            </w:r>
            <w:r>
              <w:rPr>
                <w:color w:val="202020"/>
                <w:sz w:val="20"/>
              </w:rPr>
              <w:t xml:space="preserve"> or </w:t>
            </w:r>
            <w:r>
              <w:rPr>
                <w:rFonts w:ascii="Consolas" w:hAnsi="Consolas"/>
                <w:color w:val="202020"/>
                <w:sz w:val="19"/>
              </w:rPr>
              <w:t>ALLOW_FULL_SCAN</w:t>
            </w:r>
            <w:r>
              <w:rPr>
                <w:color w:val="202020"/>
                <w:sz w:val="20"/>
              </w:rPr>
              <w:t xml:space="preserve"> to silence a refusal on a large object. That converts a safety guard into an outage. The guard firing on a big table means the filter is missing or wrong — fix the filter.</w:t>
            </w:r>
          </w:p>
        </w:tc>
      </w:tr>
    </w:tbl>
    <w:p>
      <w:pPr>
        <w:spacing w:after="40"/>
      </w:pPr>
    </w:p>
    <w:p>
      <w:pPr>
        <w:pStyle w:val="Heading2"/>
      </w:pPr>
      <w:r>
        <w:rPr>
          <w:color w:val="2E5496"/>
        </w:rPr>
        <w:t>7.4 filters.json is a change-controlled security control</w:t>
      </w:r>
    </w:p>
    <w:p>
      <w:pPr>
        <w:spacing w:after="120"/>
      </w:pPr>
      <w:r>
        <w:rPr>
          <w:color w:val="202020"/>
        </w:rPr>
        <w:t xml:space="preserve">Treat </w:t>
      </w:r>
      <w:r>
        <w:rPr>
          <w:rFonts w:ascii="Consolas" w:hAnsi="Consolas"/>
          <w:color w:val="202020"/>
          <w:sz w:val="19"/>
        </w:rPr>
        <w:t>config/filters.json</w:t>
      </w:r>
      <w:r>
        <w:rPr>
          <w:color w:val="202020"/>
        </w:rPr>
        <w:t xml:space="preserve"> the way you would treat a firewall rule, not an ordinary setting. A weakened or deleted filter is a cost-and-outage exposure: drop a </w:t>
      </w:r>
      <w:r>
        <w:rPr>
          <w:rFonts w:ascii="Consolas" w:hAnsi="Consolas"/>
          <w:color w:val="202020"/>
          <w:sz w:val="19"/>
        </w:rPr>
        <w:t>dt</w:t>
      </w:r>
      <w:r>
        <w:rPr>
          <w:color w:val="202020"/>
        </w:rPr>
        <w:t xml:space="preserve"> window and the next full crawl reads years of partitions. Accordingly:</w:t>
      </w:r>
    </w:p>
    <w:p>
      <w:pPr>
        <w:pStyle w:val="ListBullet"/>
        <w:spacing w:after="40"/>
      </w:pPr>
      <w:r>
        <w:rPr>
          <w:color w:val="202020"/>
        </w:rPr>
        <w:t xml:space="preserve">Changes go through review (a pull request) by the connector operations owner — the same people who may touch </w:t>
      </w:r>
      <w:r>
        <w:rPr>
          <w:rFonts w:ascii="Consolas" w:hAnsi="Consolas"/>
          <w:color w:val="202020"/>
          <w:sz w:val="19"/>
        </w:rPr>
        <w:t>ALLOW_FULL_SCAN</w:t>
      </w:r>
      <w:r>
        <w:rPr>
          <w:color w:val="202020"/>
        </w:rPr>
        <w:t xml:space="preserve"> and the deletion-sweep caps.</w:t>
      </w:r>
    </w:p>
    <w:p>
      <w:pPr>
        <w:pStyle w:val="ListBullet"/>
        <w:spacing w:after="40"/>
      </w:pPr>
      <w:r>
        <w:rPr>
          <w:rFonts w:ascii="Consolas" w:hAnsi="Consolas"/>
          <w:color w:val="202020"/>
          <w:sz w:val="19"/>
        </w:rPr>
        <w:t>validate-config --strict</w:t>
      </w:r>
      <w:r>
        <w:rPr>
          <w:color w:val="202020"/>
        </w:rPr>
        <w:t xml:space="preserve"> runs in the deployment pipeline and </w:t>
      </w:r>
      <w:r>
        <w:rPr>
          <w:b/>
          <w:color w:val="202020"/>
        </w:rPr>
        <w:t>errors</w:t>
      </w:r>
      <w:r>
        <w:rPr>
          <w:color w:val="202020"/>
        </w:rPr>
        <w:t xml:space="preserve"> on unfiltered objects, malformed filters and shard-map problems before they reach production.</w:t>
      </w:r>
    </w:p>
    <w:p>
      <w:pPr>
        <w:pStyle w:val="ListBullet"/>
        <w:spacing w:after="40"/>
      </w:pPr>
      <w:r>
        <w:rPr>
          <w:color w:val="202020"/>
        </w:rPr>
        <w:t xml:space="preserve">Malformed filters are fatal at load, by design — an unknown operator, a typo like </w:t>
      </w:r>
      <w:r>
        <w:rPr>
          <w:rFonts w:ascii="Consolas" w:hAnsi="Consolas"/>
          <w:color w:val="202020"/>
          <w:sz w:val="19"/>
        </w:rPr>
        <w:t>"anyof"</w:t>
      </w:r>
      <w:r>
        <w:rPr>
          <w:color w:val="202020"/>
        </w:rPr>
        <w:t xml:space="preserve">, a missing operand, or </w:t>
      </w:r>
      <w:r>
        <w:rPr>
          <w:rFonts w:ascii="Consolas" w:hAnsi="Consolas"/>
          <w:color w:val="202020"/>
          <w:sz w:val="19"/>
        </w:rPr>
        <w:t>anyOf</w:t>
      </w:r>
      <w:r>
        <w:rPr>
          <w:color w:val="202020"/>
        </w:rPr>
        <w:t xml:space="preserve"> and </w:t>
      </w:r>
      <w:r>
        <w:rPr>
          <w:rFonts w:ascii="Consolas" w:hAnsi="Consolas"/>
          <w:color w:val="202020"/>
          <w:sz w:val="19"/>
        </w:rPr>
        <w:t>allOf</w:t>
      </w:r>
      <w:r>
        <w:rPr>
          <w:color w:val="202020"/>
        </w:rPr>
        <w:t xml:space="preserve"> together all stop startup with a message naming the object and problem. There is deliberately no "skip the bad filter" mode, because a silently-dropped filter is an outage.</w:t>
      </w:r>
    </w:p>
    <w:p>
      <w:pPr>
        <w:pStyle w:val="ListBullet"/>
        <w:spacing w:after="40"/>
      </w:pPr>
      <w:r>
        <w:rPr>
          <w:color w:val="202020"/>
        </w:rPr>
        <w:t xml:space="preserve">A spike in </w:t>
      </w:r>
      <w:r>
        <w:rPr>
          <w:rFonts w:ascii="Consolas" w:hAnsi="Consolas"/>
          <w:color w:val="202020"/>
          <w:sz w:val="19"/>
        </w:rPr>
        <w:t>guard_refusals_total</w:t>
      </w:r>
      <w:r>
        <w:rPr>
          <w:color w:val="202020"/>
        </w:rPr>
        <w:t xml:space="preserve">, or a jump in </w:t>
      </w:r>
      <w:r>
        <w:rPr>
          <w:rFonts w:ascii="Consolas" w:hAnsi="Consolas"/>
          <w:color w:val="202020"/>
          <w:sz w:val="19"/>
        </w:rPr>
        <w:t>sweeps_suppressed_total</w:t>
      </w:r>
      <w:r>
        <w:rPr>
          <w:color w:val="202020"/>
        </w:rPr>
        <w:t>, right after a config change is the canonical "a filter regressed" signal — watch for it after every rollout.</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An over-tightened filter is also risky: shrinking an object's match set looks like mass deletion to the deletion sweep. The sweep has its own guards (</w:t>
            </w:r>
            <w:r>
              <w:rPr>
                <w:b/>
                <w:color w:val="202020"/>
                <w:sz w:val="20"/>
              </w:rPr>
              <w:t>Section 11</w:t>
            </w:r>
            <w:r>
              <w:rPr>
                <w:color w:val="202020"/>
                <w:sz w:val="20"/>
              </w:rPr>
              <w:t>), but review is the first line of defence — double-check the match counts after any filter edit.</w:t>
            </w:r>
          </w:p>
        </w:tc>
      </w:tr>
    </w:tbl>
    <w:p>
      <w:pPr>
        <w:spacing w:after="40"/>
      </w:pPr>
    </w:p>
    <w:p>
      <w:pPr>
        <w:pStyle w:val="Heading1"/>
      </w:pPr>
      <w:r>
        <w:rPr>
          <w:color w:val="1F3864"/>
        </w:rPr>
        <w:t>8. The 24-hour lag and incremental crawls</w:t>
      </w:r>
    </w:p>
    <w:p>
      <w:pPr>
        <w:spacing w:after="200"/>
      </w:pPr>
      <w:r>
        <w:rPr>
          <w:color w:val="595959"/>
          <w:sz w:val="23"/>
        </w:rPr>
        <w:t>BDH is loaded once a night, so its data can be up to ~24 hours behind live Salesforce. The connector is built around that lag rather than hiding it.</w:t>
      </w:r>
    </w:p>
    <w:p>
      <w:pPr>
        <w:pStyle w:val="Heading2"/>
      </w:pPr>
      <w:r>
        <w:rPr>
          <w:color w:val="2E5496"/>
        </w:rPr>
        <w:t>8.1 Why data is up to a day old</w:t>
      </w:r>
    </w:p>
    <w:p>
      <w:pPr>
        <w:spacing w:after="120"/>
      </w:pPr>
      <w:r>
        <w:rPr>
          <w:color w:val="202020"/>
        </w:rPr>
        <w:t xml:space="preserve">An overnight job mirrors Salesforce into BDH. Until tonight's load lands, BDH still shows yesterday's picture. So an item indexed from BDH may lag the live org by up to a day. The connector makes that visible instead of pretending otherwise: every item carries a </w:t>
      </w:r>
      <w:r>
        <w:rPr>
          <w:rFonts w:ascii="Consolas" w:hAnsi="Consolas"/>
          <w:color w:val="202020"/>
          <w:sz w:val="19"/>
        </w:rPr>
        <w:t>DataAsOf</w:t>
      </w:r>
      <w:r>
        <w:rPr>
          <w:color w:val="202020"/>
        </w:rPr>
        <w:t xml:space="preserve"> date (a refinable property) and a "Data as of" line in its searchable body, so a Copilot answer can surface the age of what it used.</w:t>
      </w:r>
    </w:p>
    <w:p>
      <w:pPr>
        <w:pStyle w:val="Heading2"/>
      </w:pPr>
      <w:r>
        <w:rPr>
          <w:color w:val="2E5496"/>
        </w:rPr>
        <w:t>8.2 Full crawls vs incremental crawls</w:t>
      </w:r>
    </w:p>
    <w:p>
      <w:pPr>
        <w:spacing w:after="120"/>
      </w:pPr>
      <w:r>
        <w:rPr>
          <w:color w:val="202020"/>
        </w:rPr>
        <w:t xml:space="preserve">A </w:t>
      </w:r>
      <w:r>
        <w:rPr>
          <w:b/>
          <w:color w:val="202020"/>
        </w:rPr>
        <w:t>full crawl</w:t>
      </w:r>
      <w:r>
        <w:rPr>
          <w:color w:val="202020"/>
        </w:rPr>
        <w:t xml:space="preserve"> reads every partition the filters allow and rebuilds the index for each object; it also runs the deletion sweep. An </w:t>
      </w:r>
      <w:r>
        <w:rPr>
          <w:b/>
          <w:color w:val="202020"/>
        </w:rPr>
        <w:t>incremental crawl</w:t>
      </w:r>
      <w:r>
        <w:rPr>
          <w:color w:val="202020"/>
        </w:rPr>
        <w:t xml:space="preserve"> reads only the newest partitions, to pick up each night's load quickly and cheaply. The continuous service does both on a schedule — full every 24 h, incremental every 4 h by default.</w:t>
      </w:r>
    </w:p>
    <w:p>
      <w:pPr>
        <w:pStyle w:val="Heading2"/>
      </w:pPr>
      <w:r>
        <w:rPr>
          <w:color w:val="2E5496"/>
        </w:rPr>
        <w:t>8.3 The dt-watermark and BDH_LAG_HOURS</w:t>
      </w:r>
    </w:p>
    <w:p>
      <w:pPr>
        <w:spacing w:after="120"/>
      </w:pPr>
      <w:r>
        <w:rPr>
          <w:color w:val="202020"/>
        </w:rPr>
        <w:t xml:space="preserve">An incremental crawl uses a </w:t>
      </w:r>
      <w:r>
        <w:rPr>
          <w:b/>
          <w:color w:val="202020"/>
        </w:rPr>
        <w:t>watermark</w:t>
      </w:r>
      <w:r>
        <w:rPr>
          <w:color w:val="202020"/>
        </w:rPr>
        <w:t xml:space="preserve"> — the timestamp of the last successful sync — to decide what is new. Rather than read only partitions strictly newer than the watermark, it deliberately reaches back by </w:t>
      </w:r>
      <w:r>
        <w:rPr>
          <w:rFonts w:ascii="Consolas" w:hAnsi="Consolas"/>
          <w:color w:val="202020"/>
          <w:sz w:val="19"/>
        </w:rPr>
        <w:t>BDH_LAG_HOURS</w:t>
      </w:r>
      <w:r>
        <w:rPr>
          <w:color w:val="202020"/>
        </w:rPr>
        <w:t xml:space="preserve"> (default 24): it reads every </w:t>
      </w:r>
      <w:r>
        <w:rPr>
          <w:rFonts w:ascii="Consolas" w:hAnsi="Consolas"/>
          <w:color w:val="202020"/>
          <w:sz w:val="19"/>
        </w:rPr>
        <w:t>dt</w:t>
      </w:r>
      <w:r>
        <w:rPr>
          <w:color w:val="202020"/>
        </w:rPr>
        <w:t xml:space="preserve"> partition newer than </w:t>
      </w:r>
      <w:r>
        <w:rPr>
          <w:b/>
          <w:color w:val="202020"/>
        </w:rPr>
        <w:t>(last sync − BDH_LAG_HOURS)</w:t>
      </w:r>
      <w:r>
        <w:rPr>
          <w:color w:val="202020"/>
        </w:rPr>
        <w:t>. That overlap window means a late-arriving nightly load is never missed, and re-reading a record that has not changed is harmless — writing it again is an idempotent update.</w:t>
      </w:r>
    </w:p>
    <w:p>
      <w:pPr>
        <w:spacing w:after="120"/>
      </w:pPr>
      <w:r>
        <w:rPr>
          <w:color w:val="202020"/>
        </w:rPr>
        <w:t>So the watermark is why data is a day old, and the overlap is why a load that lands late still gets picked up on the next cycle. If you ever suspect a whole window was skipped, force a full crawl — full crawls ignore the watermark and re-baseline everything.</w:t>
      </w:r>
    </w:p>
    <w:p>
      <w:pPr>
        <w:pStyle w:val="Heading2"/>
      </w:pPr>
      <w:r>
        <w:rPr>
          <w:color w:val="2E5496"/>
        </w:rPr>
        <w:t>8.4 The staleness alert</w:t>
      </w:r>
    </w:p>
    <w:p>
      <w:pPr>
        <w:spacing w:after="120"/>
      </w:pPr>
      <w:r>
        <w:rPr>
          <w:color w:val="202020"/>
        </w:rPr>
        <w:t>The connector records when each crawl last completed (</w:t>
      </w:r>
      <w:r>
        <w:rPr>
          <w:rFonts w:ascii="Consolas" w:hAnsi="Consolas"/>
          <w:color w:val="202020"/>
          <w:sz w:val="19"/>
        </w:rPr>
        <w:t>last_crawl_completed_timestamp_seconds</w:t>
      </w:r>
      <w:r>
        <w:rPr>
          <w:color w:val="202020"/>
        </w:rPr>
        <w:t xml:space="preserve">). The shipped alert </w:t>
      </w:r>
      <w:r>
        <w:rPr>
          <w:b/>
          <w:color w:val="202020"/>
        </w:rPr>
        <w:t>WatermarkStale</w:t>
      </w:r>
      <w:r>
        <w:rPr>
          <w:color w:val="202020"/>
        </w:rPr>
        <w:t xml:space="preserve"> fires when that age passes about </w:t>
      </w:r>
      <w:r>
        <w:rPr>
          <w:b/>
          <w:color w:val="202020"/>
        </w:rPr>
        <w:t>26 hours</w:t>
      </w:r>
      <w:r>
        <w:rPr>
          <w:color w:val="202020"/>
        </w:rPr>
        <w:t xml:space="preserve"> — the nightly-load contract (24 h) plus a little slack. In plain terms: "we have not seen a fresh load when we should have." The usual causes are a nightly load that did not run or landed late, a watermark that has drifted ahead of reality, or </w:t>
      </w:r>
      <w:r>
        <w:rPr>
          <w:rFonts w:ascii="Consolas" w:hAnsi="Consolas"/>
          <w:color w:val="202020"/>
          <w:sz w:val="19"/>
        </w:rPr>
        <w:t>BDH_LAG_HOURS</w:t>
      </w:r>
      <w:r>
        <w:rPr>
          <w:color w:val="202020"/>
        </w:rPr>
        <w:t xml:space="preserve"> set too small for how late loads actually arrive (see the runbook in </w:t>
      </w:r>
      <w:r>
        <w:rPr>
          <w:b/>
          <w:color w:val="202020"/>
        </w:rPr>
        <w:t>Section 13</w:t>
      </w:r>
      <w:r>
        <w:rPr>
          <w:color w:val="202020"/>
        </w:rPr>
        <w:t>).</w:t>
      </w:r>
    </w:p>
    <w:p>
      <w:pPr>
        <w:pStyle w:val="Heading2"/>
      </w:pPr>
      <w:r>
        <w:rPr>
          <w:color w:val="2E5496"/>
        </w:rPr>
        <w:t>8.5 Entitlement freshness on incremental crawls</w:t>
      </w:r>
    </w:p>
    <w:p>
      <w:pPr>
        <w:spacing w:after="120"/>
      </w:pPr>
      <w:r>
        <w:rPr>
          <w:color w:val="202020"/>
        </w:rPr>
        <w:t xml:space="preserve">As of this release the connector re-syncs its BDH→Entra identity mapping on </w:t>
      </w:r>
      <w:r>
        <w:rPr>
          <w:b/>
          <w:color w:val="202020"/>
        </w:rPr>
        <w:t>every incremental crawl</w:t>
      </w:r>
      <w:r>
        <w:rPr>
          <w:color w:val="202020"/>
        </w:rPr>
        <w:t>, not just on full crawls (</w:t>
      </w:r>
      <w:r>
        <w:rPr>
          <w:rFonts w:ascii="Consolas" w:hAnsi="Consolas"/>
          <w:color w:val="202020"/>
          <w:sz w:val="19"/>
        </w:rPr>
        <w:t>IDENTITY_SYNC_ON_INCREMENTAL</w:t>
      </w:r>
      <w:r>
        <w:rPr>
          <w:color w:val="202020"/>
        </w:rPr>
        <w:t xml:space="preserve"> now defaults to </w:t>
      </w:r>
      <w:r>
        <w:rPr>
          <w:rFonts w:ascii="Consolas" w:hAnsi="Consolas"/>
          <w:color w:val="202020"/>
          <w:sz w:val="19"/>
        </w:rPr>
        <w:t>true</w:t>
      </w:r>
      <w:r>
        <w:rPr>
          <w:color w:val="202020"/>
        </w:rPr>
        <w:t xml:space="preserve">). That shrinks how long an entitlement change — a new joiner, a mover, a leaver — takes to reach the index: from "wait for the next full crawl" down to the incremental cadence (every 4 h by default). Set it </w:t>
      </w:r>
      <w:r>
        <w:rPr>
          <w:rFonts w:ascii="Consolas" w:hAnsi="Consolas"/>
          <w:color w:val="202020"/>
          <w:sz w:val="19"/>
        </w:rPr>
        <w:t>false</w:t>
      </w:r>
      <w:r>
        <w:rPr>
          <w:color w:val="202020"/>
        </w:rPr>
        <w:t xml:space="preserve"> to restrict identity sync to full crawls only, as older builds did.</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This is faster, but it is </w:t>
            </w:r>
            <w:r>
              <w:rPr>
                <w:b/>
                <w:color w:val="202020"/>
                <w:sz w:val="20"/>
              </w:rPr>
              <w:t>not real-time, and there is no separate re-ACL sweep</w:t>
            </w:r>
            <w:r>
              <w:rPr>
                <w:color w:val="202020"/>
                <w:sz w:val="20"/>
              </w:rPr>
              <w:t xml:space="preserve">. Re-syncing refreshes the identity MAPPING, but an item's ACL is only re-written when its SOURCE record changes. An item whose record is unchanged keeps the ACL it was last written with until the next FULL crawl re-baselines it. In other words, </w:t>
            </w:r>
            <w:r>
              <w:rPr>
                <w:b/>
                <w:color w:val="202020"/>
                <w:sz w:val="20"/>
              </w:rPr>
              <w:t>full crawls are the re-ACL cadence</w:t>
            </w:r>
            <w:r>
              <w:rPr>
                <w:color w:val="202020"/>
                <w:sz w:val="20"/>
              </w:rPr>
              <w:t xml:space="preserve"> — schedule them (</w:t>
            </w:r>
            <w:r>
              <w:rPr>
                <w:rFonts w:ascii="Consolas" w:hAnsi="Consolas"/>
                <w:color w:val="202020"/>
                <w:sz w:val="19"/>
              </w:rPr>
              <w:t>--full-crawl-hours</w:t>
            </w:r>
            <w:r>
              <w:rPr>
                <w:color w:val="202020"/>
                <w:sz w:val="20"/>
              </w:rPr>
              <w:t>) to match your entitlement-freshness SLA, not just the incremental interval.</w:t>
            </w:r>
          </w:p>
        </w:tc>
      </w:tr>
    </w:tbl>
    <w:p>
      <w:pPr>
        <w:spacing w:after="40"/>
      </w:pPr>
    </w:p>
    <w:p>
      <w:r>
        <w:br w:type="page"/>
      </w:r>
    </w:p>
    <w:p>
      <w:pPr>
        <w:pStyle w:val="Heading1"/>
      </w:pPr>
      <w:r>
        <w:rPr>
          <w:color w:val="1F3864"/>
        </w:rPr>
        <w:t>9. Before you start: prerequisites and intake checklist</w:t>
      </w:r>
    </w:p>
    <w:p>
      <w:pPr>
        <w:spacing w:after="200"/>
      </w:pPr>
      <w:r>
        <w:rPr>
          <w:color w:val="595959"/>
          <w:sz w:val="23"/>
        </w:rPr>
        <w:t>Gather everything below before you touch the connector. Each row names the setting and who supplies it; fill in the last column as you collect them.</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600"/>
        <w:gridCol w:w="4360"/>
        <w:gridCol w:w="2400"/>
      </w:tblGrid>
      <w:tr>
        <w:tc>
          <w:tcPr>
            <w:tcW w:type="dxa" w:w="2600"/>
            <w:shd w:val="clear" w:color="auto" w:fill="2E5496"/>
          </w:tcPr>
          <w:p>
            <w:r>
              <w:rPr>
                <w:b/>
                <w:color w:val="FFFFFF"/>
                <w:sz w:val="19"/>
              </w:rPr>
              <w:t>Item</w:t>
            </w:r>
          </w:p>
        </w:tc>
        <w:tc>
          <w:tcPr>
            <w:tcW w:type="dxa" w:w="4360"/>
            <w:shd w:val="clear" w:color="auto" w:fill="2E5496"/>
          </w:tcPr>
          <w:p>
            <w:r>
              <w:rPr>
                <w:b/>
                <w:color w:val="FFFFFF"/>
                <w:sz w:val="19"/>
              </w:rPr>
              <w:t>Setting / detail</w:t>
            </w:r>
          </w:p>
        </w:tc>
        <w:tc>
          <w:tcPr>
            <w:tcW w:type="dxa" w:w="2400"/>
            <w:shd w:val="clear" w:color="auto" w:fill="2E5496"/>
          </w:tcPr>
          <w:p>
            <w:r>
              <w:rPr>
                <w:b/>
                <w:color w:val="FFFFFF"/>
                <w:sz w:val="19"/>
              </w:rPr>
              <w:t>Value / provided by</w:t>
            </w:r>
          </w:p>
        </w:tc>
      </w:tr>
      <w:tr>
        <w:tc>
          <w:tcPr>
            <w:tcW w:type="dxa" w:w="2600"/>
          </w:tcPr>
          <w:p>
            <w:r>
              <w:rPr>
                <w:color w:val="202020"/>
                <w:sz w:val="19"/>
              </w:rPr>
              <w:t>Entra tenant ID</w:t>
            </w:r>
          </w:p>
        </w:tc>
        <w:tc>
          <w:tcPr>
            <w:tcW w:type="dxa" w:w="4360"/>
          </w:tcPr>
          <w:p>
            <w:r>
              <w:rPr>
                <w:rFonts w:ascii="Consolas" w:hAnsi="Consolas"/>
                <w:color w:val="202020"/>
                <w:sz w:val="19"/>
              </w:rPr>
              <w:t>AAD_APP_TENANT_ID</w:t>
            </w:r>
            <w:r>
              <w:rPr>
                <w:color w:val="202020"/>
                <w:sz w:val="19"/>
              </w:rPr>
              <w:t xml:space="preserve"> — from the Entra tenant admin</w:t>
            </w:r>
          </w:p>
        </w:tc>
        <w:tc>
          <w:tcPr>
            <w:tcW w:type="dxa" w:w="2400"/>
          </w:tcPr>
          <w:p/>
        </w:tc>
      </w:tr>
      <w:tr>
        <w:tc>
          <w:tcPr>
            <w:tcW w:type="dxa" w:w="2600"/>
            <w:shd w:val="clear" w:color="auto" w:fill="F7F9FC"/>
          </w:tcPr>
          <w:p>
            <w:r>
              <w:rPr>
                <w:color w:val="202020"/>
                <w:sz w:val="19"/>
              </w:rPr>
              <w:t>Entra app (client) ID</w:t>
            </w:r>
          </w:p>
        </w:tc>
        <w:tc>
          <w:tcPr>
            <w:tcW w:type="dxa" w:w="4360"/>
            <w:shd w:val="clear" w:color="auto" w:fill="F7F9FC"/>
          </w:tcPr>
          <w:p>
            <w:r>
              <w:rPr>
                <w:rFonts w:ascii="Consolas" w:hAnsi="Consolas"/>
                <w:color w:val="202020"/>
                <w:sz w:val="19"/>
              </w:rPr>
              <w:t>AAD_APP_CLIENT_ID</w:t>
            </w:r>
            <w:r>
              <w:rPr>
                <w:color w:val="202020"/>
                <w:sz w:val="19"/>
              </w:rPr>
              <w:t xml:space="preserve"> — the app registration</w:t>
            </w:r>
          </w:p>
        </w:tc>
        <w:tc>
          <w:tcPr>
            <w:tcW w:type="dxa" w:w="2400"/>
            <w:shd w:val="clear" w:color="auto" w:fill="F7F9FC"/>
          </w:tcPr>
          <w:p/>
        </w:tc>
      </w:tr>
      <w:tr>
        <w:tc>
          <w:tcPr>
            <w:tcW w:type="dxa" w:w="2600"/>
          </w:tcPr>
          <w:p>
            <w:r>
              <w:rPr>
                <w:color w:val="202020"/>
                <w:sz w:val="19"/>
              </w:rPr>
              <w:t>App credential</w:t>
            </w:r>
          </w:p>
        </w:tc>
        <w:tc>
          <w:tcPr>
            <w:tcW w:type="dxa" w:w="4360"/>
          </w:tcPr>
          <w:p>
            <w:r>
              <w:rPr>
                <w:color w:val="202020"/>
                <w:sz w:val="19"/>
              </w:rPr>
              <w:t>Client secret (</w:t>
            </w:r>
            <w:r>
              <w:rPr>
                <w:rFonts w:ascii="Consolas" w:hAnsi="Consolas"/>
                <w:color w:val="202020"/>
                <w:sz w:val="19"/>
              </w:rPr>
              <w:t>SECRET_AAD_APP_CLIENT_SECRET</w:t>
            </w:r>
            <w:r>
              <w:rPr>
                <w:color w:val="202020"/>
                <w:sz w:val="19"/>
              </w:rPr>
              <w:t>) or, preferred, a certificate (</w:t>
            </w:r>
            <w:r>
              <w:rPr>
                <w:rFonts w:ascii="Consolas" w:hAnsi="Consolas"/>
                <w:color w:val="202020"/>
                <w:sz w:val="19"/>
              </w:rPr>
              <w:t>GRAPH_CLIENT_CERT_*</w:t>
            </w:r>
            <w:r>
              <w:rPr>
                <w:color w:val="202020"/>
                <w:sz w:val="19"/>
              </w:rPr>
              <w:t>)</w:t>
            </w:r>
          </w:p>
        </w:tc>
        <w:tc>
          <w:tcPr>
            <w:tcW w:type="dxa" w:w="2400"/>
          </w:tcPr>
          <w:p/>
        </w:tc>
      </w:tr>
      <w:tr>
        <w:tc>
          <w:tcPr>
            <w:tcW w:type="dxa" w:w="2600"/>
            <w:shd w:val="clear" w:color="auto" w:fill="F7F9FC"/>
          </w:tcPr>
          <w:p>
            <w:r>
              <w:rPr>
                <w:color w:val="202020"/>
                <w:sz w:val="19"/>
              </w:rPr>
              <w:t>Graph permissions</w:t>
            </w:r>
          </w:p>
        </w:tc>
        <w:tc>
          <w:tcPr>
            <w:tcW w:type="dxa" w:w="4360"/>
            <w:shd w:val="clear" w:color="auto" w:fill="F7F9FC"/>
          </w:tcPr>
          <w:p>
            <w:r>
              <w:rPr>
                <w:rFonts w:ascii="Consolas" w:hAnsi="Consolas"/>
                <w:color w:val="202020"/>
                <w:sz w:val="19"/>
              </w:rPr>
              <w:t>ExternalConnection.ReadWrite.OwnedBy</w:t>
            </w:r>
            <w:r>
              <w:rPr>
                <w:color w:val="202020"/>
                <w:sz w:val="19"/>
              </w:rPr>
              <w:t xml:space="preserve">, </w:t>
            </w:r>
            <w:r>
              <w:rPr>
                <w:rFonts w:ascii="Consolas" w:hAnsi="Consolas"/>
                <w:color w:val="202020"/>
                <w:sz w:val="19"/>
              </w:rPr>
              <w:t>ExternalItem.ReadWrite.OwnedBy</w:t>
            </w:r>
            <w:r>
              <w:rPr>
                <w:color w:val="202020"/>
                <w:sz w:val="19"/>
              </w:rPr>
              <w:t xml:space="preserve">, </w:t>
            </w:r>
            <w:r>
              <w:rPr>
                <w:rFonts w:ascii="Consolas" w:hAnsi="Consolas"/>
                <w:color w:val="202020"/>
                <w:sz w:val="19"/>
              </w:rPr>
              <w:t>User.Read.All</w:t>
            </w:r>
            <w:r>
              <w:rPr>
                <w:color w:val="202020"/>
                <w:sz w:val="19"/>
              </w:rPr>
              <w:t xml:space="preserve"> — admin-consented</w:t>
            </w:r>
          </w:p>
        </w:tc>
        <w:tc>
          <w:tcPr>
            <w:tcW w:type="dxa" w:w="2400"/>
            <w:shd w:val="clear" w:color="auto" w:fill="F7F9FC"/>
          </w:tcPr>
          <w:p/>
        </w:tc>
      </w:tr>
      <w:tr>
        <w:tc>
          <w:tcPr>
            <w:tcW w:type="dxa" w:w="2600"/>
          </w:tcPr>
          <w:p>
            <w:r>
              <w:rPr>
                <w:color w:val="202020"/>
                <w:sz w:val="19"/>
              </w:rPr>
              <w:t>SEPARATE connection id</w:t>
            </w:r>
          </w:p>
        </w:tc>
        <w:tc>
          <w:tcPr>
            <w:tcW w:type="dxa" w:w="4360"/>
          </w:tcPr>
          <w:p>
            <w:r>
              <w:rPr>
                <w:rFonts w:ascii="Consolas" w:hAnsi="Consolas"/>
                <w:color w:val="202020"/>
                <w:sz w:val="19"/>
              </w:rPr>
              <w:t>CONNECTOR_ID</w:t>
            </w:r>
            <w:r>
              <w:rPr>
                <w:color w:val="202020"/>
                <w:sz w:val="19"/>
              </w:rPr>
              <w:t xml:space="preserve"> — MUST differ from the live Salesforce connector</w:t>
            </w:r>
          </w:p>
        </w:tc>
        <w:tc>
          <w:tcPr>
            <w:tcW w:type="dxa" w:w="2400"/>
          </w:tcPr>
          <w:p/>
        </w:tc>
      </w:tr>
      <w:tr>
        <w:tc>
          <w:tcPr>
            <w:tcW w:type="dxa" w:w="2600"/>
            <w:shd w:val="clear" w:color="auto" w:fill="F7F9FC"/>
          </w:tcPr>
          <w:p>
            <w:r>
              <w:rPr>
                <w:color w:val="202020"/>
                <w:sz w:val="19"/>
              </w:rPr>
              <w:t>Azure Key Vault (optional)</w:t>
            </w:r>
          </w:p>
        </w:tc>
        <w:tc>
          <w:tcPr>
            <w:tcW w:type="dxa" w:w="4360"/>
            <w:shd w:val="clear" w:color="auto" w:fill="F7F9FC"/>
          </w:tcPr>
          <w:p>
            <w:r>
              <w:rPr>
                <w:rFonts w:ascii="Consolas" w:hAnsi="Consolas"/>
                <w:color w:val="202020"/>
                <w:sz w:val="19"/>
              </w:rPr>
              <w:t>USE_KEY_VAULT</w:t>
            </w:r>
            <w:r>
              <w:rPr>
                <w:color w:val="202020"/>
                <w:sz w:val="19"/>
              </w:rPr>
              <w:t xml:space="preserve"> + </w:t>
            </w:r>
            <w:r>
              <w:rPr>
                <w:rFonts w:ascii="Consolas" w:hAnsi="Consolas"/>
                <w:color w:val="202020"/>
                <w:sz w:val="19"/>
              </w:rPr>
              <w:t>KEY_VAULT_URI</w:t>
            </w:r>
            <w:r>
              <w:rPr>
                <w:color w:val="202020"/>
                <w:sz w:val="19"/>
              </w:rPr>
              <w:t xml:space="preserve"> to hold the </w:t>
            </w:r>
            <w:r>
              <w:rPr>
                <w:rFonts w:ascii="Consolas" w:hAnsi="Consolas"/>
                <w:color w:val="202020"/>
                <w:sz w:val="19"/>
              </w:rPr>
              <w:t>SECRET_*</w:t>
            </w:r>
            <w:r>
              <w:rPr>
                <w:color w:val="202020"/>
                <w:sz w:val="19"/>
              </w:rPr>
              <w:t xml:space="preserve"> values</w:t>
            </w:r>
          </w:p>
        </w:tc>
        <w:tc>
          <w:tcPr>
            <w:tcW w:type="dxa" w:w="2400"/>
            <w:shd w:val="clear" w:color="auto" w:fill="F7F9FC"/>
          </w:tcPr>
          <w:p/>
        </w:tc>
      </w:tr>
      <w:tr>
        <w:tc>
          <w:tcPr>
            <w:tcW w:type="dxa" w:w="2600"/>
          </w:tcPr>
          <w:p>
            <w:r>
              <w:rPr>
                <w:color w:val="202020"/>
                <w:sz w:val="19"/>
              </w:rPr>
              <w:t>BDH access mode</w:t>
            </w:r>
          </w:p>
        </w:tc>
        <w:tc>
          <w:tcPr>
            <w:tcW w:type="dxa" w:w="4360"/>
          </w:tcPr>
          <w:p>
            <w:r>
              <w:rPr>
                <w:rFonts w:ascii="Consolas" w:hAnsi="Consolas"/>
                <w:color w:val="202020"/>
                <w:sz w:val="19"/>
              </w:rPr>
              <w:t>HDFS_MODE</w:t>
            </w:r>
            <w:r>
              <w:rPr>
                <w:color w:val="202020"/>
                <w:sz w:val="19"/>
              </w:rPr>
              <w:t xml:space="preserve"> = </w:t>
            </w:r>
            <w:r>
              <w:rPr>
                <w:rFonts w:ascii="Consolas" w:hAnsi="Consolas"/>
                <w:color w:val="202020"/>
                <w:sz w:val="19"/>
              </w:rPr>
              <w:t>webhdfs</w:t>
            </w:r>
            <w:r>
              <w:rPr>
                <w:color w:val="202020"/>
                <w:sz w:val="19"/>
              </w:rPr>
              <w:t xml:space="preserve"> or </w:t>
            </w:r>
            <w:r>
              <w:rPr>
                <w:rFonts w:ascii="Consolas" w:hAnsi="Consolas"/>
                <w:color w:val="202020"/>
                <w:sz w:val="19"/>
              </w:rPr>
              <w:t>localpath</w:t>
            </w:r>
          </w:p>
        </w:tc>
        <w:tc>
          <w:tcPr>
            <w:tcW w:type="dxa" w:w="2400"/>
          </w:tcPr>
          <w:p/>
        </w:tc>
      </w:tr>
      <w:tr>
        <w:tc>
          <w:tcPr>
            <w:tcW w:type="dxa" w:w="2600"/>
            <w:shd w:val="clear" w:color="auto" w:fill="F7F9FC"/>
          </w:tcPr>
          <w:p>
            <w:r>
              <w:rPr>
                <w:color w:val="202020"/>
                <w:sz w:val="19"/>
              </w:rPr>
              <w:t>WebHDFS endpoint / mount</w:t>
            </w:r>
          </w:p>
        </w:tc>
        <w:tc>
          <w:tcPr>
            <w:tcW w:type="dxa" w:w="4360"/>
            <w:shd w:val="clear" w:color="auto" w:fill="F7F9FC"/>
          </w:tcPr>
          <w:p>
            <w:r>
              <w:rPr>
                <w:rFonts w:ascii="Consolas" w:hAnsi="Consolas"/>
                <w:color w:val="202020"/>
                <w:sz w:val="19"/>
              </w:rPr>
              <w:t>HDFS_NAMENODE_URL</w:t>
            </w:r>
            <w:r>
              <w:rPr>
                <w:color w:val="202020"/>
                <w:sz w:val="19"/>
              </w:rPr>
              <w:t xml:space="preserve"> (incl. </w:t>
            </w:r>
            <w:r>
              <w:rPr>
                <w:rFonts w:ascii="Consolas" w:hAnsi="Consolas"/>
                <w:color w:val="202020"/>
                <w:sz w:val="19"/>
              </w:rPr>
              <w:t>/webhdfs/v1</w:t>
            </w:r>
            <w:r>
              <w:rPr>
                <w:color w:val="202020"/>
                <w:sz w:val="19"/>
              </w:rPr>
              <w:t xml:space="preserve">) or </w:t>
            </w:r>
            <w:r>
              <w:rPr>
                <w:rFonts w:ascii="Consolas" w:hAnsi="Consolas"/>
                <w:color w:val="202020"/>
                <w:sz w:val="19"/>
              </w:rPr>
              <w:t>BDH_EXPORT_PATH</w:t>
            </w:r>
          </w:p>
        </w:tc>
        <w:tc>
          <w:tcPr>
            <w:tcW w:type="dxa" w:w="2400"/>
            <w:shd w:val="clear" w:color="auto" w:fill="F7F9FC"/>
          </w:tcPr>
          <w:p/>
        </w:tc>
      </w:tr>
      <w:tr>
        <w:tc>
          <w:tcPr>
            <w:tcW w:type="dxa" w:w="2600"/>
          </w:tcPr>
          <w:p>
            <w:r>
              <w:rPr>
                <w:color w:val="202020"/>
                <w:sz w:val="19"/>
              </w:rPr>
              <w:t>Read-only HDFS principal / token</w:t>
            </w:r>
          </w:p>
        </w:tc>
        <w:tc>
          <w:tcPr>
            <w:tcW w:type="dxa" w:w="4360"/>
          </w:tcPr>
          <w:p>
            <w:r>
              <w:rPr>
                <w:rFonts w:ascii="Consolas" w:hAnsi="Consolas"/>
                <w:color w:val="202020"/>
                <w:sz w:val="19"/>
              </w:rPr>
              <w:t>HDFS_USER</w:t>
            </w:r>
            <w:r>
              <w:rPr>
                <w:color w:val="202020"/>
                <w:sz w:val="19"/>
              </w:rPr>
              <w:t xml:space="preserve"> and/or </w:t>
            </w:r>
            <w:r>
              <w:rPr>
                <w:rFonts w:ascii="Consolas" w:hAnsi="Consolas"/>
                <w:color w:val="202020"/>
                <w:sz w:val="19"/>
              </w:rPr>
              <w:t>SECRET_HDFS_DELEGATION_TOKEN</w:t>
            </w:r>
            <w:r>
              <w:rPr>
                <w:color w:val="202020"/>
                <w:sz w:val="19"/>
              </w:rPr>
              <w:t xml:space="preserve"> (or the Knox identity), read-only on </w:t>
            </w:r>
            <w:r>
              <w:rPr>
                <w:rFonts w:ascii="Consolas" w:hAnsi="Consolas"/>
                <w:color w:val="202020"/>
                <w:sz w:val="19"/>
              </w:rPr>
              <w:t>BDH_ROOT_PATH</w:t>
            </w:r>
          </w:p>
        </w:tc>
        <w:tc>
          <w:tcPr>
            <w:tcW w:type="dxa" w:w="2400"/>
          </w:tcPr>
          <w:p/>
        </w:tc>
      </w:tr>
      <w:tr>
        <w:tc>
          <w:tcPr>
            <w:tcW w:type="dxa" w:w="2600"/>
            <w:shd w:val="clear" w:color="auto" w:fill="F7F9FC"/>
          </w:tcPr>
          <w:p>
            <w:r>
              <w:rPr>
                <w:color w:val="202020"/>
                <w:sz w:val="19"/>
              </w:rPr>
              <w:t>Private CA bundle</w:t>
            </w:r>
          </w:p>
        </w:tc>
        <w:tc>
          <w:tcPr>
            <w:tcW w:type="dxa" w:w="4360"/>
            <w:shd w:val="clear" w:color="auto" w:fill="F7F9FC"/>
          </w:tcPr>
          <w:p>
            <w:r>
              <w:rPr>
                <w:rFonts w:ascii="Consolas" w:hAnsi="Consolas"/>
                <w:color w:val="202020"/>
                <w:sz w:val="19"/>
              </w:rPr>
              <w:t>CA_BUNDLE_PATH</w:t>
            </w:r>
            <w:r>
              <w:rPr>
                <w:color w:val="202020"/>
                <w:sz w:val="19"/>
              </w:rPr>
              <w:t xml:space="preserve"> for internal-TLS WebHDFS/Knox and any TLS-inspecting proxy</w:t>
            </w:r>
          </w:p>
        </w:tc>
        <w:tc>
          <w:tcPr>
            <w:tcW w:type="dxa" w:w="2400"/>
            <w:shd w:val="clear" w:color="auto" w:fill="F7F9FC"/>
          </w:tcPr>
          <w:p/>
        </w:tc>
      </w:tr>
      <w:tr>
        <w:tc>
          <w:tcPr>
            <w:tcW w:type="dxa" w:w="2600"/>
          </w:tcPr>
          <w:p>
            <w:r>
              <w:rPr>
                <w:color w:val="202020"/>
                <w:sz w:val="19"/>
              </w:rPr>
              <w:t>Partition layout &amp; root</w:t>
            </w:r>
          </w:p>
        </w:tc>
        <w:tc>
          <w:tcPr>
            <w:tcW w:type="dxa" w:w="4360"/>
          </w:tcPr>
          <w:p>
            <w:r>
              <w:rPr>
                <w:rFonts w:ascii="Consolas" w:hAnsi="Consolas"/>
                <w:color w:val="202020"/>
                <w:sz w:val="19"/>
              </w:rPr>
              <w:t>BDH_ROOT_PATH</w:t>
            </w:r>
            <w:r>
              <w:rPr>
                <w:color w:val="202020"/>
                <w:sz w:val="19"/>
              </w:rPr>
              <w:t xml:space="preserve">; which </w:t>
            </w:r>
            <w:r>
              <w:rPr>
                <w:rFonts w:ascii="Consolas" w:hAnsi="Consolas"/>
                <w:color w:val="202020"/>
                <w:sz w:val="19"/>
              </w:rPr>
              <w:t>key=</w:t>
            </w:r>
            <w:r>
              <w:rPr>
                <w:color w:val="202020"/>
                <w:sz w:val="19"/>
              </w:rPr>
              <w:t xml:space="preserve"> folders exist; the object-to-directory mapping (</w:t>
            </w:r>
            <w:r>
              <w:rPr>
                <w:rFonts w:ascii="Consolas" w:hAnsi="Consolas"/>
                <w:color w:val="202020"/>
                <w:sz w:val="19"/>
              </w:rPr>
              <w:t>sourcePath</w:t>
            </w:r>
            <w:r>
              <w:rPr>
                <w:color w:val="202020"/>
                <w:sz w:val="19"/>
              </w:rPr>
              <w:t>)</w:t>
            </w:r>
          </w:p>
        </w:tc>
        <w:tc>
          <w:tcPr>
            <w:tcW w:type="dxa" w:w="2400"/>
          </w:tcPr>
          <w:p/>
        </w:tc>
      </w:tr>
      <w:tr>
        <w:tc>
          <w:tcPr>
            <w:tcW w:type="dxa" w:w="2600"/>
            <w:shd w:val="clear" w:color="auto" w:fill="F7F9FC"/>
          </w:tcPr>
          <w:p>
            <w:r>
              <w:rPr>
                <w:color w:val="202020"/>
                <w:sz w:val="19"/>
              </w:rPr>
              <w:t>Per-object filter policy</w:t>
            </w:r>
          </w:p>
        </w:tc>
        <w:tc>
          <w:tcPr>
            <w:tcW w:type="dxa" w:w="4360"/>
            <w:shd w:val="clear" w:color="auto" w:fill="F7F9FC"/>
          </w:tcPr>
          <w:p>
            <w:r>
              <w:rPr>
                <w:rFonts w:ascii="Consolas" w:hAnsi="Consolas"/>
                <w:color w:val="202020"/>
                <w:sz w:val="19"/>
              </w:rPr>
              <w:t>config/filters.json</w:t>
            </w:r>
            <w:r>
              <w:rPr>
                <w:color w:val="202020"/>
                <w:sz w:val="19"/>
              </w:rPr>
              <w:t xml:space="preserve"> content, and its named owner / sign-off</w:t>
            </w:r>
          </w:p>
        </w:tc>
        <w:tc>
          <w:tcPr>
            <w:tcW w:type="dxa" w:w="2400"/>
            <w:shd w:val="clear" w:color="auto" w:fill="F7F9FC"/>
          </w:tcPr>
          <w:p/>
        </w:tc>
      </w:tr>
      <w:tr>
        <w:tc>
          <w:tcPr>
            <w:tcW w:type="dxa" w:w="2600"/>
          </w:tcPr>
          <w:p>
            <w:r>
              <w:rPr>
                <w:color w:val="202020"/>
                <w:sz w:val="19"/>
              </w:rPr>
              <w:t>Windows service account</w:t>
            </w:r>
          </w:p>
        </w:tc>
        <w:tc>
          <w:tcPr>
            <w:tcW w:type="dxa" w:w="4360"/>
          </w:tcPr>
          <w:p>
            <w:r>
              <w:rPr>
                <w:color w:val="202020"/>
                <w:sz w:val="19"/>
              </w:rPr>
              <w:t>gMSA or low-privilege account with the least-privilege grants</w:t>
            </w:r>
          </w:p>
        </w:tc>
        <w:tc>
          <w:tcPr>
            <w:tcW w:type="dxa" w:w="2400"/>
          </w:tcPr>
          <w:p/>
        </w:tc>
      </w:tr>
      <w:tr>
        <w:tc>
          <w:tcPr>
            <w:tcW w:type="dxa" w:w="2600"/>
            <w:shd w:val="clear" w:color="auto" w:fill="F7F9FC"/>
          </w:tcPr>
          <w:p>
            <w:r>
              <w:rPr>
                <w:color w:val="202020"/>
                <w:sz w:val="19"/>
              </w:rPr>
              <w:t>Proxy</w:t>
            </w:r>
          </w:p>
        </w:tc>
        <w:tc>
          <w:tcPr>
            <w:tcW w:type="dxa" w:w="4360"/>
            <w:shd w:val="clear" w:color="auto" w:fill="F7F9FC"/>
          </w:tcPr>
          <w:p>
            <w:r>
              <w:rPr>
                <w:rFonts w:ascii="Consolas" w:hAnsi="Consolas"/>
                <w:color w:val="202020"/>
                <w:sz w:val="19"/>
              </w:rPr>
              <w:t>PROXY_URL</w:t>
            </w:r>
            <w:r>
              <w:rPr>
                <w:color w:val="202020"/>
                <w:sz w:val="19"/>
              </w:rPr>
              <w:t xml:space="preserve"> / </w:t>
            </w:r>
            <w:r>
              <w:rPr>
                <w:rFonts w:ascii="Consolas" w:hAnsi="Consolas"/>
                <w:color w:val="202020"/>
                <w:sz w:val="19"/>
              </w:rPr>
              <w:t>PROXY_BYPASS</w:t>
            </w:r>
            <w:r>
              <w:rPr>
                <w:color w:val="202020"/>
                <w:sz w:val="19"/>
              </w:rPr>
              <w:t xml:space="preserve"> (usually Graph via proxy, WebHDFS bypassed)</w:t>
            </w:r>
          </w:p>
        </w:tc>
        <w:tc>
          <w:tcPr>
            <w:tcW w:type="dxa" w:w="2400"/>
            <w:shd w:val="clear" w:color="auto" w:fill="F7F9FC"/>
          </w:tcPr>
          <w:p/>
        </w:tc>
      </w:tr>
      <w:tr>
        <w:tc>
          <w:tcPr>
            <w:tcW w:type="dxa" w:w="2600"/>
          </w:tcPr>
          <w:p>
            <w:r>
              <w:rPr>
                <w:color w:val="202020"/>
                <w:sz w:val="19"/>
              </w:rPr>
              <w:t>SQL Server (if HA/shared state)</w:t>
            </w:r>
          </w:p>
        </w:tc>
        <w:tc>
          <w:tcPr>
            <w:tcW w:type="dxa" w:w="4360"/>
          </w:tcPr>
          <w:p>
            <w:r>
              <w:rPr>
                <w:rFonts w:ascii="Consolas" w:hAnsi="Consolas"/>
                <w:color w:val="202020"/>
                <w:sz w:val="19"/>
              </w:rPr>
              <w:t>USE_SQL_SERVER</w:t>
            </w:r>
            <w:r>
              <w:rPr>
                <w:color w:val="202020"/>
                <w:sz w:val="19"/>
              </w:rPr>
              <w:t xml:space="preserve"> + </w:t>
            </w:r>
            <w:r>
              <w:rPr>
                <w:rFonts w:ascii="Consolas" w:hAnsi="Consolas"/>
                <w:color w:val="202020"/>
                <w:sz w:val="19"/>
              </w:rPr>
              <w:t>SQL_CONNECTION_STRING</w:t>
            </w:r>
            <w:r>
              <w:rPr>
                <w:color w:val="202020"/>
                <w:sz w:val="19"/>
              </w:rPr>
              <w:t xml:space="preserve">; provision with </w:t>
            </w:r>
            <w:r>
              <w:rPr>
                <w:rFonts w:ascii="Consolas" w:hAnsi="Consolas"/>
                <w:color w:val="202020"/>
                <w:sz w:val="19"/>
              </w:rPr>
              <w:t>scripts/sql/create-database.sql</w:t>
            </w:r>
          </w:p>
        </w:tc>
        <w:tc>
          <w:tcPr>
            <w:tcW w:type="dxa" w:w="2400"/>
          </w:tcP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The </w:t>
            </w:r>
            <w:r>
              <w:rPr>
                <w:b/>
                <w:color w:val="202020"/>
                <w:sz w:val="20"/>
              </w:rPr>
              <w:t>Entra tenant admin</w:t>
            </w:r>
            <w:r>
              <w:rPr>
                <w:color w:val="202020"/>
                <w:sz w:val="20"/>
              </w:rPr>
              <w:t xml:space="preserve"> owns the tenant/app IDs, the app credential, and the admin consent for the three Graph permissions. The </w:t>
            </w:r>
            <w:r>
              <w:rPr>
                <w:b/>
                <w:color w:val="202020"/>
                <w:sz w:val="20"/>
              </w:rPr>
              <w:t>Hadoop/BDH platform team</w:t>
            </w:r>
            <w:r>
              <w:rPr>
                <w:color w:val="202020"/>
                <w:sz w:val="20"/>
              </w:rPr>
              <w:t xml:space="preserve"> owns the WebHDFS endpoint (or mount), the read-only principal/token, the partition layout and the object-to-path mapping. The </w:t>
            </w:r>
            <w:r>
              <w:rPr>
                <w:b/>
                <w:color w:val="202020"/>
                <w:sz w:val="20"/>
              </w:rPr>
              <w:t>network/firewall and PKI teams</w:t>
            </w:r>
            <w:r>
              <w:rPr>
                <w:color w:val="202020"/>
                <w:sz w:val="20"/>
              </w:rPr>
              <w:t xml:space="preserve"> own the proxy details and the private CA bundle. The </w:t>
            </w:r>
            <w:r>
              <w:rPr>
                <w:b/>
                <w:color w:val="202020"/>
                <w:sz w:val="20"/>
              </w:rPr>
              <w:t>connector operations owner</w:t>
            </w:r>
            <w:r>
              <w:rPr>
                <w:color w:val="202020"/>
                <w:sz w:val="20"/>
              </w:rPr>
              <w:t xml:space="preserve"> signs off the filter policy in </w:t>
            </w:r>
            <w:r>
              <w:rPr>
                <w:rFonts w:ascii="Consolas" w:hAnsi="Consolas"/>
                <w:color w:val="202020"/>
                <w:sz w:val="19"/>
              </w:rPr>
              <w:t>filters.json</w:t>
            </w:r>
            <w:r>
              <w:rPr>
                <w:color w:val="202020"/>
                <w:sz w:val="20"/>
              </w:rPr>
              <w:t>.</w:t>
            </w:r>
          </w:p>
        </w:tc>
      </w:tr>
    </w:tbl>
    <w:p>
      <w:pPr>
        <w:spacing w:after="40"/>
      </w:pPr>
    </w:p>
    <w:p>
      <w:pPr>
        <w:pStyle w:val="Heading1"/>
      </w:pPr>
      <w:r>
        <w:rPr>
          <w:color w:val="1F3864"/>
        </w:rPr>
        <w:t>10. Setting it up, step by step</w:t>
      </w:r>
    </w:p>
    <w:p>
      <w:pPr>
        <w:spacing w:after="200"/>
      </w:pPr>
      <w:r>
        <w:rPr>
          <w:color w:val="595959"/>
          <w:sz w:val="23"/>
        </w:rPr>
        <w:t xml:space="preserve">Follow these in order the first time. Installation of the shared chassis (publishing the binaries, registering the Windows service) is the same for every connector and lives in </w:t>
      </w:r>
      <w:r>
        <w:rPr>
          <w:b/>
          <w:color w:val="595959"/>
          <w:sz w:val="23"/>
        </w:rPr>
        <w:t>Common Guide §6</w:t>
      </w:r>
      <w:r>
        <w:rPr>
          <w:color w:val="595959"/>
          <w:sz w:val="23"/>
        </w:rPr>
        <w:t>; the steps here are the BDH-specific parts around it.</w:t>
      </w:r>
    </w:p>
    <w:p>
      <w:pPr>
        <w:pStyle w:val="ListNumber"/>
        <w:spacing w:after="40"/>
      </w:pPr>
      <w:r>
        <w:rPr>
          <w:b/>
          <w:color w:val="202020"/>
        </w:rPr>
        <w:t>Confirm prerequisites.</w:t>
      </w:r>
      <w:r>
        <w:rPr>
          <w:color w:val="202020"/>
        </w:rPr>
        <w:t xml:space="preserve"> Work through the checklist in </w:t>
      </w:r>
      <w:r>
        <w:rPr>
          <w:b/>
          <w:color w:val="202020"/>
        </w:rPr>
        <w:t>Section 9</w:t>
      </w:r>
      <w:r>
        <w:rPr>
          <w:color w:val="202020"/>
        </w:rPr>
        <w:t xml:space="preserve">. You cannot get past validation without the Entra values, a separate </w:t>
      </w:r>
      <w:r>
        <w:rPr>
          <w:rFonts w:ascii="Consolas" w:hAnsi="Consolas"/>
          <w:color w:val="202020"/>
          <w:sz w:val="19"/>
        </w:rPr>
        <w:t>CONNECTOR_ID</w:t>
      </w:r>
      <w:r>
        <w:rPr>
          <w:color w:val="202020"/>
        </w:rPr>
        <w:t>, and BDH access details.</w:t>
      </w:r>
    </w:p>
    <w:p>
      <w:pPr>
        <w:pStyle w:val="ListNumber"/>
        <w:spacing w:after="40"/>
      </w:pPr>
      <w:r>
        <w:rPr>
          <w:b/>
          <w:color w:val="202020"/>
        </w:rPr>
        <w:t>Install the chassis.</w:t>
      </w:r>
      <w:r>
        <w:rPr>
          <w:color w:val="202020"/>
        </w:rPr>
        <w:t xml:space="preserve"> Publish and lay out the runtime home (e.g. </w:t>
      </w:r>
      <w:r>
        <w:rPr>
          <w:rFonts w:ascii="Consolas" w:hAnsi="Consolas"/>
          <w:color w:val="202020"/>
          <w:sz w:val="19"/>
        </w:rPr>
        <w:t>C:\HadoopConnector</w:t>
      </w:r>
      <w:r>
        <w:rPr>
          <w:color w:val="202020"/>
        </w:rPr>
        <w:t xml:space="preserve"> with </w:t>
      </w:r>
      <w:r>
        <w:rPr>
          <w:rFonts w:ascii="Consolas" w:hAnsi="Consolas"/>
          <w:color w:val="202020"/>
          <w:sz w:val="19"/>
        </w:rPr>
        <w:t>config\</w:t>
      </w:r>
      <w:r>
        <w:rPr>
          <w:color w:val="202020"/>
        </w:rPr>
        <w:t xml:space="preserve">, </w:t>
      </w:r>
      <w:r>
        <w:rPr>
          <w:rFonts w:ascii="Consolas" w:hAnsi="Consolas"/>
          <w:color w:val="202020"/>
          <w:sz w:val="19"/>
        </w:rPr>
        <w:t>env\</w:t>
      </w:r>
      <w:r>
        <w:rPr>
          <w:color w:val="202020"/>
        </w:rPr>
        <w:t xml:space="preserve">, </w:t>
      </w:r>
      <w:r>
        <w:rPr>
          <w:rFonts w:ascii="Consolas" w:hAnsi="Consolas"/>
          <w:color w:val="202020"/>
          <w:sz w:val="19"/>
        </w:rPr>
        <w:t>logs\</w:t>
      </w:r>
      <w:r>
        <w:rPr>
          <w:color w:val="202020"/>
        </w:rPr>
        <w:t xml:space="preserve">, </w:t>
      </w:r>
      <w:r>
        <w:rPr>
          <w:rFonts w:ascii="Consolas" w:hAnsi="Consolas"/>
          <w:color w:val="202020"/>
          <w:sz w:val="19"/>
        </w:rPr>
        <w:t>data\</w:t>
      </w:r>
      <w:r>
        <w:rPr>
          <w:color w:val="202020"/>
        </w:rPr>
        <w:t xml:space="preserve">) and register the Windows service, per </w:t>
      </w:r>
      <w:r>
        <w:rPr>
          <w:b/>
          <w:color w:val="202020"/>
        </w:rPr>
        <w:t>Common Guide §6</w:t>
      </w:r>
      <w:r>
        <w:rPr>
          <w:color w:val="202020"/>
        </w:rPr>
        <w:t>.</w:t>
      </w:r>
    </w:p>
    <w:p>
      <w:pPr>
        <w:pStyle w:val="ListNumber"/>
        <w:spacing w:after="40"/>
      </w:pPr>
      <w:r>
        <w:rPr>
          <w:b/>
          <w:color w:val="202020"/>
        </w:rPr>
        <w:t>Set the environment.</w:t>
      </w:r>
      <w:r>
        <w:rPr>
          <w:color w:val="202020"/>
        </w:rPr>
        <w:t xml:space="preserve"> Copy </w:t>
      </w:r>
      <w:r>
        <w:rPr>
          <w:rFonts w:ascii="Consolas" w:hAnsi="Consolas"/>
          <w:color w:val="202020"/>
          <w:sz w:val="19"/>
        </w:rPr>
        <w:t>env/.env.local.example</w:t>
      </w:r>
      <w:r>
        <w:rPr>
          <w:color w:val="202020"/>
        </w:rPr>
        <w:t xml:space="preserve"> to </w:t>
      </w:r>
      <w:r>
        <w:rPr>
          <w:rFonts w:ascii="Consolas" w:hAnsi="Consolas"/>
          <w:color w:val="202020"/>
          <w:sz w:val="19"/>
        </w:rPr>
        <w:t>env/.env.local</w:t>
      </w:r>
      <w:r>
        <w:rPr>
          <w:color w:val="202020"/>
        </w:rPr>
        <w:t xml:space="preserve"> for non-secret config, and put every </w:t>
      </w:r>
      <w:r>
        <w:rPr>
          <w:rFonts w:ascii="Consolas" w:hAnsi="Consolas"/>
          <w:color w:val="202020"/>
          <w:sz w:val="19"/>
        </w:rPr>
        <w:t>SECRET_*</w:t>
      </w:r>
      <w:r>
        <w:rPr>
          <w:color w:val="202020"/>
        </w:rPr>
        <w:t xml:space="preserve"> value in </w:t>
      </w:r>
      <w:r>
        <w:rPr>
          <w:rFonts w:ascii="Consolas" w:hAnsi="Consolas"/>
          <w:color w:val="202020"/>
          <w:sz w:val="19"/>
        </w:rPr>
        <w:t>env/.env.local.user</w:t>
      </w:r>
      <w:r>
        <w:rPr>
          <w:color w:val="202020"/>
        </w:rPr>
        <w:t xml:space="preserve"> (or Key Vault). Set at least </w:t>
      </w:r>
      <w:r>
        <w:rPr>
          <w:rFonts w:ascii="Consolas" w:hAnsi="Consolas"/>
          <w:color w:val="202020"/>
          <w:sz w:val="19"/>
        </w:rPr>
        <w:t>CONNECTOR_ID</w:t>
      </w:r>
      <w:r>
        <w:rPr>
          <w:color w:val="202020"/>
        </w:rPr>
        <w:t xml:space="preserve">, </w:t>
      </w:r>
      <w:r>
        <w:rPr>
          <w:rFonts w:ascii="Consolas" w:hAnsi="Consolas"/>
          <w:color w:val="202020"/>
          <w:sz w:val="19"/>
        </w:rPr>
        <w:t>HDFS_MODE</w:t>
      </w:r>
      <w:r>
        <w:rPr>
          <w:color w:val="202020"/>
        </w:rPr>
        <w:t xml:space="preserve">, </w:t>
      </w:r>
      <w:r>
        <w:rPr>
          <w:rFonts w:ascii="Consolas" w:hAnsi="Consolas"/>
          <w:color w:val="202020"/>
          <w:sz w:val="19"/>
        </w:rPr>
        <w:t>HDFS_NAMENODE_URL</w:t>
      </w:r>
      <w:r>
        <w:rPr>
          <w:color w:val="202020"/>
        </w:rPr>
        <w:t xml:space="preserve"> (or </w:t>
      </w:r>
      <w:r>
        <w:rPr>
          <w:rFonts w:ascii="Consolas" w:hAnsi="Consolas"/>
          <w:color w:val="202020"/>
          <w:sz w:val="19"/>
        </w:rPr>
        <w:t>BDH_EXPORT_PATH</w:t>
      </w:r>
      <w:r>
        <w:rPr>
          <w:color w:val="202020"/>
        </w:rPr>
        <w:t xml:space="preserve">), </w:t>
      </w:r>
      <w:r>
        <w:rPr>
          <w:rFonts w:ascii="Consolas" w:hAnsi="Consolas"/>
          <w:color w:val="202020"/>
          <w:sz w:val="19"/>
        </w:rPr>
        <w:t>BDH_ROOT_PATH</w:t>
      </w:r>
      <w:r>
        <w:rPr>
          <w:color w:val="202020"/>
        </w:rPr>
        <w:t xml:space="preserve">, the </w:t>
      </w:r>
      <w:r>
        <w:rPr>
          <w:rFonts w:ascii="Consolas" w:hAnsi="Consolas"/>
          <w:color w:val="202020"/>
          <w:sz w:val="19"/>
        </w:rPr>
        <w:t>AAD_APP_*</w:t>
      </w:r>
      <w:r>
        <w:rPr>
          <w:color w:val="202020"/>
        </w:rPr>
        <w:t xml:space="preserve"> values, and </w:t>
      </w:r>
      <w:r>
        <w:rPr>
          <w:rFonts w:ascii="Consolas" w:hAnsi="Consolas"/>
          <w:color w:val="202020"/>
          <w:sz w:val="19"/>
        </w:rPr>
        <w:t>ITEM_URL_BASE</w:t>
      </w:r>
      <w:r>
        <w:rPr>
          <w:color w:val="202020"/>
        </w:rPr>
        <w:t>.</w:t>
      </w:r>
    </w:p>
    <w:p>
      <w:pPr>
        <w:pStyle w:val="ListNumber"/>
        <w:spacing w:after="40"/>
      </w:pPr>
      <w:r>
        <w:rPr>
          <w:b/>
          <w:color w:val="202020"/>
        </w:rPr>
        <w:t>Write the filters, then validate the whole configuration.</w:t>
      </w:r>
      <w:r>
        <w:rPr>
          <w:color w:val="202020"/>
        </w:rPr>
        <w:t xml:space="preserve"> Edit </w:t>
      </w:r>
      <w:r>
        <w:rPr>
          <w:rFonts w:ascii="Consolas" w:hAnsi="Consolas"/>
          <w:color w:val="202020"/>
          <w:sz w:val="19"/>
        </w:rPr>
        <w:t>config/filters.json</w:t>
      </w:r>
      <w:r>
        <w:rPr>
          <w:color w:val="202020"/>
        </w:rPr>
        <w:t xml:space="preserve"> so every object you will crawl has a real filter (</w:t>
      </w:r>
      <w:r>
        <w:rPr>
          <w:b/>
          <w:color w:val="202020"/>
        </w:rPr>
        <w:t>Section 6</w:t>
      </w:r>
      <w:r>
        <w:rPr>
          <w:color w:val="202020"/>
        </w:rPr>
        <w:t xml:space="preserve">). Then run </w:t>
      </w:r>
      <w:r>
        <w:rPr>
          <w:rFonts w:ascii="Consolas" w:hAnsi="Consolas"/>
          <w:color w:val="202020"/>
          <w:sz w:val="19"/>
        </w:rPr>
        <w:t>validate-config --strict</w:t>
      </w:r>
      <w:r>
        <w:rPr>
          <w:color w:val="202020"/>
        </w:rPr>
        <w:t xml:space="preserve"> — it checks env vars, the shard map, (with connectivity) the BDH and Graph endpoints, and </w:t>
      </w:r>
      <w:r>
        <w:rPr>
          <w:b/>
          <w:color w:val="202020"/>
        </w:rPr>
        <w:t>all four config files</w:t>
      </w:r>
      <w:r>
        <w:rPr>
          <w:color w:val="202020"/>
        </w:rPr>
        <w:t xml:space="preserve"> — </w:t>
      </w:r>
      <w:r>
        <w:rPr>
          <w:rFonts w:ascii="Consolas" w:hAnsi="Consolas"/>
          <w:color w:val="202020"/>
          <w:sz w:val="19"/>
        </w:rPr>
        <w:t>schema.json</w:t>
      </w:r>
      <w:r>
        <w:rPr>
          <w:color w:val="202020"/>
        </w:rPr>
        <w:t xml:space="preserve">, </w:t>
      </w:r>
      <w:r>
        <w:rPr>
          <w:rFonts w:ascii="Consolas" w:hAnsi="Consolas"/>
          <w:color w:val="202020"/>
          <w:sz w:val="19"/>
        </w:rPr>
        <w:t>graph-schema.json</w:t>
      </w:r>
      <w:r>
        <w:rPr>
          <w:color w:val="202020"/>
        </w:rPr>
        <w:t xml:space="preserve">, </w:t>
      </w:r>
      <w:r>
        <w:rPr>
          <w:rFonts w:ascii="Consolas" w:hAnsi="Consolas"/>
          <w:color w:val="202020"/>
          <w:sz w:val="19"/>
        </w:rPr>
        <w:t>filters.json</w:t>
      </w:r>
      <w:r>
        <w:rPr>
          <w:color w:val="202020"/>
        </w:rPr>
        <w:t xml:space="preserve">, </w:t>
      </w:r>
      <w:r>
        <w:rPr>
          <w:rFonts w:ascii="Consolas" w:hAnsi="Consolas"/>
          <w:color w:val="202020"/>
          <w:sz w:val="19"/>
        </w:rPr>
        <w:t>classification.json</w:t>
      </w:r>
      <w:r>
        <w:rPr>
          <w:color w:val="202020"/>
        </w:rPr>
        <w:t xml:space="preserve"> — each with the same loader the crawl itself uses, including filter sanity (unfiltered objects), the graph-schema cross-check and the coarse-ACL sign-off (</w:t>
      </w:r>
      <w:r>
        <w:rPr>
          <w:b/>
          <w:color w:val="202020"/>
        </w:rPr>
        <w:t>Sections 14.11–14.13</w:t>
      </w:r>
      <w:r>
        <w:rPr>
          <w:color w:val="202020"/>
        </w:rPr>
        <w:t>). A configuration that passes will not fail at crawl time for a configuration reason. Fix anything it flags before continuing.</w:t>
      </w:r>
    </w:p>
    <w:p>
      <w:pPr>
        <w:pStyle w:val="ListNumber"/>
        <w:spacing w:after="40"/>
      </w:pPr>
      <w:r>
        <w:rPr>
          <w:b/>
          <w:color w:val="202020"/>
        </w:rPr>
        <w:t>Preview identities.</w:t>
      </w:r>
      <w:r>
        <w:rPr>
          <w:color w:val="202020"/>
        </w:rPr>
        <w:t xml:space="preserve"> Run </w:t>
      </w:r>
      <w:r>
        <w:rPr>
          <w:rFonts w:ascii="Consolas" w:hAnsi="Consolas"/>
          <w:color w:val="202020"/>
          <w:sz w:val="19"/>
        </w:rPr>
        <w:t>identity-dry-run --save --verbose</w:t>
      </w:r>
      <w:r>
        <w:rPr>
          <w:color w:val="202020"/>
        </w:rPr>
        <w:t xml:space="preserve"> to resolve BDH (Salesforce) users to Entra identities and persist the mapping. Check the resolved-vs-unresolved counts look sane.</w:t>
      </w:r>
    </w:p>
    <w:p>
      <w:pPr>
        <w:pStyle w:val="ListNumber"/>
        <w:spacing w:after="40"/>
      </w:pPr>
      <w:r>
        <w:rPr>
          <w:b/>
          <w:color w:val="202020"/>
        </w:rPr>
        <w:t>Create the connection and schema.</w:t>
      </w:r>
      <w:r>
        <w:rPr>
          <w:color w:val="202020"/>
        </w:rPr>
        <w:t xml:space="preserve"> Run </w:t>
      </w:r>
      <w:r>
        <w:rPr>
          <w:rFonts w:ascii="Consolas" w:hAnsi="Consolas"/>
          <w:color w:val="202020"/>
          <w:sz w:val="19"/>
        </w:rPr>
        <w:t>setup-connection</w:t>
      </w:r>
      <w:r>
        <w:rPr>
          <w:color w:val="202020"/>
        </w:rPr>
        <w:t xml:space="preserve"> to create this connector's OWN Graph external connection and register the property schema. This is where the separate </w:t>
      </w:r>
      <w:r>
        <w:rPr>
          <w:rFonts w:ascii="Consolas" w:hAnsi="Consolas"/>
          <w:color w:val="202020"/>
          <w:sz w:val="19"/>
        </w:rPr>
        <w:t>CONNECTOR_ID</w:t>
      </w:r>
      <w:r>
        <w:rPr>
          <w:color w:val="202020"/>
        </w:rPr>
        <w:t xml:space="preserve"> takes effect.</w:t>
      </w:r>
    </w:p>
    <w:p>
      <w:pPr>
        <w:pStyle w:val="ListNumber"/>
        <w:spacing w:after="40"/>
      </w:pPr>
      <w:r>
        <w:rPr>
          <w:b/>
          <w:color w:val="202020"/>
        </w:rPr>
        <w:t>Run the first full crawl.</w:t>
      </w:r>
      <w:r>
        <w:rPr>
          <w:color w:val="202020"/>
        </w:rPr>
        <w:t xml:space="preserve"> Run </w:t>
      </w:r>
      <w:r>
        <w:rPr>
          <w:rFonts w:ascii="Consolas" w:hAnsi="Consolas"/>
          <w:color w:val="202020"/>
          <w:sz w:val="19"/>
        </w:rPr>
        <w:t>full-deployment</w:t>
      </w:r>
      <w:r>
        <w:rPr>
          <w:color w:val="202020"/>
        </w:rPr>
        <w:t xml:space="preserve"> (connection → schema → identity sync → full filtered crawl). Watch the per-object log line: </w:t>
      </w:r>
      <w:r>
        <w:rPr>
          <w:rFonts w:ascii="Consolas" w:hAnsi="Consolas"/>
          <w:color w:val="202020"/>
          <w:sz w:val="19"/>
        </w:rPr>
        <w:t>partitions X scanned / Y pruned; records A scanned / B filtered / C matched</w:t>
      </w:r>
      <w:r>
        <w:rPr>
          <w:color w:val="202020"/>
        </w:rPr>
        <w:t>.</w:t>
      </w:r>
    </w:p>
    <w:p>
      <w:pPr>
        <w:pStyle w:val="ListNumber"/>
        <w:spacing w:after="40"/>
      </w:pPr>
      <w:r>
        <w:rPr>
          <w:b/>
          <w:color w:val="202020"/>
        </w:rPr>
        <w:t>Verify in Copilot.</w:t>
      </w:r>
      <w:r>
        <w:rPr>
          <w:color w:val="202020"/>
        </w:rPr>
        <w:t xml:space="preserve"> Confirm items appear in Microsoft Search / Copilot with the right titles, that result cards deep-link to the live Salesforce org, and that a test user sees only what their ACL allows.</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On first start the connector creates its </w:t>
            </w:r>
            <w:r>
              <w:rPr>
                <w:rFonts w:ascii="Consolas" w:hAnsi="Consolas"/>
                <w:color w:val="202020"/>
                <w:sz w:val="19"/>
              </w:rPr>
              <w:t>logs/</w:t>
            </w:r>
            <w:r>
              <w:rPr>
                <w:color w:val="202020"/>
                <w:sz w:val="20"/>
              </w:rPr>
              <w:t xml:space="preserve">, </w:t>
            </w:r>
            <w:r>
              <w:rPr>
                <w:rFonts w:ascii="Consolas" w:hAnsi="Consolas"/>
                <w:color w:val="202020"/>
                <w:sz w:val="19"/>
              </w:rPr>
              <w:t>data/</w:t>
            </w:r>
            <w:r>
              <w:rPr>
                <w:color w:val="202020"/>
                <w:sz w:val="20"/>
              </w:rPr>
              <w:t xml:space="preserve"> and dead-letter directories </w:t>
            </w:r>
            <w:r>
              <w:rPr>
                <w:b/>
                <w:color w:val="202020"/>
                <w:sz w:val="20"/>
              </w:rPr>
              <w:t>owner-only</w:t>
            </w:r>
            <w:r>
              <w:rPr>
                <w:color w:val="202020"/>
                <w:sz w:val="20"/>
              </w:rPr>
              <w:t xml:space="preserve"> (POSIX </w:t>
            </w:r>
            <w:r>
              <w:rPr>
                <w:rFonts w:ascii="Consolas" w:hAnsi="Consolas"/>
                <w:color w:val="202020"/>
                <w:sz w:val="19"/>
              </w:rPr>
              <w:t>0700</w:t>
            </w:r>
            <w:r>
              <w:rPr>
                <w:color w:val="202020"/>
                <w:sz w:val="20"/>
              </w:rPr>
              <w:t xml:space="preserve">; on Windows, best-effort owner + Administrators via </w:t>
            </w:r>
            <w:r>
              <w:rPr>
                <w:rFonts w:ascii="Consolas" w:hAnsi="Consolas"/>
                <w:color w:val="202020"/>
                <w:sz w:val="19"/>
              </w:rPr>
              <w:t>icacls</w:t>
            </w:r>
            <w:r>
              <w:rPr>
                <w:color w:val="202020"/>
                <w:sz w:val="20"/>
              </w:rPr>
              <w:t>), so other local accounts cannot read the state, identity store or dead-letter queue. This is best-effort and never fatal — a host where the permissions cannot be tightened logs a warning so you can set the ACLs out of band.</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Expect the guard to refuse any object you forgot to filter — that is the safety net working. If a full crawl reports an object under "failed" with a "has no filter configured" message, the object was not indexed. Add a filter in </w:t>
            </w:r>
            <w:r>
              <w:rPr>
                <w:rFonts w:ascii="Consolas" w:hAnsi="Consolas"/>
                <w:color w:val="202020"/>
                <w:sz w:val="19"/>
              </w:rPr>
              <w:t>config/filters.json</w:t>
            </w:r>
            <w:r>
              <w:rPr>
                <w:color w:val="202020"/>
                <w:sz w:val="20"/>
              </w:rPr>
              <w:t xml:space="preserve">, re-run </w:t>
            </w:r>
            <w:r>
              <w:rPr>
                <w:rFonts w:ascii="Consolas" w:hAnsi="Consolas"/>
                <w:color w:val="202020"/>
                <w:sz w:val="19"/>
              </w:rPr>
              <w:t>validate-config --strict</w:t>
            </w:r>
            <w:r>
              <w:rPr>
                <w:color w:val="202020"/>
                <w:sz w:val="20"/>
              </w:rPr>
              <w:t>, and crawl again. Do not exempt it just to make the message go away (</w:t>
            </w:r>
            <w:r>
              <w:rPr>
                <w:b/>
                <w:color w:val="202020"/>
                <w:sz w:val="20"/>
              </w:rPr>
              <w:t>Section 7</w:t>
            </w:r>
            <w:r>
              <w:rPr>
                <w:color w:val="202020"/>
                <w:sz w:val="20"/>
              </w:rPr>
              <w:t>).</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color w:val="202020"/>
                <w:sz w:val="20"/>
              </w:rPr>
              <w:t xml:space="preserve">Once verified, switch to the continuous, scheduled mode — for example </w:t>
            </w:r>
            <w:r>
              <w:rPr>
                <w:rFonts w:ascii="Consolas" w:hAnsi="Consolas"/>
                <w:color w:val="202020"/>
                <w:sz w:val="19"/>
              </w:rPr>
              <w:t>full-deployment --continuous --full-crawl-hours 24 --incremental-hours 4</w:t>
            </w:r>
            <w:r>
              <w:rPr>
                <w:color w:val="202020"/>
                <w:sz w:val="20"/>
              </w:rPr>
              <w:t xml:space="preserve"> — which the Windows service runs by default. Stopping the service is graceful: the in-flight chunk finishes, the pending batch flushes, the checkpoint saves, and the next start resumes exactly where it left off.</w:t>
            </w:r>
          </w:p>
        </w:tc>
      </w:tr>
    </w:tbl>
    <w:p>
      <w:pPr>
        <w:spacing w:after="40"/>
      </w:pPr>
    </w:p>
    <w:p>
      <w:pPr>
        <w:pStyle w:val="Heading1"/>
      </w:pPr>
      <w:r>
        <w:rPr>
          <w:color w:val="1F3864"/>
        </w:rPr>
        <w:t>11. Running it day to day</w:t>
      </w:r>
    </w:p>
    <w:p>
      <w:pPr>
        <w:spacing w:after="200"/>
      </w:pPr>
      <w:r>
        <w:rPr>
          <w:color w:val="595959"/>
          <w:sz w:val="23"/>
        </w:rPr>
        <w:t>In steady state the connector runs itself. Your job is to let the nightly rhythm play out, keep the dead-letter queue drained, and treat filter changes as change-controlled.</w:t>
      </w:r>
    </w:p>
    <w:p>
      <w:pPr>
        <w:pStyle w:val="Heading2"/>
      </w:pPr>
      <w:r>
        <w:rPr>
          <w:color w:val="2E5496"/>
        </w:rPr>
        <w:t>11.1 The nightly rhythm</w:t>
      </w:r>
    </w:p>
    <w:p>
      <w:pPr>
        <w:pStyle w:val="ListBullet"/>
        <w:spacing w:after="40"/>
      </w:pPr>
      <w:r>
        <w:rPr>
          <w:color w:val="202020"/>
        </w:rPr>
        <w:t xml:space="preserve">The BDH nightly load lands overnight. The next </w:t>
      </w:r>
      <w:r>
        <w:rPr>
          <w:b/>
          <w:color w:val="202020"/>
        </w:rPr>
        <w:t>incremental crawl</w:t>
      </w:r>
      <w:r>
        <w:rPr>
          <w:color w:val="202020"/>
        </w:rPr>
        <w:t xml:space="preserve"> (every 4 h by default) reads the newest </w:t>
      </w:r>
      <w:r>
        <w:rPr>
          <w:rFonts w:ascii="Consolas" w:hAnsi="Consolas"/>
          <w:color w:val="202020"/>
          <w:sz w:val="19"/>
        </w:rPr>
        <w:t>dt</w:t>
      </w:r>
      <w:r>
        <w:rPr>
          <w:color w:val="202020"/>
        </w:rPr>
        <w:t xml:space="preserve"> partitions and picks it up, using the </w:t>
      </w:r>
      <w:r>
        <w:rPr>
          <w:rFonts w:ascii="Consolas" w:hAnsi="Consolas"/>
          <w:color w:val="202020"/>
          <w:sz w:val="19"/>
        </w:rPr>
        <w:t>BDH_LAG_HOURS</w:t>
      </w:r>
      <w:r>
        <w:rPr>
          <w:color w:val="202020"/>
        </w:rPr>
        <w:t xml:space="preserve"> overlap so a late load is not missed (</w:t>
      </w:r>
      <w:r>
        <w:rPr>
          <w:b/>
          <w:color w:val="202020"/>
        </w:rPr>
        <w:t>Section 8</w:t>
      </w:r>
      <w:r>
        <w:rPr>
          <w:color w:val="202020"/>
        </w:rPr>
        <w:t>).</w:t>
      </w:r>
    </w:p>
    <w:p>
      <w:pPr>
        <w:pStyle w:val="ListBullet"/>
        <w:spacing w:after="40"/>
      </w:pPr>
      <w:r>
        <w:rPr>
          <w:color w:val="202020"/>
        </w:rPr>
        <w:t xml:space="preserve">A </w:t>
      </w:r>
      <w:r>
        <w:rPr>
          <w:b/>
          <w:color w:val="202020"/>
        </w:rPr>
        <w:t>full crawl</w:t>
      </w:r>
      <w:r>
        <w:rPr>
          <w:color w:val="202020"/>
        </w:rPr>
        <w:t xml:space="preserve"> (every 24 h by default) re-reads everything the filters allow and runs the deletion sweep.</w:t>
      </w:r>
    </w:p>
    <w:p>
      <w:pPr>
        <w:pStyle w:val="ListBullet"/>
        <w:spacing w:after="40"/>
      </w:pPr>
      <w:r>
        <w:rPr>
          <w:color w:val="202020"/>
        </w:rPr>
        <w:t>You do not normally run commands by hand — the continuous service does. The commands below are for verification and repair.</w:t>
      </w:r>
    </w:p>
    <w:p>
      <w:pPr>
        <w:pStyle w:val="Heading2"/>
      </w:pPr>
      <w:r>
        <w:rPr>
          <w:color w:val="2E5496"/>
        </w:rPr>
        <w:t>11.2 Deletion sync and reconcile</w:t>
      </w:r>
    </w:p>
    <w:p>
      <w:pPr>
        <w:spacing w:after="120"/>
      </w:pPr>
      <w:r>
        <w:rPr>
          <w:color w:val="202020"/>
        </w:rPr>
        <w:t xml:space="preserve">BDH has no "deleted records" feed — a record deleted in Salesforce simply stops appearing in later loads. The connector detects that with an </w:t>
      </w:r>
      <w:r>
        <w:rPr>
          <w:b/>
          <w:color w:val="202020"/>
        </w:rPr>
        <w:t>existence sweep</w:t>
      </w:r>
      <w:r>
        <w:rPr>
          <w:color w:val="202020"/>
        </w:rPr>
        <w:t xml:space="preserve"> on full crawls: it keeps an inventory of every item it has confirmed into the index, and after a full crawl it deletes from the connection any inventory id that was absent from the freshly-filtered source. Incremental crawls never sweep (absence inside a small window proves nothing), and a PARTIAL crawl never sweeps (its source list is incomplete).</w:t>
      </w:r>
    </w:p>
    <w:p>
      <w:pPr>
        <w:spacing w:after="120"/>
      </w:pPr>
      <w:r>
        <w:rPr>
          <w:color w:val="202020"/>
        </w:rPr>
        <w:t>The sweep is protected by mass-deletion guards so a source outage or an over-tightened filter cannot wipe the index: an absolute cap (</w:t>
      </w:r>
      <w:r>
        <w:rPr>
          <w:rFonts w:ascii="Consolas" w:hAnsi="Consolas"/>
          <w:color w:val="202020"/>
          <w:sz w:val="19"/>
        </w:rPr>
        <w:t>DELETION_SYNC_MAX_ITEMS</w:t>
      </w:r>
      <w:r>
        <w:rPr>
          <w:color w:val="202020"/>
        </w:rPr>
        <w:t>, default 1000), a percentage guard (</w:t>
      </w:r>
      <w:r>
        <w:rPr>
          <w:rFonts w:ascii="Consolas" w:hAnsi="Consolas"/>
          <w:color w:val="202020"/>
          <w:sz w:val="19"/>
        </w:rPr>
        <w:t>DELETION_SYNC_MAX_PERCENT</w:t>
      </w:r>
      <w:r>
        <w:rPr>
          <w:color w:val="202020"/>
        </w:rPr>
        <w:t xml:space="preserve">, default 25%, which also engages whenever a full crawl returned zero rows), and suppression of the sweep on any incomplete fetch. When a guard trips, the sweep is skipped and a </w:t>
      </w:r>
      <w:r>
        <w:rPr>
          <w:rFonts w:ascii="Consolas" w:hAnsi="Consolas"/>
          <w:color w:val="202020"/>
          <w:sz w:val="19"/>
        </w:rPr>
        <w:t>deletion_sweep_skipped</w:t>
      </w:r>
      <w:r>
        <w:rPr>
          <w:color w:val="202020"/>
        </w:rPr>
        <w:t xml:space="preserve"> alert fires.</w:t>
      </w:r>
    </w:p>
    <w:p>
      <w:pPr>
        <w:spacing w:after="120"/>
      </w:pPr>
      <w:r>
        <w:rPr>
          <w:color w:val="202020"/>
        </w:rPr>
        <w:t xml:space="preserve">Use </w:t>
      </w:r>
      <w:r>
        <w:rPr>
          <w:rFonts w:ascii="Consolas" w:hAnsi="Consolas"/>
          <w:color w:val="202020"/>
          <w:sz w:val="19"/>
        </w:rPr>
        <w:t>reconcile</w:t>
      </w:r>
      <w:r>
        <w:rPr>
          <w:color w:val="202020"/>
        </w:rPr>
        <w:t xml:space="preserve"> to audit drift between BDH and the index on demand:</w:t>
      </w:r>
    </w:p>
    <w:p>
      <w:pPr>
        <w:pStyle w:val="ListBullet"/>
        <w:spacing w:after="40"/>
      </w:pPr>
      <w:r>
        <w:rPr>
          <w:rFonts w:ascii="Consolas" w:hAnsi="Consolas"/>
          <w:color w:val="202020"/>
          <w:sz w:val="19"/>
        </w:rPr>
        <w:t>reconcile</w:t>
      </w:r>
      <w:r>
        <w:rPr>
          <w:color w:val="202020"/>
        </w:rPr>
        <w:t xml:space="preserve"> — report items MISSING (in BDH, not indexed) and STALE (indexed, gone from BDH). Exit code is non-zero if any drift remains, so it slots into a monitoring cron.</w:t>
      </w:r>
    </w:p>
    <w:p>
      <w:pPr>
        <w:pStyle w:val="ListBullet"/>
        <w:spacing w:after="40"/>
      </w:pPr>
      <w:r>
        <w:rPr>
          <w:rFonts w:ascii="Consolas" w:hAnsi="Consolas"/>
          <w:color w:val="202020"/>
          <w:sz w:val="19"/>
        </w:rPr>
        <w:t>reconcile --type Contact</w:t>
      </w:r>
      <w:r>
        <w:rPr>
          <w:color w:val="202020"/>
        </w:rPr>
        <w:t xml:space="preserve"> — restrict to one object type.</w:t>
      </w:r>
    </w:p>
    <w:p>
      <w:pPr>
        <w:pStyle w:val="ListBullet"/>
        <w:spacing w:after="40"/>
      </w:pPr>
      <w:r>
        <w:rPr>
          <w:rFonts w:ascii="Consolas" w:hAnsi="Consolas"/>
          <w:color w:val="202020"/>
          <w:sz w:val="19"/>
        </w:rPr>
        <w:t>reconcile --fix</w:t>
      </w:r>
      <w:r>
        <w:rPr>
          <w:color w:val="202020"/>
        </w:rPr>
        <w:t xml:space="preserve"> — also DELETE stale items. </w:t>
      </w:r>
      <w:r>
        <w:rPr>
          <w:rFonts w:ascii="Consolas" w:hAnsi="Consolas"/>
          <w:color w:val="202020"/>
          <w:sz w:val="19"/>
        </w:rPr>
        <w:t>--fix</w:t>
      </w:r>
      <w:r>
        <w:rPr>
          <w:color w:val="202020"/>
        </w:rPr>
        <w:t xml:space="preserve"> intentionally bypasses the mass-deletion guards, because an explicit operator action is its own consent — so use it deliberately.</w:t>
      </w:r>
    </w:p>
    <w:p>
      <w:pPr>
        <w:pStyle w:val="Heading2"/>
      </w:pPr>
      <w:r>
        <w:rPr>
          <w:color w:val="2E5496"/>
        </w:rPr>
        <w:t>11.3 Draining the dead-letter queue</w:t>
      </w:r>
    </w:p>
    <w:p>
      <w:pPr>
        <w:spacing w:after="120"/>
      </w:pPr>
      <w:r>
        <w:rPr>
          <w:color w:val="202020"/>
        </w:rPr>
        <w:t xml:space="preserve">Records that fail to ingest land in a </w:t>
      </w:r>
      <w:r>
        <w:rPr>
          <w:b/>
          <w:color w:val="202020"/>
        </w:rPr>
        <w:t>dead-letter queue</w:t>
      </w:r>
      <w:r>
        <w:rPr>
          <w:color w:val="202020"/>
        </w:rPr>
        <w:t xml:space="preserve"> (</w:t>
      </w:r>
      <w:r>
        <w:rPr>
          <w:rFonts w:ascii="Consolas" w:hAnsi="Consolas"/>
          <w:color w:val="202020"/>
          <w:sz w:val="19"/>
        </w:rPr>
        <w:t>logs/failed_records_&lt;CONNECTOR_ID&gt;.jsonl</w:t>
      </w:r>
      <w:r>
        <w:rPr>
          <w:color w:val="202020"/>
        </w:rPr>
        <w:t xml:space="preserve">, or </w:t>
      </w:r>
      <w:r>
        <w:rPr>
          <w:rFonts w:ascii="Consolas" w:hAnsi="Consolas"/>
          <w:color w:val="202020"/>
          <w:sz w:val="19"/>
        </w:rPr>
        <w:t>dbo.DeadLetter</w:t>
      </w:r>
      <w:r>
        <w:rPr>
          <w:color w:val="202020"/>
        </w:rPr>
        <w:t xml:space="preserve"> on SQL Server) for later retry. After you fix the underlying cause, run </w:t>
      </w:r>
      <w:r>
        <w:rPr>
          <w:rFonts w:ascii="Consolas" w:hAnsi="Consolas"/>
          <w:color w:val="202020"/>
          <w:sz w:val="19"/>
        </w:rPr>
        <w:t>retry-failed --clear-on-success</w:t>
      </w:r>
      <w:r>
        <w:rPr>
          <w:color w:val="202020"/>
        </w:rPr>
        <w:t xml:space="preserve"> — each record is re-located in BDH for fresh fields and a fresh ACL, then re-ingested; entries whose records have genuinely vanished from BDH are dropped automatically.</w:t>
      </w:r>
    </w:p>
    <w:p>
      <w:pPr>
        <w:pStyle w:val="Heading2"/>
      </w:pPr>
      <w:r>
        <w:rPr>
          <w:color w:val="2E5496"/>
        </w:rPr>
        <w:t>11.4 Changing filters safely</w:t>
      </w:r>
    </w:p>
    <w:p>
      <w:pPr>
        <w:spacing w:after="120"/>
      </w:pPr>
      <w:r>
        <w:rPr>
          <w:color w:val="202020"/>
        </w:rPr>
        <w:t>Filter edits are the most common day-to-day change and the most consequential (</w:t>
      </w:r>
      <w:r>
        <w:rPr>
          <w:b/>
          <w:color w:val="202020"/>
        </w:rPr>
        <w:t>Section 7</w:t>
      </w:r>
      <w:r>
        <w:rPr>
          <w:color w:val="202020"/>
        </w:rPr>
        <w:t xml:space="preserve">). Always: make the change in a reviewed pull request, run </w:t>
      </w:r>
      <w:r>
        <w:rPr>
          <w:rFonts w:ascii="Consolas" w:hAnsi="Consolas"/>
          <w:color w:val="202020"/>
          <w:sz w:val="19"/>
        </w:rPr>
        <w:t>validate-config --strict</w:t>
      </w:r>
      <w:r>
        <w:rPr>
          <w:color w:val="202020"/>
        </w:rPr>
        <w:t xml:space="preserve">, and after deployment check the per-object matched counts and watch </w:t>
      </w:r>
      <w:r>
        <w:rPr>
          <w:rFonts w:ascii="Consolas" w:hAnsi="Consolas"/>
          <w:color w:val="202020"/>
          <w:sz w:val="19"/>
        </w:rPr>
        <w:t>guard_refusals_total</w:t>
      </w:r>
      <w:r>
        <w:rPr>
          <w:color w:val="202020"/>
        </w:rPr>
        <w:t xml:space="preserve"> and </w:t>
      </w:r>
      <w:r>
        <w:rPr>
          <w:rFonts w:ascii="Consolas" w:hAnsi="Consolas"/>
          <w:color w:val="202020"/>
          <w:sz w:val="19"/>
        </w:rPr>
        <w:t>sweeps_suppressed_total</w:t>
      </w:r>
      <w:r>
        <w:rPr>
          <w:color w:val="202020"/>
        </w:rPr>
        <w:t xml:space="preserve"> for the tell-tale spike of a regression.</w:t>
      </w:r>
    </w:p>
    <w:p>
      <w:r>
        <w:br w:type="page"/>
      </w:r>
    </w:p>
    <w:p>
      <w:pPr>
        <w:pStyle w:val="Heading1"/>
      </w:pPr>
      <w:r>
        <w:rPr>
          <w:color w:val="1F3864"/>
        </w:rPr>
        <w:t>12. Monitoring this connector</w:t>
      </w:r>
    </w:p>
    <w:p>
      <w:pPr>
        <w:spacing w:after="200"/>
      </w:pPr>
      <w:r>
        <w:rPr>
          <w:color w:val="595959"/>
          <w:sz w:val="23"/>
        </w:rPr>
        <w:t xml:space="preserve">The connector exposes health endpoints and Prometheus metrics; ready-made dashboards and alert rules ship in the </w:t>
      </w:r>
      <w:r>
        <w:rPr>
          <w:rFonts w:ascii="Consolas" w:hAnsi="Consolas"/>
          <w:color w:val="595959"/>
          <w:sz w:val="19"/>
        </w:rPr>
        <w:t>ops/</w:t>
      </w:r>
      <w:r>
        <w:rPr>
          <w:color w:val="595959"/>
          <w:sz w:val="23"/>
        </w:rPr>
        <w:t xml:space="preserve"> folder. General monitoring and disaster-recovery practice is in </w:t>
      </w:r>
      <w:r>
        <w:rPr>
          <w:b/>
          <w:color w:val="595959"/>
          <w:sz w:val="23"/>
        </w:rPr>
        <w:t>Common Guide §8</w:t>
      </w:r>
      <w:r>
        <w:rPr>
          <w:color w:val="595959"/>
          <w:sz w:val="23"/>
        </w:rPr>
        <w:t>; this section covers the BDH-specific signals.</w:t>
      </w:r>
    </w:p>
    <w:p>
      <w:pPr>
        <w:pStyle w:val="Heading2"/>
      </w:pPr>
      <w:r>
        <w:rPr>
          <w:color w:val="2E5496"/>
        </w:rPr>
        <w:t>12.1 Health endpoints</w:t>
      </w:r>
    </w:p>
    <w:p>
      <w:pPr>
        <w:spacing w:after="120"/>
      </w:pPr>
      <w:r>
        <w:rPr>
          <w:color w:val="202020"/>
        </w:rPr>
        <w:t xml:space="preserve">Set </w:t>
      </w:r>
      <w:r>
        <w:rPr>
          <w:rFonts w:ascii="Consolas" w:hAnsi="Consolas"/>
          <w:color w:val="202020"/>
          <w:sz w:val="19"/>
        </w:rPr>
        <w:t>HEALTH_PORT</w:t>
      </w:r>
      <w:r>
        <w:rPr>
          <w:color w:val="202020"/>
        </w:rPr>
        <w:t xml:space="preserve"> to serve three routes on the management network (firewall them — they are unauthenticated by design):</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200"/>
        <w:gridCol w:w="7160"/>
      </w:tblGrid>
      <w:tr>
        <w:tc>
          <w:tcPr>
            <w:tcW w:type="dxa" w:w="2200"/>
            <w:shd w:val="clear" w:color="auto" w:fill="2E5496"/>
          </w:tcPr>
          <w:p>
            <w:r>
              <w:rPr>
                <w:b/>
                <w:color w:val="FFFFFF"/>
                <w:sz w:val="19"/>
              </w:rPr>
              <w:t>Route</w:t>
            </w:r>
          </w:p>
        </w:tc>
        <w:tc>
          <w:tcPr>
            <w:tcW w:type="dxa" w:w="7160"/>
            <w:shd w:val="clear" w:color="auto" w:fill="2E5496"/>
          </w:tcPr>
          <w:p>
            <w:r>
              <w:rPr>
                <w:b/>
                <w:color w:val="FFFFFF"/>
                <w:sz w:val="19"/>
              </w:rPr>
              <w:t>Meaning</w:t>
            </w:r>
          </w:p>
        </w:tc>
      </w:tr>
      <w:tr>
        <w:tc>
          <w:tcPr>
            <w:tcW w:type="dxa" w:w="2200"/>
          </w:tcPr>
          <w:p>
            <w:r>
              <w:rPr>
                <w:rFonts w:ascii="Consolas" w:hAnsi="Consolas"/>
                <w:color w:val="202020"/>
                <w:sz w:val="19"/>
              </w:rPr>
              <w:t>GET /health</w:t>
            </w:r>
          </w:p>
        </w:tc>
        <w:tc>
          <w:tcPr>
            <w:tcW w:type="dxa" w:w="7160"/>
          </w:tcPr>
          <w:p>
            <w:r>
              <w:rPr>
                <w:color w:val="202020"/>
                <w:sz w:val="19"/>
              </w:rPr>
              <w:t>Liveness — 200 while the process is up (stays 200 even when degraded)</w:t>
            </w:r>
          </w:p>
        </w:tc>
      </w:tr>
      <w:tr>
        <w:tc>
          <w:tcPr>
            <w:tcW w:type="dxa" w:w="2200"/>
            <w:shd w:val="clear" w:color="auto" w:fill="F7F9FC"/>
          </w:tcPr>
          <w:p>
            <w:r>
              <w:rPr>
                <w:rFonts w:ascii="Consolas" w:hAnsi="Consolas"/>
                <w:color w:val="202020"/>
                <w:sz w:val="19"/>
              </w:rPr>
              <w:t>GET /ready</w:t>
            </w:r>
          </w:p>
        </w:tc>
        <w:tc>
          <w:tcPr>
            <w:tcW w:type="dxa" w:w="7160"/>
            <w:shd w:val="clear" w:color="auto" w:fill="F7F9FC"/>
          </w:tcPr>
          <w:p>
            <w:r>
              <w:rPr>
                <w:color w:val="202020"/>
                <w:sz w:val="19"/>
              </w:rPr>
              <w:t>Readiness — 200 READY, or 503 DEGRADED while a critical circuit breaker is open</w:t>
            </w:r>
          </w:p>
        </w:tc>
      </w:tr>
      <w:tr>
        <w:tc>
          <w:tcPr>
            <w:tcW w:type="dxa" w:w="2200"/>
          </w:tcPr>
          <w:p>
            <w:r>
              <w:rPr>
                <w:rFonts w:ascii="Consolas" w:hAnsi="Consolas"/>
                <w:color w:val="202020"/>
                <w:sz w:val="19"/>
              </w:rPr>
              <w:t>GET /metrics</w:t>
            </w:r>
          </w:p>
        </w:tc>
        <w:tc>
          <w:tcPr>
            <w:tcW w:type="dxa" w:w="7160"/>
          </w:tcPr>
          <w:p>
            <w:r>
              <w:rPr>
                <w:color w:val="202020"/>
                <w:sz w:val="19"/>
              </w:rPr>
              <w:t xml:space="preserve">Prometheus metrics (all prefixed </w:t>
            </w:r>
            <w:r>
              <w:rPr>
                <w:rFonts w:ascii="Consolas" w:hAnsi="Consolas"/>
                <w:color w:val="202020"/>
                <w:sz w:val="19"/>
              </w:rPr>
              <w:t>hadoop_connector_</w:t>
            </w:r>
            <w:r>
              <w:rPr>
                <w:color w:val="202020"/>
                <w:sz w:val="19"/>
              </w:rPr>
              <w:t>)</w:t>
            </w:r>
          </w:p>
        </w:tc>
      </w:tr>
    </w:tbl>
    <w:p>
      <w:pPr>
        <w:spacing w:after="40"/>
      </w:pPr>
    </w:p>
    <w:p>
      <w:pPr>
        <w:pStyle w:val="Heading2"/>
      </w:pPr>
      <w:r>
        <w:rPr>
          <w:color w:val="2E5496"/>
        </w:rPr>
        <w:t>12.2 The metrics that matter here</w:t>
      </w:r>
    </w:p>
    <w:p>
      <w:pPr>
        <w:spacing w:after="120"/>
      </w:pPr>
      <w:r>
        <w:rPr>
          <w:color w:val="202020"/>
        </w:rPr>
        <w:t xml:space="preserve">All names are prefixed </w:t>
      </w:r>
      <w:r>
        <w:rPr>
          <w:rFonts w:ascii="Consolas" w:hAnsi="Consolas"/>
          <w:color w:val="202020"/>
          <w:sz w:val="19"/>
        </w:rPr>
        <w:t>hadoop_connector_</w:t>
      </w:r>
      <w:r>
        <w:rPr>
          <w:color w:val="202020"/>
        </w:rPr>
        <w:t>. The filter-and-scale metrics are what make this connector different from the others: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200"/>
        <w:gridCol w:w="3560"/>
        <w:gridCol w:w="2600"/>
      </w:tblGrid>
      <w:tr>
        <w:tc>
          <w:tcPr>
            <w:tcW w:type="dxa" w:w="3200"/>
            <w:shd w:val="clear" w:color="auto" w:fill="2E5496"/>
          </w:tcPr>
          <w:p>
            <w:r>
              <w:rPr>
                <w:b/>
                <w:color w:val="FFFFFF"/>
                <w:sz w:val="19"/>
              </w:rPr>
              <w:t>Metric</w:t>
            </w:r>
          </w:p>
        </w:tc>
        <w:tc>
          <w:tcPr>
            <w:tcW w:type="dxa" w:w="3560"/>
            <w:shd w:val="clear" w:color="auto" w:fill="2E5496"/>
          </w:tcPr>
          <w:p>
            <w:r>
              <w:rPr>
                <w:b/>
                <w:color w:val="FFFFFF"/>
                <w:sz w:val="19"/>
              </w:rPr>
              <w:t>What it measures</w:t>
            </w:r>
          </w:p>
        </w:tc>
        <w:tc>
          <w:tcPr>
            <w:tcW w:type="dxa" w:w="2600"/>
            <w:shd w:val="clear" w:color="auto" w:fill="2E5496"/>
          </w:tcPr>
          <w:p>
            <w:r>
              <w:rPr>
                <w:b/>
                <w:color w:val="FFFFFF"/>
                <w:sz w:val="19"/>
              </w:rPr>
              <w:t>What to watch for</w:t>
            </w:r>
          </w:p>
        </w:tc>
      </w:tr>
      <w:tr>
        <w:tc>
          <w:tcPr>
            <w:tcW w:type="dxa" w:w="3200"/>
          </w:tcPr>
          <w:p>
            <w:r>
              <w:rPr>
                <w:rFonts w:ascii="Consolas" w:hAnsi="Consolas"/>
                <w:color w:val="202020"/>
                <w:sz w:val="19"/>
              </w:rPr>
              <w:t>partitions_pruned_total</w:t>
            </w:r>
            <w:r>
              <w:rPr>
                <w:color w:val="202020"/>
                <w:sz w:val="19"/>
              </w:rPr>
              <w:t xml:space="preserve"> / </w:t>
            </w:r>
            <w:r>
              <w:rPr>
                <w:rFonts w:ascii="Consolas" w:hAnsi="Consolas"/>
                <w:color w:val="202020"/>
                <w:sz w:val="19"/>
              </w:rPr>
              <w:t>partitions_scanned_total</w:t>
            </w:r>
          </w:p>
        </w:tc>
        <w:tc>
          <w:tcPr>
            <w:tcW w:type="dxa" w:w="3560"/>
          </w:tcPr>
          <w:p>
            <w:r>
              <w:rPr>
                <w:color w:val="202020"/>
                <w:sz w:val="19"/>
              </w:rPr>
              <w:t>Directories skipped with no I/O vs directories read</w:t>
            </w:r>
          </w:p>
        </w:tc>
        <w:tc>
          <w:tcPr>
            <w:tcW w:type="dxa" w:w="2600"/>
          </w:tcPr>
          <w:p>
            <w:r>
              <w:rPr>
                <w:color w:val="202020"/>
                <w:sz w:val="19"/>
              </w:rPr>
              <w:t>A healthy filter prunes a lot; pruned should dominate</w:t>
            </w:r>
          </w:p>
        </w:tc>
      </w:tr>
      <w:tr>
        <w:tc>
          <w:tcPr>
            <w:tcW w:type="dxa" w:w="3200"/>
            <w:shd w:val="clear" w:color="auto" w:fill="F7F9FC"/>
          </w:tcPr>
          <w:p>
            <w:r>
              <w:rPr>
                <w:rFonts w:ascii="Consolas" w:hAnsi="Consolas"/>
                <w:color w:val="202020"/>
                <w:sz w:val="19"/>
              </w:rPr>
              <w:t>records_scanned_total</w:t>
            </w:r>
            <w:r>
              <w:rPr>
                <w:color w:val="202020"/>
                <w:sz w:val="19"/>
              </w:rPr>
              <w:t xml:space="preserve"> / </w:t>
            </w:r>
            <w:r>
              <w:rPr>
                <w:rFonts w:ascii="Consolas" w:hAnsi="Consolas"/>
                <w:color w:val="202020"/>
                <w:sz w:val="19"/>
              </w:rPr>
              <w:t>records_matched_total</w:t>
            </w:r>
          </w:p>
        </w:tc>
        <w:tc>
          <w:tcPr>
            <w:tcW w:type="dxa" w:w="3560"/>
            <w:shd w:val="clear" w:color="auto" w:fill="F7F9FC"/>
          </w:tcPr>
          <w:p>
            <w:r>
              <w:rPr>
                <w:color w:val="202020"/>
                <w:sz w:val="19"/>
              </w:rPr>
              <w:t>Rows read vs rows kept</w:t>
            </w:r>
          </w:p>
        </w:tc>
        <w:tc>
          <w:tcPr>
            <w:tcW w:type="dxa" w:w="2600"/>
            <w:shd w:val="clear" w:color="auto" w:fill="F7F9FC"/>
          </w:tcPr>
          <w:p>
            <w:r>
              <w:rPr>
                <w:color w:val="202020"/>
                <w:sz w:val="19"/>
              </w:rPr>
              <w:t>Matched should be well below scanned; matched near scanned means a loose filter</w:t>
            </w:r>
          </w:p>
        </w:tc>
      </w:tr>
      <w:tr>
        <w:tc>
          <w:tcPr>
            <w:tcW w:type="dxa" w:w="3200"/>
          </w:tcPr>
          <w:p>
            <w:r>
              <w:rPr>
                <w:rFonts w:ascii="Consolas" w:hAnsi="Consolas"/>
                <w:color w:val="202020"/>
                <w:sz w:val="19"/>
              </w:rPr>
              <w:t>records_filtered_total{stage="predicate"}</w:t>
            </w:r>
          </w:p>
        </w:tc>
        <w:tc>
          <w:tcPr>
            <w:tcW w:type="dxa" w:w="3560"/>
          </w:tcPr>
          <w:p>
            <w:r>
              <w:rPr>
                <w:color w:val="202020"/>
                <w:sz w:val="19"/>
              </w:rPr>
              <w:t>Rows dropped by record rules</w:t>
            </w:r>
          </w:p>
        </w:tc>
        <w:tc>
          <w:tcPr>
            <w:tcW w:type="dxa" w:w="2600"/>
          </w:tcPr>
          <w:p>
            <w:r>
              <w:rPr>
                <w:color w:val="202020"/>
                <w:sz w:val="19"/>
              </w:rPr>
              <w:t>Sudden drop to zero can mean a filter regressed</w:t>
            </w:r>
          </w:p>
        </w:tc>
      </w:tr>
      <w:tr>
        <w:tc>
          <w:tcPr>
            <w:tcW w:type="dxa" w:w="3200"/>
            <w:shd w:val="clear" w:color="auto" w:fill="F7F9FC"/>
          </w:tcPr>
          <w:p>
            <w:r>
              <w:rPr>
                <w:rFonts w:ascii="Consolas" w:hAnsi="Consolas"/>
                <w:color w:val="202020"/>
                <w:sz w:val="19"/>
              </w:rPr>
              <w:t>guard_refusals_total</w:t>
            </w:r>
          </w:p>
        </w:tc>
        <w:tc>
          <w:tcPr>
            <w:tcW w:type="dxa" w:w="3560"/>
            <w:shd w:val="clear" w:color="auto" w:fill="F7F9FC"/>
          </w:tcPr>
          <w:p>
            <w:r>
              <w:rPr>
                <w:color w:val="202020"/>
                <w:sz w:val="19"/>
              </w:rPr>
              <w:t>Objects refused by the fail-closed guard</w:t>
            </w:r>
          </w:p>
        </w:tc>
        <w:tc>
          <w:tcPr>
            <w:tcW w:type="dxa" w:w="2600"/>
            <w:shd w:val="clear" w:color="auto" w:fill="F7F9FC"/>
          </w:tcPr>
          <w:p>
            <w:r>
              <w:rPr>
                <w:color w:val="202020"/>
                <w:sz w:val="19"/>
              </w:rPr>
              <w:t>Should sit flat at 0; any rise means an unfiltered object (usually a filters.json regression)</w:t>
            </w:r>
          </w:p>
        </w:tc>
      </w:tr>
      <w:tr>
        <w:tc>
          <w:tcPr>
            <w:tcW w:type="dxa" w:w="3200"/>
          </w:tcPr>
          <w:p>
            <w:r>
              <w:rPr>
                <w:rFonts w:ascii="Consolas" w:hAnsi="Consolas"/>
                <w:color w:val="202020"/>
                <w:sz w:val="19"/>
              </w:rPr>
              <w:t>partial_objects_total</w:t>
            </w:r>
          </w:p>
        </w:tc>
        <w:tc>
          <w:tcPr>
            <w:tcW w:type="dxa" w:w="3560"/>
          </w:tcPr>
          <w:p>
            <w:r>
              <w:rPr>
                <w:color w:val="202020"/>
                <w:sz w:val="19"/>
              </w:rPr>
              <w:t>Object crawls marked PARTIAL (row cap or oversize file)</w:t>
            </w:r>
          </w:p>
        </w:tc>
        <w:tc>
          <w:tcPr>
            <w:tcW w:type="dxa" w:w="2600"/>
          </w:tcPr>
          <w:p>
            <w:r>
              <w:rPr>
                <w:color w:val="202020"/>
                <w:sz w:val="19"/>
              </w:rPr>
              <w:t>Any rise = a truncated crawl; that object's sweep is suppressed</w:t>
            </w:r>
          </w:p>
        </w:tc>
      </w:tr>
      <w:tr>
        <w:tc>
          <w:tcPr>
            <w:tcW w:type="dxa" w:w="3200"/>
            <w:shd w:val="clear" w:color="auto" w:fill="F7F9FC"/>
          </w:tcPr>
          <w:p>
            <w:r>
              <w:rPr>
                <w:rFonts w:ascii="Consolas" w:hAnsi="Consolas"/>
                <w:color w:val="202020"/>
                <w:sz w:val="19"/>
              </w:rPr>
              <w:t>sweeps_suppressed_total</w:t>
            </w:r>
          </w:p>
        </w:tc>
        <w:tc>
          <w:tcPr>
            <w:tcW w:type="dxa" w:w="3560"/>
            <w:shd w:val="clear" w:color="auto" w:fill="F7F9FC"/>
          </w:tcPr>
          <w:p>
            <w:r>
              <w:rPr>
                <w:color w:val="202020"/>
                <w:sz w:val="19"/>
              </w:rPr>
              <w:t>Deletion sweeps skipped</w:t>
            </w:r>
          </w:p>
        </w:tc>
        <w:tc>
          <w:tcPr>
            <w:tcW w:type="dxa" w:w="2600"/>
            <w:shd w:val="clear" w:color="auto" w:fill="F7F9FC"/>
          </w:tcPr>
          <w:p>
            <w:r>
              <w:rPr>
                <w:color w:val="202020"/>
                <w:sz w:val="19"/>
              </w:rPr>
              <w:t>A rise after a config change signals an over-tightened filter or an outage</w:t>
            </w:r>
          </w:p>
        </w:tc>
      </w:tr>
      <w:tr>
        <w:tc>
          <w:tcPr>
            <w:tcW w:type="dxa" w:w="3200"/>
          </w:tcPr>
          <w:p>
            <w:r>
              <w:rPr>
                <w:rFonts w:ascii="Consolas" w:hAnsi="Consolas"/>
                <w:color w:val="202020"/>
                <w:sz w:val="19"/>
              </w:rPr>
              <w:t>throttled_429_total</w:t>
            </w:r>
          </w:p>
        </w:tc>
        <w:tc>
          <w:tcPr>
            <w:tcW w:type="dxa" w:w="3560"/>
          </w:tcPr>
          <w:p>
            <w:r>
              <w:rPr>
                <w:color w:val="202020"/>
                <w:sz w:val="19"/>
              </w:rPr>
              <w:t>Graph throttling responses</w:t>
            </w:r>
          </w:p>
        </w:tc>
        <w:tc>
          <w:tcPr>
            <w:tcW w:type="dxa" w:w="2600"/>
          </w:tcPr>
          <w:p>
            <w:r>
              <w:rPr>
                <w:color w:val="202020"/>
                <w:sz w:val="19"/>
              </w:rPr>
              <w:t>Sustained rise = you are pushing Graph too hard; see the 429 runbook</w:t>
            </w:r>
          </w:p>
        </w:tc>
      </w:tr>
      <w:tr>
        <w:tc>
          <w:tcPr>
            <w:tcW w:type="dxa" w:w="3200"/>
            <w:shd w:val="clear" w:color="auto" w:fill="F7F9FC"/>
          </w:tcPr>
          <w:p>
            <w:r>
              <w:rPr>
                <w:rFonts w:ascii="Consolas" w:hAnsi="Consolas"/>
                <w:color w:val="202020"/>
                <w:sz w:val="19"/>
              </w:rPr>
              <w:t>circuit_breaker_state{dependency}</w:t>
            </w:r>
          </w:p>
        </w:tc>
        <w:tc>
          <w:tcPr>
            <w:tcW w:type="dxa" w:w="3560"/>
            <w:shd w:val="clear" w:color="auto" w:fill="F7F9FC"/>
          </w:tcPr>
          <w:p>
            <w:r>
              <w:rPr>
                <w:color w:val="202020"/>
                <w:sz w:val="19"/>
              </w:rPr>
              <w:t>Per-dependency breaker: 0 closed, 1 half-open, 2 open (</w:t>
            </w:r>
            <w:r>
              <w:rPr>
                <w:rFonts w:ascii="Consolas" w:hAnsi="Consolas"/>
                <w:color w:val="202020"/>
                <w:sz w:val="19"/>
              </w:rPr>
              <w:t>hdfs</w:t>
            </w:r>
            <w:r>
              <w:rPr>
                <w:color w:val="202020"/>
                <w:sz w:val="19"/>
              </w:rPr>
              <w:t xml:space="preserve">, </w:t>
            </w:r>
            <w:r>
              <w:rPr>
                <w:rFonts w:ascii="Consolas" w:hAnsi="Consolas"/>
                <w:color w:val="202020"/>
                <w:sz w:val="19"/>
              </w:rPr>
              <w:t>graph</w:t>
            </w:r>
            <w:r>
              <w:rPr>
                <w:color w:val="202020"/>
                <w:sz w:val="19"/>
              </w:rPr>
              <w:t>)</w:t>
            </w:r>
          </w:p>
        </w:tc>
        <w:tc>
          <w:tcPr>
            <w:tcW w:type="dxa" w:w="2600"/>
            <w:shd w:val="clear" w:color="auto" w:fill="F7F9FC"/>
          </w:tcPr>
          <w:p>
            <w:r>
              <w:rPr>
                <w:color w:val="202020"/>
                <w:sz w:val="19"/>
              </w:rPr>
              <w:t>2 for more than a few minutes = a real source or Graph outage</w:t>
            </w:r>
          </w:p>
        </w:tc>
      </w:tr>
      <w:tr>
        <w:tc>
          <w:tcPr>
            <w:tcW w:type="dxa" w:w="3200"/>
          </w:tcPr>
          <w:p>
            <w:r>
              <w:rPr>
                <w:rFonts w:ascii="Consolas" w:hAnsi="Consolas"/>
                <w:color w:val="202020"/>
                <w:sz w:val="19"/>
              </w:rPr>
              <w:t>dead_letter_depth</w:t>
            </w:r>
          </w:p>
        </w:tc>
        <w:tc>
          <w:tcPr>
            <w:tcW w:type="dxa" w:w="3560"/>
          </w:tcPr>
          <w:p>
            <w:r>
              <w:rPr>
                <w:color w:val="202020"/>
                <w:sz w:val="19"/>
              </w:rPr>
              <w:t>Live dead-letter queue depth</w:t>
            </w:r>
          </w:p>
        </w:tc>
        <w:tc>
          <w:tcPr>
            <w:tcW w:type="dxa" w:w="2600"/>
          </w:tcPr>
          <w:p>
            <w:r>
              <w:rPr>
                <w:color w:val="202020"/>
                <w:sz w:val="19"/>
              </w:rPr>
              <w:t>Anything above 0 for an hour deserves a look</w:t>
            </w:r>
          </w:p>
        </w:tc>
      </w:tr>
      <w:tr>
        <w:tc>
          <w:tcPr>
            <w:tcW w:type="dxa" w:w="3200"/>
            <w:shd w:val="clear" w:color="auto" w:fill="F7F9FC"/>
          </w:tcPr>
          <w:p>
            <w:r>
              <w:rPr>
                <w:rFonts w:ascii="Consolas" w:hAnsi="Consolas"/>
                <w:color w:val="202020"/>
                <w:sz w:val="19"/>
              </w:rPr>
              <w:t>last_crawl_completed_timestamp_seconds</w:t>
            </w:r>
          </w:p>
        </w:tc>
        <w:tc>
          <w:tcPr>
            <w:tcW w:type="dxa" w:w="3560"/>
            <w:shd w:val="clear" w:color="auto" w:fill="F7F9FC"/>
          </w:tcPr>
          <w:p>
            <w:r>
              <w:rPr>
                <w:color w:val="202020"/>
                <w:sz w:val="19"/>
              </w:rPr>
              <w:t>When a crawl last finished</w:t>
            </w:r>
          </w:p>
        </w:tc>
        <w:tc>
          <w:tcPr>
            <w:tcW w:type="dxa" w:w="2600"/>
            <w:shd w:val="clear" w:color="auto" w:fill="F7F9FC"/>
          </w:tcPr>
          <w:p>
            <w:r>
              <w:rPr>
                <w:color w:val="202020"/>
                <w:sz w:val="19"/>
              </w:rPr>
              <w:t>Age beyond ~26 h trips WatermarkStale</w:t>
            </w:r>
          </w:p>
        </w:tc>
      </w:tr>
      <w:tr>
        <w:tc>
          <w:tcPr>
            <w:tcW w:type="dxa" w:w="3200"/>
          </w:tcPr>
          <w:p>
            <w:r>
              <w:rPr>
                <w:rFonts w:ascii="Consolas" w:hAnsi="Consolas"/>
                <w:color w:val="202020"/>
                <w:sz w:val="19"/>
              </w:rPr>
              <w:t>items_ingested_total</w:t>
            </w:r>
            <w:r>
              <w:rPr>
                <w:color w:val="202020"/>
                <w:sz w:val="19"/>
              </w:rPr>
              <w:t xml:space="preserve"> / </w:t>
            </w:r>
            <w:r>
              <w:rPr>
                <w:rFonts w:ascii="Consolas" w:hAnsi="Consolas"/>
                <w:color w:val="202020"/>
                <w:sz w:val="19"/>
              </w:rPr>
              <w:t>items_deleted_total</w:t>
            </w:r>
          </w:p>
        </w:tc>
        <w:tc>
          <w:tcPr>
            <w:tcW w:type="dxa" w:w="3560"/>
          </w:tcPr>
          <w:p>
            <w:r>
              <w:rPr>
                <w:color w:val="202020"/>
                <w:sz w:val="19"/>
              </w:rPr>
              <w:t>Items written / withdrawn</w:t>
            </w:r>
          </w:p>
        </w:tc>
        <w:tc>
          <w:tcPr>
            <w:tcW w:type="dxa" w:w="2600"/>
          </w:tcPr>
          <w:p>
            <w:r>
              <w:rPr>
                <w:color w:val="202020"/>
                <w:sz w:val="19"/>
              </w:rPr>
              <w:t>Baseline throughput; a large delete count is worth explaining</w:t>
            </w:r>
          </w:p>
        </w:tc>
      </w:tr>
      <w:tr>
        <w:tc>
          <w:tcPr>
            <w:tcW w:type="dxa" w:w="3200"/>
            <w:shd w:val="clear" w:color="auto" w:fill="F7F9FC"/>
          </w:tcPr>
          <w:p>
            <w:r>
              <w:rPr>
                <w:rFonts w:ascii="Consolas" w:hAnsi="Consolas"/>
                <w:color w:val="202020"/>
                <w:sz w:val="19"/>
              </w:rPr>
              <w:t>hdfs_calls_total</w:t>
            </w:r>
          </w:p>
        </w:tc>
        <w:tc>
          <w:tcPr>
            <w:tcW w:type="dxa" w:w="3560"/>
            <w:shd w:val="clear" w:color="auto" w:fill="F7F9FC"/>
          </w:tcPr>
          <w:p>
            <w:r>
              <w:rPr>
                <w:color w:val="202020"/>
                <w:sz w:val="19"/>
              </w:rPr>
              <w:t>WebHDFS calls made (per attempt)</w:t>
            </w:r>
          </w:p>
        </w:tc>
        <w:tc>
          <w:tcPr>
            <w:tcW w:type="dxa" w:w="2600"/>
            <w:shd w:val="clear" w:color="auto" w:fill="F7F9FC"/>
          </w:tcPr>
          <w:p>
            <w:r>
              <w:rPr>
                <w:color w:val="202020"/>
                <w:sz w:val="19"/>
              </w:rPr>
              <w:t>Spikes track retries / a flapping namenode</w:t>
            </w:r>
          </w:p>
        </w:tc>
      </w:tr>
    </w:tbl>
    <w:p>
      <w:pPr>
        <w:spacing w:after="40"/>
      </w:pPr>
    </w:p>
    <w:p>
      <w:pPr>
        <w:pStyle w:val="Heading2"/>
      </w:pPr>
      <w:r>
        <w:rPr>
          <w:color w:val="2E5496"/>
        </w:rPr>
        <w:t>12.3 Alerts</w:t>
      </w:r>
    </w:p>
    <w:p>
      <w:pPr>
        <w:spacing w:after="120"/>
      </w:pPr>
      <w:r>
        <w:rPr>
          <w:color w:val="202020"/>
        </w:rPr>
        <w:t xml:space="preserve">These ship in </w:t>
      </w:r>
      <w:r>
        <w:rPr>
          <w:rFonts w:ascii="Consolas" w:hAnsi="Consolas"/>
          <w:color w:val="202020"/>
          <w:sz w:val="19"/>
        </w:rPr>
        <w:t>ops/prometheus-alerts.yml</w:t>
      </w:r>
      <w:r>
        <w:rPr>
          <w:color w:val="202020"/>
        </w:rPr>
        <w:t xml:space="preserve"> and </w:t>
      </w:r>
      <w:r>
        <w:rPr>
          <w:rFonts w:ascii="Consolas" w:hAnsi="Consolas"/>
          <w:color w:val="202020"/>
          <w:sz w:val="19"/>
        </w:rPr>
        <w:t>ops/azure-monitor-alerts.kql</w:t>
      </w:r>
      <w:r>
        <w:rPr>
          <w:color w:val="202020"/>
        </w:rPr>
        <w:t xml:space="preserve">, each keyed to a runbook in </w:t>
      </w:r>
      <w:r>
        <w:rPr>
          <w:b/>
          <w:color w:val="202020"/>
        </w:rPr>
        <w:t>Section 13</w:t>
      </w:r>
      <w:r>
        <w:rPr>
          <w:color w:val="202020"/>
        </w:rPr>
        <w:t>. The webhook feed (</w:t>
      </w:r>
      <w:r>
        <w:rPr>
          <w:rFonts w:ascii="Consolas" w:hAnsi="Consolas"/>
          <w:color w:val="202020"/>
          <w:sz w:val="19"/>
        </w:rPr>
        <w:t>ALERT_WEBHOOK_URL</w:t>
      </w:r>
      <w:r>
        <w:rPr>
          <w:color w:val="202020"/>
        </w:rPr>
        <w:t>) posts the same events as JSON.</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400"/>
        <w:gridCol w:w="3560"/>
        <w:gridCol w:w="3400"/>
      </w:tblGrid>
      <w:tr>
        <w:tc>
          <w:tcPr>
            <w:tcW w:type="dxa" w:w="2400"/>
            <w:shd w:val="clear" w:color="auto" w:fill="2E5496"/>
          </w:tcPr>
          <w:p>
            <w:r>
              <w:rPr>
                <w:b/>
                <w:color w:val="FFFFFF"/>
                <w:sz w:val="19"/>
              </w:rPr>
              <w:t>Alert</w:t>
            </w:r>
          </w:p>
        </w:tc>
        <w:tc>
          <w:tcPr>
            <w:tcW w:type="dxa" w:w="3560"/>
            <w:shd w:val="clear" w:color="auto" w:fill="2E5496"/>
          </w:tcPr>
          <w:p>
            <w:r>
              <w:rPr>
                <w:b/>
                <w:color w:val="FFFFFF"/>
                <w:sz w:val="19"/>
              </w:rPr>
              <w:t>Fires when</w:t>
            </w:r>
          </w:p>
        </w:tc>
        <w:tc>
          <w:tcPr>
            <w:tcW w:type="dxa" w:w="3400"/>
            <w:shd w:val="clear" w:color="auto" w:fill="2E5496"/>
          </w:tcPr>
          <w:p>
            <w:r>
              <w:rPr>
                <w:b/>
                <w:color w:val="FFFFFF"/>
                <w:sz w:val="19"/>
              </w:rPr>
              <w:t>First action</w:t>
            </w:r>
          </w:p>
        </w:tc>
      </w:tr>
      <w:tr>
        <w:tc>
          <w:tcPr>
            <w:tcW w:type="dxa" w:w="2400"/>
          </w:tcPr>
          <w:p>
            <w:r>
              <w:rPr>
                <w:color w:val="202020"/>
                <w:sz w:val="19"/>
              </w:rPr>
              <w:t>GuardRefusalSpike</w:t>
            </w:r>
          </w:p>
        </w:tc>
        <w:tc>
          <w:tcPr>
            <w:tcW w:type="dxa" w:w="3560"/>
          </w:tcPr>
          <w:p>
            <w:r>
              <w:rPr>
                <w:rFonts w:ascii="Consolas" w:hAnsi="Consolas"/>
                <w:color w:val="202020"/>
                <w:sz w:val="19"/>
              </w:rPr>
              <w:t>guard_refusals_total</w:t>
            </w:r>
            <w:r>
              <w:rPr>
                <w:color w:val="202020"/>
                <w:sz w:val="19"/>
              </w:rPr>
              <w:t xml:space="preserve"> rises</w:t>
            </w:r>
          </w:p>
        </w:tc>
        <w:tc>
          <w:tcPr>
            <w:tcW w:type="dxa" w:w="3400"/>
          </w:tcPr>
          <w:p>
            <w:r>
              <w:rPr>
                <w:color w:val="202020"/>
                <w:sz w:val="19"/>
              </w:rPr>
              <w:t xml:space="preserve">An object lost its filter — fix </w:t>
            </w:r>
            <w:r>
              <w:rPr>
                <w:rFonts w:ascii="Consolas" w:hAnsi="Consolas"/>
                <w:color w:val="202020"/>
                <w:sz w:val="19"/>
              </w:rPr>
              <w:t>filters.json</w:t>
            </w:r>
            <w:r>
              <w:rPr>
                <w:color w:val="202020"/>
                <w:sz w:val="19"/>
              </w:rPr>
              <w:t xml:space="preserve"> (</w:t>
            </w:r>
            <w:r>
              <w:rPr>
                <w:b/>
                <w:color w:val="202020"/>
                <w:sz w:val="19"/>
              </w:rPr>
              <w:t>§13</w:t>
            </w:r>
            <w:r>
              <w:rPr>
                <w:color w:val="202020"/>
                <w:sz w:val="19"/>
              </w:rPr>
              <w:t>)</w:t>
            </w:r>
          </w:p>
        </w:tc>
      </w:tr>
      <w:tr>
        <w:tc>
          <w:tcPr>
            <w:tcW w:type="dxa" w:w="2400"/>
            <w:shd w:val="clear" w:color="auto" w:fill="F7F9FC"/>
          </w:tcPr>
          <w:p>
            <w:r>
              <w:rPr>
                <w:color w:val="202020"/>
                <w:sz w:val="19"/>
              </w:rPr>
              <w:t>SweepSuppressed</w:t>
            </w:r>
          </w:p>
        </w:tc>
        <w:tc>
          <w:tcPr>
            <w:tcW w:type="dxa" w:w="3560"/>
            <w:shd w:val="clear" w:color="auto" w:fill="F7F9FC"/>
          </w:tcPr>
          <w:p>
            <w:r>
              <w:rPr>
                <w:rFonts w:ascii="Consolas" w:hAnsi="Consolas"/>
                <w:color w:val="202020"/>
                <w:sz w:val="19"/>
              </w:rPr>
              <w:t>sweeps_suppressed_total</w:t>
            </w:r>
            <w:r>
              <w:rPr>
                <w:color w:val="202020"/>
                <w:sz w:val="19"/>
              </w:rPr>
              <w:t xml:space="preserve"> rises</w:t>
            </w:r>
          </w:p>
        </w:tc>
        <w:tc>
          <w:tcPr>
            <w:tcW w:type="dxa" w:w="3400"/>
            <w:shd w:val="clear" w:color="auto" w:fill="F7F9FC"/>
          </w:tcPr>
          <w:p>
            <w:r>
              <w:rPr>
                <w:color w:val="202020"/>
                <w:sz w:val="19"/>
              </w:rPr>
              <w:t>A crawl was partial or a mass-deletion guard tripped — check why</w:t>
            </w:r>
          </w:p>
        </w:tc>
      </w:tr>
      <w:tr>
        <w:tc>
          <w:tcPr>
            <w:tcW w:type="dxa" w:w="2400"/>
          </w:tcPr>
          <w:p>
            <w:r>
              <w:rPr>
                <w:color w:val="202020"/>
                <w:sz w:val="19"/>
              </w:rPr>
              <w:t>WatermarkStale</w:t>
            </w:r>
          </w:p>
        </w:tc>
        <w:tc>
          <w:tcPr>
            <w:tcW w:type="dxa" w:w="3560"/>
          </w:tcPr>
          <w:p>
            <w:r>
              <w:rPr>
                <w:color w:val="202020"/>
                <w:sz w:val="19"/>
              </w:rPr>
              <w:t>Last crawl older than ~26 h</w:t>
            </w:r>
          </w:p>
        </w:tc>
        <w:tc>
          <w:tcPr>
            <w:tcW w:type="dxa" w:w="3400"/>
          </w:tcPr>
          <w:p>
            <w:r>
              <w:rPr>
                <w:color w:val="202020"/>
                <w:sz w:val="19"/>
              </w:rPr>
              <w:t xml:space="preserve">Did the nightly load land? Check the watermark and </w:t>
            </w:r>
            <w:r>
              <w:rPr>
                <w:rFonts w:ascii="Consolas" w:hAnsi="Consolas"/>
                <w:color w:val="202020"/>
                <w:sz w:val="19"/>
              </w:rPr>
              <w:t>BDH_LAG_HOURS</w:t>
            </w:r>
          </w:p>
        </w:tc>
      </w:tr>
      <w:tr>
        <w:tc>
          <w:tcPr>
            <w:tcW w:type="dxa" w:w="2400"/>
            <w:shd w:val="clear" w:color="auto" w:fill="F7F9FC"/>
          </w:tcPr>
          <w:p>
            <w:r>
              <w:rPr>
                <w:color w:val="202020"/>
                <w:sz w:val="19"/>
              </w:rPr>
              <w:t>BreakerOpen</w:t>
            </w:r>
          </w:p>
        </w:tc>
        <w:tc>
          <w:tcPr>
            <w:tcW w:type="dxa" w:w="3560"/>
            <w:shd w:val="clear" w:color="auto" w:fill="F7F9FC"/>
          </w:tcPr>
          <w:p>
            <w:r>
              <w:rPr>
                <w:rFonts w:ascii="Consolas" w:hAnsi="Consolas"/>
                <w:color w:val="202020"/>
                <w:sz w:val="19"/>
              </w:rPr>
              <w:t>circuit_breaker_state == 2</w:t>
            </w:r>
          </w:p>
        </w:tc>
        <w:tc>
          <w:tcPr>
            <w:tcW w:type="dxa" w:w="3400"/>
            <w:shd w:val="clear" w:color="auto" w:fill="F7F9FC"/>
          </w:tcPr>
          <w:p>
            <w:r>
              <w:rPr>
                <w:color w:val="202020"/>
                <w:sz w:val="19"/>
              </w:rPr>
              <w:t>WebHDFS or Graph outage; the connector paused safely — fix the source</w:t>
            </w:r>
          </w:p>
        </w:tc>
      </w:tr>
      <w:tr>
        <w:tc>
          <w:tcPr>
            <w:tcW w:type="dxa" w:w="2400"/>
          </w:tcPr>
          <w:p>
            <w:r>
              <w:rPr>
                <w:color w:val="202020"/>
                <w:sz w:val="19"/>
              </w:rPr>
              <w:t>Throttle429Storm</w:t>
            </w:r>
          </w:p>
        </w:tc>
        <w:tc>
          <w:tcPr>
            <w:tcW w:type="dxa" w:w="3560"/>
          </w:tcPr>
          <w:p>
            <w:r>
              <w:rPr>
                <w:rFonts w:ascii="Consolas" w:hAnsi="Consolas"/>
                <w:color w:val="202020"/>
                <w:sz w:val="19"/>
              </w:rPr>
              <w:t>throttled_429_total</w:t>
            </w:r>
            <w:r>
              <w:rPr>
                <w:color w:val="202020"/>
                <w:sz w:val="19"/>
              </w:rPr>
              <w:t xml:space="preserve"> climbs fast</w:t>
            </w:r>
          </w:p>
        </w:tc>
        <w:tc>
          <w:tcPr>
            <w:tcW w:type="dxa" w:w="3400"/>
          </w:tcPr>
          <w:p>
            <w:r>
              <w:rPr>
                <w:color w:val="202020"/>
                <w:sz w:val="19"/>
              </w:rPr>
              <w:t xml:space="preserve">Lower </w:t>
            </w:r>
            <w:r>
              <w:rPr>
                <w:rFonts w:ascii="Consolas" w:hAnsi="Consolas"/>
                <w:color w:val="202020"/>
                <w:sz w:val="19"/>
              </w:rPr>
              <w:t>GRAPH_BATCH_WORKERS</w:t>
            </w:r>
            <w:r>
              <w:rPr>
                <w:color w:val="202020"/>
                <w:sz w:val="19"/>
              </w:rPr>
              <w:t xml:space="preserve"> / enable jitter / shard connections</w:t>
            </w:r>
          </w:p>
        </w:tc>
      </w:tr>
      <w:tr>
        <w:tc>
          <w:tcPr>
            <w:tcW w:type="dxa" w:w="2400"/>
            <w:shd w:val="clear" w:color="auto" w:fill="F7F9FC"/>
          </w:tcPr>
          <w:p>
            <w:r>
              <w:rPr>
                <w:color w:val="202020"/>
                <w:sz w:val="19"/>
              </w:rPr>
              <w:t>DeadLetterGrowth</w:t>
            </w:r>
          </w:p>
        </w:tc>
        <w:tc>
          <w:tcPr>
            <w:tcW w:type="dxa" w:w="3560"/>
            <w:shd w:val="clear" w:color="auto" w:fill="F7F9FC"/>
          </w:tcPr>
          <w:p>
            <w:r>
              <w:rPr>
                <w:rFonts w:ascii="Consolas" w:hAnsi="Consolas"/>
                <w:color w:val="202020"/>
                <w:sz w:val="19"/>
              </w:rPr>
              <w:t>dead_letter_depth</w:t>
            </w:r>
            <w:r>
              <w:rPr>
                <w:color w:val="202020"/>
                <w:sz w:val="19"/>
              </w:rPr>
              <w:t xml:space="preserve"> past the threshold</w:t>
            </w:r>
          </w:p>
        </w:tc>
        <w:tc>
          <w:tcPr>
            <w:tcW w:type="dxa" w:w="3400"/>
            <w:shd w:val="clear" w:color="auto" w:fill="F7F9FC"/>
          </w:tcPr>
          <w:p>
            <w:r>
              <w:rPr>
                <w:color w:val="202020"/>
                <w:sz w:val="19"/>
              </w:rPr>
              <w:t xml:space="preserve">Read the queue, fix the cause, </w:t>
            </w:r>
            <w:r>
              <w:rPr>
                <w:rFonts w:ascii="Consolas" w:hAnsi="Consolas"/>
                <w:color w:val="202020"/>
                <w:sz w:val="19"/>
              </w:rPr>
              <w:t>retry-failed</w:t>
            </w:r>
          </w:p>
        </w:tc>
      </w:tr>
      <w:tr>
        <w:tc>
          <w:tcPr>
            <w:tcW w:type="dxa" w:w="2400"/>
          </w:tcPr>
          <w:p>
            <w:r>
              <w:rPr>
                <w:color w:val="202020"/>
                <w:sz w:val="19"/>
              </w:rPr>
              <w:t>IdentityDirectoryIncomplete</w:t>
            </w:r>
          </w:p>
        </w:tc>
        <w:tc>
          <w:tcPr>
            <w:tcW w:type="dxa" w:w="3560"/>
          </w:tcPr>
          <w:p>
            <w:r>
              <w:rPr>
                <w:rFonts w:ascii="Consolas" w:hAnsi="Consolas"/>
                <w:color w:val="202020"/>
                <w:sz w:val="19"/>
              </w:rPr>
              <w:t>identity_directory_incomplete</w:t>
            </w:r>
            <w:r>
              <w:rPr>
                <w:color w:val="202020"/>
                <w:sz w:val="19"/>
              </w:rPr>
              <w:t xml:space="preserve"> webhook</w:t>
            </w:r>
          </w:p>
        </w:tc>
        <w:tc>
          <w:tcPr>
            <w:tcW w:type="dxa" w:w="3400"/>
          </w:tcPr>
          <w:p>
            <w:r>
              <w:rPr>
                <w:color w:val="202020"/>
                <w:sz w:val="19"/>
              </w:rPr>
              <w:t>The User export was partial — sync refused loudly (</w:t>
            </w:r>
            <w:r>
              <w:rPr>
                <w:b/>
                <w:color w:val="202020"/>
                <w:sz w:val="19"/>
              </w:rPr>
              <w:t>§13</w:t>
            </w:r>
            <w:r>
              <w:rPr>
                <w:color w:val="202020"/>
                <w:sz w:val="19"/>
              </w:rPr>
              <w:t>)</w:t>
            </w:r>
          </w:p>
        </w:tc>
      </w:tr>
      <w:tr>
        <w:tc>
          <w:tcPr>
            <w:tcW w:type="dxa" w:w="2400"/>
            <w:shd w:val="clear" w:color="auto" w:fill="F7F9FC"/>
          </w:tcPr>
          <w:p>
            <w:r>
              <w:rPr>
                <w:color w:val="202020"/>
                <w:sz w:val="19"/>
              </w:rPr>
              <w:t>DelegationTokenCanary</w:t>
            </w:r>
          </w:p>
        </w:tc>
        <w:tc>
          <w:tcPr>
            <w:tcW w:type="dxa" w:w="3560"/>
            <w:shd w:val="clear" w:color="auto" w:fill="F7F9FC"/>
          </w:tcPr>
          <w:p>
            <w:r>
              <w:rPr>
                <w:color w:val="202020"/>
                <w:sz w:val="19"/>
              </w:rPr>
              <w:t xml:space="preserve">Any log line contains </w:t>
            </w:r>
            <w:r>
              <w:rPr>
                <w:rFonts w:ascii="Consolas" w:hAnsi="Consolas"/>
                <w:color w:val="202020"/>
                <w:sz w:val="19"/>
              </w:rPr>
              <w:t>delegation=</w:t>
            </w:r>
          </w:p>
        </w:tc>
        <w:tc>
          <w:tcPr>
            <w:tcW w:type="dxa" w:w="3400"/>
            <w:shd w:val="clear" w:color="auto" w:fill="F7F9FC"/>
          </w:tcPr>
          <w:p>
            <w:r>
              <w:rPr>
                <w:color w:val="202020"/>
                <w:sz w:val="19"/>
              </w:rPr>
              <w:t>Security incident, not operational — escalate (</w:t>
            </w:r>
            <w:r>
              <w:rPr>
                <w:b/>
                <w:color w:val="202020"/>
                <w:sz w:val="19"/>
              </w:rPr>
              <w:t>§4.2</w:t>
            </w:r>
            <w:r>
              <w:rPr>
                <w:color w:val="202020"/>
                <w:sz w:val="19"/>
              </w:rPr>
              <w:t>)</w:t>
            </w:r>
          </w:p>
        </w:tc>
      </w:tr>
    </w:tbl>
    <w:p>
      <w:pPr>
        <w:spacing w:after="40"/>
      </w:pPr>
    </w:p>
    <w:p>
      <w:pPr>
        <w:pStyle w:val="Heading2"/>
      </w:pPr>
      <w:r>
        <w:rPr>
          <w:color w:val="2E5496"/>
        </w:rPr>
        <w:t>12.4 What good looks like</w:t>
      </w:r>
    </w:p>
    <w:p>
      <w:pPr>
        <w:pStyle w:val="ListBullet"/>
        <w:spacing w:after="40"/>
      </w:pPr>
      <w:r>
        <w:rPr>
          <w:rFonts w:ascii="Consolas" w:hAnsi="Consolas"/>
          <w:color w:val="202020"/>
          <w:sz w:val="19"/>
        </w:rPr>
        <w:t>partitions_pruned_total</w:t>
      </w:r>
      <w:r>
        <w:rPr>
          <w:color w:val="202020"/>
        </w:rPr>
        <w:t xml:space="preserve"> far exceeds </w:t>
      </w:r>
      <w:r>
        <w:rPr>
          <w:rFonts w:ascii="Consolas" w:hAnsi="Consolas"/>
          <w:color w:val="202020"/>
          <w:sz w:val="19"/>
        </w:rPr>
        <w:t>partitions_scanned_total</w:t>
      </w:r>
      <w:r>
        <w:rPr>
          <w:color w:val="202020"/>
        </w:rPr>
        <w:t xml:space="preserve">, and </w:t>
      </w:r>
      <w:r>
        <w:rPr>
          <w:rFonts w:ascii="Consolas" w:hAnsi="Consolas"/>
          <w:color w:val="202020"/>
          <w:sz w:val="19"/>
        </w:rPr>
        <w:t>records_matched_total</w:t>
      </w:r>
      <w:r>
        <w:rPr>
          <w:color w:val="202020"/>
        </w:rPr>
        <w:t xml:space="preserve"> is well below </w:t>
      </w:r>
      <w:r>
        <w:rPr>
          <w:rFonts w:ascii="Consolas" w:hAnsi="Consolas"/>
          <w:color w:val="202020"/>
          <w:sz w:val="19"/>
        </w:rPr>
        <w:t>records_scanned_total</w:t>
      </w:r>
      <w:r>
        <w:rPr>
          <w:color w:val="202020"/>
        </w:rPr>
        <w:t xml:space="preserve"> — the filters are doing their job.</w:t>
      </w:r>
    </w:p>
    <w:p>
      <w:pPr>
        <w:pStyle w:val="ListBullet"/>
        <w:spacing w:after="40"/>
      </w:pPr>
      <w:r>
        <w:rPr>
          <w:rFonts w:ascii="Consolas" w:hAnsi="Consolas"/>
          <w:color w:val="202020"/>
          <w:sz w:val="19"/>
        </w:rPr>
        <w:t>guard_refusals_total</w:t>
      </w:r>
      <w:r>
        <w:rPr>
          <w:color w:val="202020"/>
        </w:rPr>
        <w:t xml:space="preserve">, </w:t>
      </w:r>
      <w:r>
        <w:rPr>
          <w:rFonts w:ascii="Consolas" w:hAnsi="Consolas"/>
          <w:color w:val="202020"/>
          <w:sz w:val="19"/>
        </w:rPr>
        <w:t>partial_objects_total</w:t>
      </w:r>
      <w:r>
        <w:rPr>
          <w:color w:val="202020"/>
        </w:rPr>
        <w:t xml:space="preserve"> and </w:t>
      </w:r>
      <w:r>
        <w:rPr>
          <w:rFonts w:ascii="Consolas" w:hAnsi="Consolas"/>
          <w:color w:val="202020"/>
          <w:sz w:val="19"/>
        </w:rPr>
        <w:t>sweeps_suppressed_total</w:t>
      </w:r>
      <w:r>
        <w:rPr>
          <w:color w:val="202020"/>
        </w:rPr>
        <w:t xml:space="preserve"> sit flat (ideally at 0).</w:t>
      </w:r>
    </w:p>
    <w:p>
      <w:pPr>
        <w:pStyle w:val="ListBullet"/>
        <w:spacing w:after="40"/>
      </w:pPr>
      <w:r>
        <w:rPr>
          <w:rFonts w:ascii="Consolas" w:hAnsi="Consolas"/>
          <w:color w:val="202020"/>
          <w:sz w:val="19"/>
        </w:rPr>
        <w:t>circuit_breaker_state</w:t>
      </w:r>
      <w:r>
        <w:rPr>
          <w:color w:val="202020"/>
        </w:rPr>
        <w:t xml:space="preserve"> is 0 for both </w:t>
      </w:r>
      <w:r>
        <w:rPr>
          <w:rFonts w:ascii="Consolas" w:hAnsi="Consolas"/>
          <w:color w:val="202020"/>
          <w:sz w:val="19"/>
        </w:rPr>
        <w:t>hdfs</w:t>
      </w:r>
      <w:r>
        <w:rPr>
          <w:color w:val="202020"/>
        </w:rPr>
        <w:t xml:space="preserve"> and </w:t>
      </w:r>
      <w:r>
        <w:rPr>
          <w:rFonts w:ascii="Consolas" w:hAnsi="Consolas"/>
          <w:color w:val="202020"/>
          <w:sz w:val="19"/>
        </w:rPr>
        <w:t>graph</w:t>
      </w:r>
      <w:r>
        <w:rPr>
          <w:color w:val="202020"/>
        </w:rPr>
        <w:t xml:space="preserve">; </w:t>
      </w:r>
      <w:r>
        <w:rPr>
          <w:rFonts w:ascii="Consolas" w:hAnsi="Consolas"/>
          <w:color w:val="202020"/>
          <w:sz w:val="19"/>
        </w:rPr>
        <w:t>/ready</w:t>
      </w:r>
      <w:r>
        <w:rPr>
          <w:color w:val="202020"/>
        </w:rPr>
        <w:t xml:space="preserve"> returns 200.</w:t>
      </w:r>
    </w:p>
    <w:p>
      <w:pPr>
        <w:pStyle w:val="ListBullet"/>
        <w:spacing w:after="40"/>
      </w:pPr>
      <w:r>
        <w:rPr>
          <w:rFonts w:ascii="Consolas" w:hAnsi="Consolas"/>
          <w:color w:val="202020"/>
          <w:sz w:val="19"/>
        </w:rPr>
        <w:t>dead_letter_depth</w:t>
      </w:r>
      <w:r>
        <w:rPr>
          <w:color w:val="202020"/>
        </w:rPr>
        <w:t xml:space="preserve"> is 0; </w:t>
      </w:r>
      <w:r>
        <w:rPr>
          <w:rFonts w:ascii="Consolas" w:hAnsi="Consolas"/>
          <w:color w:val="202020"/>
          <w:sz w:val="19"/>
        </w:rPr>
        <w:t>last_crawl_completed_timestamp_seconds</w:t>
      </w:r>
      <w:r>
        <w:rPr>
          <w:color w:val="202020"/>
        </w:rPr>
        <w:t xml:space="preserve"> is under 26 h old.</w:t>
      </w:r>
    </w:p>
    <w:p>
      <w:pPr>
        <w:pStyle w:val="ListBullet"/>
        <w:spacing w:after="40"/>
      </w:pPr>
      <w:r>
        <w:rPr>
          <w:color w:val="202020"/>
        </w:rPr>
        <w:t>The delegation-token canary returns zero rows — forever.</w:t>
      </w:r>
    </w:p>
    <w:p>
      <w:pPr>
        <w:pStyle w:val="Heading1"/>
      </w:pPr>
      <w:r>
        <w:rPr>
          <w:color w:val="1F3864"/>
        </w:rPr>
        <w:t>13. Troubleshooting</w:t>
      </w:r>
    </w:p>
    <w:p>
      <w:pPr>
        <w:spacing w:after="200"/>
      </w:pPr>
      <w:r>
        <w:rPr>
          <w:color w:val="595959"/>
          <w:sz w:val="23"/>
        </w:rPr>
        <w:t>The most common failure modes, as symptom → likely cause → what to do. Each has a fuller Symptom → Diagnose → Remediate → Escalate entry in the shipped runbooks. The general escalation path is: connector operations owner → (source problems) BDH/Hadoop platform team → (index problems) M365 tenant admin.</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600"/>
        <w:gridCol w:w="3200"/>
        <w:gridCol w:w="3560"/>
      </w:tblGrid>
      <w:tr>
        <w:tc>
          <w:tcPr>
            <w:tcW w:type="dxa" w:w="2600"/>
            <w:shd w:val="clear" w:color="auto" w:fill="2E5496"/>
          </w:tcPr>
          <w:p>
            <w:r>
              <w:rPr>
                <w:b/>
                <w:color w:val="FFFFFF"/>
                <w:sz w:val="19"/>
              </w:rPr>
              <w:t>Symptom</w:t>
            </w:r>
          </w:p>
        </w:tc>
        <w:tc>
          <w:tcPr>
            <w:tcW w:type="dxa" w:w="3200"/>
            <w:shd w:val="clear" w:color="auto" w:fill="2E5496"/>
          </w:tcPr>
          <w:p>
            <w:r>
              <w:rPr>
                <w:b/>
                <w:color w:val="FFFFFF"/>
                <w:sz w:val="19"/>
              </w:rPr>
              <w:t>Likely cause</w:t>
            </w:r>
          </w:p>
        </w:tc>
        <w:tc>
          <w:tcPr>
            <w:tcW w:type="dxa" w:w="3560"/>
            <w:shd w:val="clear" w:color="auto" w:fill="2E5496"/>
          </w:tcPr>
          <w:p>
            <w:r>
              <w:rPr>
                <w:b/>
                <w:color w:val="FFFFFF"/>
                <w:sz w:val="19"/>
              </w:rPr>
              <w:t>What to do</w:t>
            </w:r>
          </w:p>
        </w:tc>
      </w:tr>
      <w:tr>
        <w:tc>
          <w:tcPr>
            <w:tcW w:type="dxa" w:w="2600"/>
          </w:tcPr>
          <w:p>
            <w:r>
              <w:rPr>
                <w:color w:val="202020"/>
                <w:sz w:val="19"/>
              </w:rPr>
              <w:t>Object refused: "has no filter configured"</w:t>
            </w:r>
          </w:p>
        </w:tc>
        <w:tc>
          <w:tcPr>
            <w:tcW w:type="dxa" w:w="3200"/>
          </w:tcPr>
          <w:p>
            <w:r>
              <w:rPr>
                <w:color w:val="202020"/>
                <w:sz w:val="19"/>
              </w:rPr>
              <w:t xml:space="preserve">Fail-closed guard — the object has no effective filter (or </w:t>
            </w:r>
            <w:r>
              <w:rPr>
                <w:rFonts w:ascii="Consolas" w:hAnsi="Consolas"/>
                <w:color w:val="202020"/>
                <w:sz w:val="19"/>
              </w:rPr>
              <w:t>filters.json</w:t>
            </w:r>
            <w:r>
              <w:rPr>
                <w:color w:val="202020"/>
                <w:sz w:val="19"/>
              </w:rPr>
              <w:t xml:space="preserve"> is missing / mis-pointed)</w:t>
            </w:r>
          </w:p>
        </w:tc>
        <w:tc>
          <w:tcPr>
            <w:tcW w:type="dxa" w:w="3560"/>
          </w:tcPr>
          <w:p>
            <w:r>
              <w:rPr>
                <w:color w:val="202020"/>
                <w:sz w:val="19"/>
              </w:rPr>
              <w:t xml:space="preserve">Add a real filter, </w:t>
            </w:r>
            <w:r>
              <w:rPr>
                <w:rFonts w:ascii="Consolas" w:hAnsi="Consolas"/>
                <w:color w:val="202020"/>
                <w:sz w:val="19"/>
              </w:rPr>
              <w:t>validate-config --strict</w:t>
            </w:r>
            <w:r>
              <w:rPr>
                <w:color w:val="202020"/>
                <w:sz w:val="19"/>
              </w:rPr>
              <w:t>, redeploy. Do not exempt a large object (</w:t>
            </w:r>
            <w:r>
              <w:rPr>
                <w:b/>
                <w:color w:val="202020"/>
                <w:sz w:val="19"/>
              </w:rPr>
              <w:t>§7</w:t>
            </w:r>
            <w:r>
              <w:rPr>
                <w:color w:val="202020"/>
                <w:sz w:val="19"/>
              </w:rPr>
              <w:t>)</w:t>
            </w:r>
          </w:p>
        </w:tc>
      </w:tr>
      <w:tr>
        <w:tc>
          <w:tcPr>
            <w:tcW w:type="dxa" w:w="2600"/>
            <w:shd w:val="clear" w:color="auto" w:fill="F7F9FC"/>
          </w:tcPr>
          <w:p>
            <w:r>
              <w:rPr>
                <w:color w:val="202020"/>
                <w:sz w:val="19"/>
              </w:rPr>
              <w:t xml:space="preserve">Crawl marked PARTIAL; </w:t>
            </w:r>
            <w:r>
              <w:rPr>
                <w:rFonts w:ascii="Consolas" w:hAnsi="Consolas"/>
                <w:color w:val="202020"/>
                <w:sz w:val="19"/>
              </w:rPr>
              <w:t>row_cap_hit</w:t>
            </w:r>
            <w:r>
              <w:rPr>
                <w:color w:val="202020"/>
                <w:sz w:val="19"/>
              </w:rPr>
              <w:t xml:space="preserve"> alert</w:t>
            </w:r>
          </w:p>
        </w:tc>
        <w:tc>
          <w:tcPr>
            <w:tcW w:type="dxa" w:w="3200"/>
            <w:shd w:val="clear" w:color="auto" w:fill="F7F9FC"/>
          </w:tcPr>
          <w:p>
            <w:r>
              <w:rPr>
                <w:color w:val="202020"/>
                <w:sz w:val="19"/>
              </w:rPr>
              <w:t xml:space="preserve">The object matched more than </w:t>
            </w:r>
            <w:r>
              <w:rPr>
                <w:rFonts w:ascii="Consolas" w:hAnsi="Consolas"/>
                <w:color w:val="202020"/>
                <w:sz w:val="19"/>
              </w:rPr>
              <w:t>BDH_MAX_RECORDS_PER_OBJECT</w:t>
            </w:r>
          </w:p>
        </w:tc>
        <w:tc>
          <w:tcPr>
            <w:tcW w:type="dxa" w:w="3560"/>
            <w:shd w:val="clear" w:color="auto" w:fill="F7F9FC"/>
          </w:tcPr>
          <w:p>
            <w:r>
              <w:rPr>
                <w:color w:val="202020"/>
                <w:sz w:val="19"/>
              </w:rPr>
              <w:t>Tighten the filter (preferred) or raise the cap deliberately; the sweep stays suppressed until a full untruncated crawl</w:t>
            </w:r>
          </w:p>
        </w:tc>
      </w:tr>
      <w:tr>
        <w:tc>
          <w:tcPr>
            <w:tcW w:type="dxa" w:w="2600"/>
          </w:tcPr>
          <w:p>
            <w:r>
              <w:rPr>
                <w:color w:val="202020"/>
                <w:sz w:val="19"/>
              </w:rPr>
              <w:t>PARTIAL; "skipping oversize file"</w:t>
            </w:r>
          </w:p>
        </w:tc>
        <w:tc>
          <w:tcPr>
            <w:tcW w:type="dxa" w:w="3200"/>
          </w:tcPr>
          <w:p>
            <w:r>
              <w:rPr>
                <w:color w:val="202020"/>
                <w:sz w:val="19"/>
              </w:rPr>
              <w:t xml:space="preserve">A file exceeded </w:t>
            </w:r>
            <w:r>
              <w:rPr>
                <w:rFonts w:ascii="Consolas" w:hAnsi="Consolas"/>
                <w:color w:val="202020"/>
                <w:sz w:val="19"/>
              </w:rPr>
              <w:t>BDH_MAX_FILE_BYTES</w:t>
            </w:r>
            <w:r>
              <w:rPr>
                <w:color w:val="202020"/>
                <w:sz w:val="19"/>
              </w:rPr>
              <w:t>; its rows were not read</w:t>
            </w:r>
          </w:p>
        </w:tc>
        <w:tc>
          <w:tcPr>
            <w:tcW w:type="dxa" w:w="3560"/>
          </w:tcPr>
          <w:p>
            <w:r>
              <w:rPr>
                <w:color w:val="202020"/>
                <w:sz w:val="19"/>
              </w:rPr>
              <w:t xml:space="preserve">Have the BDH team re-land/re-partition the file, or raise the bound deliberately; then run </w:t>
            </w:r>
            <w:r>
              <w:rPr>
                <w:rFonts w:ascii="Consolas" w:hAnsi="Consolas"/>
                <w:color w:val="202020"/>
                <w:sz w:val="19"/>
              </w:rPr>
              <w:t>reconcile --type X --fix</w:t>
            </w:r>
          </w:p>
        </w:tc>
      </w:tr>
      <w:tr>
        <w:tc>
          <w:tcPr>
            <w:tcW w:type="dxa" w:w="2600"/>
            <w:shd w:val="clear" w:color="auto" w:fill="F7F9FC"/>
          </w:tcPr>
          <w:p>
            <w:r>
              <w:rPr>
                <w:color w:val="202020"/>
                <w:sz w:val="19"/>
              </w:rPr>
              <w:t xml:space="preserve">Identity sync refuses; </w:t>
            </w:r>
            <w:r>
              <w:rPr>
                <w:rFonts w:ascii="Consolas" w:hAnsi="Consolas"/>
                <w:color w:val="202020"/>
                <w:sz w:val="19"/>
              </w:rPr>
              <w:t>identity_directory_incomplete</w:t>
            </w:r>
          </w:p>
        </w:tc>
        <w:tc>
          <w:tcPr>
            <w:tcW w:type="dxa" w:w="3200"/>
            <w:shd w:val="clear" w:color="auto" w:fill="F7F9FC"/>
          </w:tcPr>
          <w:p>
            <w:r>
              <w:rPr>
                <w:color w:val="202020"/>
                <w:sz w:val="19"/>
              </w:rPr>
              <w:t>The User export was truncated or hit an oversize file — refusing is intentional</w:t>
            </w:r>
          </w:p>
        </w:tc>
        <w:tc>
          <w:tcPr>
            <w:tcW w:type="dxa" w:w="3560"/>
            <w:shd w:val="clear" w:color="auto" w:fill="F7F9FC"/>
          </w:tcPr>
          <w:p>
            <w:r>
              <w:rPr>
                <w:color w:val="202020"/>
                <w:sz w:val="19"/>
              </w:rPr>
              <w:t xml:space="preserve">Raise the row cap / file bound for the identity object, or narrow the User export; re-run </w:t>
            </w:r>
            <w:r>
              <w:rPr>
                <w:rFonts w:ascii="Consolas" w:hAnsi="Consolas"/>
                <w:color w:val="202020"/>
                <w:sz w:val="19"/>
              </w:rPr>
              <w:t>identity-dry-run --save</w:t>
            </w:r>
          </w:p>
        </w:tc>
      </w:tr>
      <w:tr>
        <w:tc>
          <w:tcPr>
            <w:tcW w:type="dxa" w:w="2600"/>
          </w:tcPr>
          <w:p>
            <w:r>
              <w:rPr>
                <w:rFonts w:ascii="Consolas" w:hAnsi="Consolas"/>
                <w:color w:val="202020"/>
                <w:sz w:val="19"/>
              </w:rPr>
              <w:t>/ready</w:t>
            </w:r>
            <w:r>
              <w:rPr>
                <w:color w:val="202020"/>
                <w:sz w:val="19"/>
              </w:rPr>
              <w:t xml:space="preserve"> 503 DEGRADED; breaker </w:t>
            </w:r>
            <w:r>
              <w:rPr>
                <w:rFonts w:ascii="Consolas" w:hAnsi="Consolas"/>
                <w:color w:val="202020"/>
                <w:sz w:val="19"/>
              </w:rPr>
              <w:t>hdfs</w:t>
            </w:r>
            <w:r>
              <w:rPr>
                <w:color w:val="202020"/>
                <w:sz w:val="19"/>
              </w:rPr>
              <w:t xml:space="preserve"> = 2</w:t>
            </w:r>
          </w:p>
        </w:tc>
        <w:tc>
          <w:tcPr>
            <w:tcW w:type="dxa" w:w="3200"/>
          </w:tcPr>
          <w:p>
            <w:r>
              <w:rPr>
                <w:color w:val="202020"/>
                <w:sz w:val="19"/>
              </w:rPr>
              <w:t>Sustained WebHDFS failures (namenode/Knox/network)</w:t>
            </w:r>
          </w:p>
        </w:tc>
        <w:tc>
          <w:tcPr>
            <w:tcW w:type="dxa" w:w="3560"/>
          </w:tcPr>
          <w:p>
            <w:r>
              <w:rPr>
                <w:color w:val="202020"/>
                <w:sz w:val="19"/>
              </w:rPr>
              <w:t>Nothing to repair on the connector — it paused safely and resumes. Fix the source; watch the breaker reset</w:t>
            </w:r>
          </w:p>
        </w:tc>
      </w:tr>
      <w:tr>
        <w:tc>
          <w:tcPr>
            <w:tcW w:type="dxa" w:w="2600"/>
            <w:shd w:val="clear" w:color="auto" w:fill="F7F9FC"/>
          </w:tcPr>
          <w:p>
            <w:r>
              <w:rPr>
                <w:color w:val="202020"/>
                <w:sz w:val="19"/>
              </w:rPr>
              <w:t>Incremental shows "Partitions 0 scanned"; WatermarkStale</w:t>
            </w:r>
          </w:p>
        </w:tc>
        <w:tc>
          <w:tcPr>
            <w:tcW w:type="dxa" w:w="3200"/>
            <w:shd w:val="clear" w:color="auto" w:fill="F7F9FC"/>
          </w:tcPr>
          <w:p>
            <w:r>
              <w:rPr>
                <w:color w:val="202020"/>
                <w:sz w:val="19"/>
              </w:rPr>
              <w:t xml:space="preserve">Nightly load did not run / landed late, watermark ahead, or </w:t>
            </w:r>
            <w:r>
              <w:rPr>
                <w:rFonts w:ascii="Consolas" w:hAnsi="Consolas"/>
                <w:color w:val="202020"/>
                <w:sz w:val="19"/>
              </w:rPr>
              <w:t>BDH_LAG_HOURS</w:t>
            </w:r>
            <w:r>
              <w:rPr>
                <w:color w:val="202020"/>
                <w:sz w:val="19"/>
              </w:rPr>
              <w:t xml:space="preserve"> too small</w:t>
            </w:r>
          </w:p>
        </w:tc>
        <w:tc>
          <w:tcPr>
            <w:tcW w:type="dxa" w:w="3560"/>
            <w:shd w:val="clear" w:color="auto" w:fill="F7F9FC"/>
          </w:tcPr>
          <w:p>
            <w:r>
              <w:rPr>
                <w:color w:val="202020"/>
                <w:sz w:val="19"/>
              </w:rPr>
              <w:t xml:space="preserve">Check for a fresh </w:t>
            </w:r>
            <w:r>
              <w:rPr>
                <w:rFonts w:ascii="Consolas" w:hAnsi="Consolas"/>
                <w:color w:val="202020"/>
                <w:sz w:val="19"/>
              </w:rPr>
              <w:t>dt=</w:t>
            </w:r>
            <w:r>
              <w:rPr>
                <w:color w:val="202020"/>
                <w:sz w:val="19"/>
              </w:rPr>
              <w:t xml:space="preserve"> folder; a late load self-heals next cycle; if a window was skipped, force a full crawl</w:t>
            </w:r>
          </w:p>
        </w:tc>
      </w:tr>
      <w:tr>
        <w:tc>
          <w:tcPr>
            <w:tcW w:type="dxa" w:w="2600"/>
          </w:tcPr>
          <w:p>
            <w:r>
              <w:rPr>
                <w:rFonts w:ascii="Consolas" w:hAnsi="Consolas"/>
                <w:color w:val="202020"/>
                <w:sz w:val="19"/>
              </w:rPr>
              <w:t>dead_letter_depth</w:t>
            </w:r>
            <w:r>
              <w:rPr>
                <w:color w:val="202020"/>
                <w:sz w:val="19"/>
              </w:rPr>
              <w:t xml:space="preserve"> climbing</w:t>
            </w:r>
          </w:p>
        </w:tc>
        <w:tc>
          <w:tcPr>
            <w:tcW w:type="dxa" w:w="3200"/>
          </w:tcPr>
          <w:p>
            <w:r>
              <w:rPr>
                <w:color w:val="202020"/>
                <w:sz w:val="19"/>
              </w:rPr>
              <w:t>Schema/property mismatch, conversion errors, or Graph 4xx on items</w:t>
            </w:r>
          </w:p>
        </w:tc>
        <w:tc>
          <w:tcPr>
            <w:tcW w:type="dxa" w:w="3560"/>
          </w:tcPr>
          <w:p>
            <w:r>
              <w:rPr>
                <w:color w:val="202020"/>
                <w:sz w:val="19"/>
              </w:rPr>
              <w:t xml:space="preserve">Read the queue's </w:t>
            </w:r>
            <w:r>
              <w:rPr>
                <w:rFonts w:ascii="Consolas" w:hAnsi="Consolas"/>
                <w:color w:val="202020"/>
                <w:sz w:val="19"/>
              </w:rPr>
              <w:t>error</w:t>
            </w:r>
            <w:r>
              <w:rPr>
                <w:color w:val="202020"/>
                <w:sz w:val="19"/>
              </w:rPr>
              <w:t xml:space="preserve"> field (it clusters), fix the cause, </w:t>
            </w:r>
            <w:r>
              <w:rPr>
                <w:rFonts w:ascii="Consolas" w:hAnsi="Consolas"/>
                <w:color w:val="202020"/>
                <w:sz w:val="19"/>
              </w:rPr>
              <w:t>retry-failed --clear-on-success</w:t>
            </w:r>
          </w:p>
        </w:tc>
      </w:tr>
      <w:tr>
        <w:tc>
          <w:tcPr>
            <w:tcW w:type="dxa" w:w="2600"/>
            <w:shd w:val="clear" w:color="auto" w:fill="F7F9FC"/>
          </w:tcPr>
          <w:p>
            <w:r>
              <w:rPr>
                <w:rFonts w:ascii="Consolas" w:hAnsi="Consolas"/>
                <w:color w:val="202020"/>
                <w:sz w:val="19"/>
              </w:rPr>
              <w:t>retry-failed</w:t>
            </w:r>
            <w:r>
              <w:rPr>
                <w:color w:val="202020"/>
                <w:sz w:val="19"/>
              </w:rPr>
              <w:t xml:space="preserve"> leaves entries with "lookup incomplete"</w:t>
            </w:r>
          </w:p>
        </w:tc>
        <w:tc>
          <w:tcPr>
            <w:tcW w:type="dxa" w:w="3200"/>
            <w:shd w:val="clear" w:color="auto" w:fill="F7F9FC"/>
          </w:tcPr>
          <w:p>
            <w:r>
              <w:rPr>
                <w:color w:val="202020"/>
                <w:sz w:val="19"/>
              </w:rPr>
              <w:t>The id-lookup had to skip an oversize file, so a miss is unproven</w:t>
            </w:r>
          </w:p>
        </w:tc>
        <w:tc>
          <w:tcPr>
            <w:tcW w:type="dxa" w:w="3560"/>
            <w:shd w:val="clear" w:color="auto" w:fill="F7F9FC"/>
          </w:tcPr>
          <w:p>
            <w:r>
              <w:rPr>
                <w:color w:val="202020"/>
                <w:sz w:val="19"/>
              </w:rPr>
              <w:t>Resolve the oversize file first, then re-run — the lookup becomes conclusive</w:t>
            </w:r>
          </w:p>
        </w:tc>
      </w:tr>
      <w:tr>
        <w:tc>
          <w:tcPr>
            <w:tcW w:type="dxa" w:w="2600"/>
          </w:tcPr>
          <w:p>
            <w:r>
              <w:rPr>
                <w:color w:val="202020"/>
                <w:sz w:val="19"/>
              </w:rPr>
              <w:t>Zero records matched for an object</w:t>
            </w:r>
          </w:p>
        </w:tc>
        <w:tc>
          <w:tcPr>
            <w:tcW w:type="dxa" w:w="3200"/>
          </w:tcPr>
          <w:p>
            <w:r>
              <w:rPr>
                <w:color w:val="202020"/>
                <w:sz w:val="19"/>
              </w:rPr>
              <w:t>Over-tight record rules, a wrong field name, or a wrong root/partition key</w:t>
            </w:r>
          </w:p>
        </w:tc>
        <w:tc>
          <w:tcPr>
            <w:tcW w:type="dxa" w:w="3560"/>
          </w:tcPr>
          <w:p>
            <w:r>
              <w:rPr>
                <w:color w:val="202020"/>
                <w:sz w:val="19"/>
              </w:rPr>
              <w:t>Work down the per-object fetch log line (partitions, scanned, filtered); check field names exist in the export</w:t>
            </w:r>
          </w:p>
        </w:tc>
      </w:tr>
      <w:tr>
        <w:tc>
          <w:tcPr>
            <w:tcW w:type="dxa" w:w="2600"/>
            <w:shd w:val="clear" w:color="auto" w:fill="F7F9FC"/>
          </w:tcPr>
          <w:p>
            <w:r>
              <w:rPr>
                <w:rFonts w:ascii="Consolas" w:hAnsi="Consolas"/>
                <w:color w:val="202020"/>
                <w:sz w:val="19"/>
              </w:rPr>
              <w:t>throttled_429_total</w:t>
            </w:r>
            <w:r>
              <w:rPr>
                <w:color w:val="202020"/>
                <w:sz w:val="19"/>
              </w:rPr>
              <w:t xml:space="preserve"> storm; throughput sags</w:t>
            </w:r>
          </w:p>
        </w:tc>
        <w:tc>
          <w:tcPr>
            <w:tcW w:type="dxa" w:w="3200"/>
            <w:shd w:val="clear" w:color="auto" w:fill="F7F9FC"/>
          </w:tcPr>
          <w:p>
            <w:r>
              <w:rPr>
                <w:color w:val="202020"/>
                <w:sz w:val="19"/>
              </w:rPr>
              <w:t>Too many batch workers × shards × HA nodes for the tenant quota</w:t>
            </w:r>
          </w:p>
        </w:tc>
        <w:tc>
          <w:tcPr>
            <w:tcW w:type="dxa" w:w="3560"/>
            <w:shd w:val="clear" w:color="auto" w:fill="F7F9FC"/>
          </w:tcPr>
          <w:p>
            <w:r>
              <w:rPr>
                <w:color w:val="202020"/>
                <w:sz w:val="19"/>
              </w:rPr>
              <w:t xml:space="preserve">Lower </w:t>
            </w:r>
            <w:r>
              <w:rPr>
                <w:rFonts w:ascii="Consolas" w:hAnsi="Consolas"/>
                <w:color w:val="202020"/>
                <w:sz w:val="19"/>
              </w:rPr>
              <w:t>GRAPH_BATCH_WORKERS</w:t>
            </w:r>
            <w:r>
              <w:rPr>
                <w:color w:val="202020"/>
                <w:sz w:val="19"/>
              </w:rPr>
              <w:t xml:space="preserve">, set </w:t>
            </w:r>
            <w:r>
              <w:rPr>
                <w:rFonts w:ascii="Consolas" w:hAnsi="Consolas"/>
                <w:color w:val="202020"/>
                <w:sz w:val="19"/>
              </w:rPr>
              <w:t>GRAPH_RETRY_JITTER=true</w:t>
            </w:r>
            <w:r>
              <w:rPr>
                <w:color w:val="202020"/>
                <w:sz w:val="19"/>
              </w:rPr>
              <w:t>, stagger schedules, or shard — never raise retries</w:t>
            </w:r>
          </w:p>
        </w:tc>
      </w:tr>
      <w:tr>
        <w:tc>
          <w:tcPr>
            <w:tcW w:type="dxa" w:w="2600"/>
          </w:tcPr>
          <w:p>
            <w:r>
              <w:rPr>
                <w:color w:val="202020"/>
                <w:sz w:val="19"/>
              </w:rPr>
              <w:t>"Graph auth" failures (401/invalid_client)</w:t>
            </w:r>
          </w:p>
        </w:tc>
        <w:tc>
          <w:tcPr>
            <w:tcW w:type="dxa" w:w="3200"/>
          </w:tcPr>
          <w:p>
            <w:r>
              <w:rPr>
                <w:color w:val="202020"/>
                <w:sz w:val="19"/>
              </w:rPr>
              <w:t>Expired secret, wrong tenant/client id, or a stale certificate (cert wins over secret)</w:t>
            </w:r>
          </w:p>
        </w:tc>
        <w:tc>
          <w:tcPr>
            <w:tcW w:type="dxa" w:w="3560"/>
          </w:tcPr>
          <w:p>
            <w:r>
              <w:rPr>
                <w:color w:val="202020"/>
                <w:sz w:val="19"/>
              </w:rPr>
              <w:t xml:space="preserve">Rotate per the runbooks in </w:t>
            </w:r>
            <w:r>
              <w:rPr>
                <w:rFonts w:ascii="Consolas" w:hAnsi="Consolas"/>
                <w:color w:val="202020"/>
                <w:sz w:val="19"/>
              </w:rPr>
              <w:t>SECURITY.md</w:t>
            </w:r>
            <w:r>
              <w:rPr>
                <w:color w:val="202020"/>
                <w:sz w:val="19"/>
              </w:rPr>
              <w:t>; verify the logged auth mode; confirm the three permissions stay consented</w:t>
            </w:r>
          </w:p>
        </w:tc>
      </w:tr>
      <w:tr>
        <w:tc>
          <w:tcPr>
            <w:tcW w:type="dxa" w:w="2600"/>
            <w:shd w:val="clear" w:color="auto" w:fill="F7F9FC"/>
          </w:tcPr>
          <w:p>
            <w:r>
              <w:rPr>
                <w:color w:val="202020"/>
                <w:sz w:val="19"/>
              </w:rPr>
              <w:t>Warnings: sync-state / checkpoint / dead-letter "corrupt"</w:t>
            </w:r>
          </w:p>
        </w:tc>
        <w:tc>
          <w:tcPr>
            <w:tcW w:type="dxa" w:w="3200"/>
            <w:shd w:val="clear" w:color="auto" w:fill="F7F9FC"/>
          </w:tcPr>
          <w:p>
            <w:r>
              <w:rPr>
                <w:color w:val="202020"/>
                <w:sz w:val="19"/>
              </w:rPr>
              <w:t>A file was torn (crash, disk-full, AV)</w:t>
            </w:r>
          </w:p>
        </w:tc>
        <w:tc>
          <w:tcPr>
            <w:tcW w:type="dxa" w:w="3560"/>
            <w:shd w:val="clear" w:color="auto" w:fill="F7F9FC"/>
          </w:tcPr>
          <w:p>
            <w:r>
              <w:rPr>
                <w:color w:val="202020"/>
                <w:sz w:val="19"/>
              </w:rPr>
              <w:t>Usually nothing — the fail-safe already applied (wider re-read / restart from chunk 0 / skip one line). Restore from backup only if the re-read is too costly</w:t>
            </w:r>
          </w:p>
        </w:tc>
      </w:tr>
    </w:tbl>
    <w:p>
      <w:pPr>
        <w:spacing w:after="40"/>
      </w:pPr>
    </w:p>
    <w:p>
      <w:pPr>
        <w:spacing w:after="120"/>
      </w:pPr>
      <w:r>
        <w:rPr>
          <w:color w:val="202020"/>
        </w:rPr>
        <w:t>Two BDH-specific behaviours are meant to be loud, so recognise them rather than "fixing" them:</w:t>
      </w:r>
    </w:p>
    <w:p>
      <w:pPr>
        <w:pStyle w:val="ListBullet"/>
        <w:spacing w:after="40"/>
      </w:pPr>
      <w:r>
        <w:rPr>
          <w:b/>
          <w:color w:val="202020"/>
        </w:rPr>
        <w:t>A guard refusal is the safety net, not a bug.</w:t>
      </w:r>
      <w:r>
        <w:rPr>
          <w:color w:val="202020"/>
        </w:rPr>
        <w:t xml:space="preserve"> It protects you from a 150M-row scan. The fix is a filter, not an exemption.</w:t>
      </w:r>
    </w:p>
    <w:p>
      <w:pPr>
        <w:pStyle w:val="ListBullet"/>
        <w:spacing w:after="40"/>
      </w:pPr>
      <w:r>
        <w:rPr>
          <w:b/>
          <w:color w:val="202020"/>
        </w:rPr>
        <w:t>An incomplete identity directory refuses the whole sync on purpose.</w:t>
      </w:r>
      <w:r>
        <w:rPr>
          <w:color w:val="202020"/>
        </w:rPr>
        <w:t xml:space="preserve"> A silently-partial user directory would apply coarse or fallback ACLs across the entire crawl — an access-control integrity failure. The loud refusal is correct; give the identity object the scale it needs and re-run.</w:t>
      </w:r>
    </w:p>
    <w:p>
      <w:r>
        <w:br w:type="page"/>
      </w:r>
    </w:p>
    <w:p>
      <w:pPr>
        <w:pStyle w:val="Heading1"/>
      </w:pPr>
      <w:r>
        <w:rPr>
          <w:color w:val="1F3864"/>
        </w:rPr>
        <w:t>14. Configuration reference</w:t>
      </w:r>
    </w:p>
    <w:p>
      <w:pPr>
        <w:spacing w:after="200"/>
      </w:pPr>
      <w:r>
        <w:rPr>
          <w:color w:val="595959"/>
          <w:sz w:val="23"/>
        </w:rPr>
        <w:t>The settings you will use most. Secrets (</w:t>
      </w:r>
      <w:r>
        <w:rPr>
          <w:rFonts w:ascii="Consolas" w:hAnsi="Consolas"/>
          <w:color w:val="595959"/>
          <w:sz w:val="19"/>
        </w:rPr>
        <w:t>SECRET_*</w:t>
      </w:r>
      <w:r>
        <w:rPr>
          <w:color w:val="595959"/>
          <w:sz w:val="23"/>
        </w:rPr>
        <w:t xml:space="preserve">, certificate passwords) live in </w:t>
      </w:r>
      <w:r>
        <w:rPr>
          <w:rFonts w:ascii="Consolas" w:hAnsi="Consolas"/>
          <w:color w:val="595959"/>
          <w:sz w:val="19"/>
        </w:rPr>
        <w:t>env/.env.local.user</w:t>
      </w:r>
      <w:r>
        <w:rPr>
          <w:color w:val="595959"/>
          <w:sz w:val="23"/>
        </w:rPr>
        <w:t xml:space="preserve"> or Key Vault, never in </w:t>
      </w:r>
      <w:r>
        <w:rPr>
          <w:rFonts w:ascii="Consolas" w:hAnsi="Consolas"/>
          <w:color w:val="595959"/>
          <w:sz w:val="19"/>
        </w:rPr>
        <w:t>.env.local</w:t>
      </w:r>
      <w:r>
        <w:rPr>
          <w:color w:val="595959"/>
          <w:sz w:val="23"/>
        </w:rPr>
        <w:t>; a value already in the real process environment always wins over the files.</w:t>
      </w:r>
    </w:p>
    <w:p>
      <w:pPr>
        <w:pStyle w:val="Heading3"/>
      </w:pPr>
      <w:r>
        <w:rPr>
          <w:color w:val="2E5496"/>
        </w:rPr>
        <w:t>14.1 Core and identity</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900"/>
        <w:gridCol w:w="4060"/>
        <w:gridCol w:w="2400"/>
      </w:tblGrid>
      <w:tr>
        <w:tc>
          <w:tcPr>
            <w:tcW w:type="dxa" w:w="2900"/>
            <w:shd w:val="clear" w:color="auto" w:fill="2E5496"/>
          </w:tcPr>
          <w:p>
            <w:r>
              <w:rPr>
                <w:b/>
                <w:color w:val="FFFFFF"/>
                <w:sz w:val="19"/>
              </w:rPr>
              <w:t>Variable</w:t>
            </w:r>
          </w:p>
        </w:tc>
        <w:tc>
          <w:tcPr>
            <w:tcW w:type="dxa" w:w="4060"/>
            <w:shd w:val="clear" w:color="auto" w:fill="2E5496"/>
          </w:tcPr>
          <w:p>
            <w:r>
              <w:rPr>
                <w:b/>
                <w:color w:val="FFFFFF"/>
                <w:sz w:val="19"/>
              </w:rPr>
              <w:t>What it does</w:t>
            </w:r>
          </w:p>
        </w:tc>
        <w:tc>
          <w:tcPr>
            <w:tcW w:type="dxa" w:w="2400"/>
            <w:shd w:val="clear" w:color="auto" w:fill="2E5496"/>
          </w:tcPr>
          <w:p>
            <w:r>
              <w:rPr>
                <w:b/>
                <w:color w:val="FFFFFF"/>
                <w:sz w:val="19"/>
              </w:rPr>
              <w:t>Default / notes</w:t>
            </w:r>
          </w:p>
        </w:tc>
      </w:tr>
      <w:tr>
        <w:tc>
          <w:tcPr>
            <w:tcW w:type="dxa" w:w="2900"/>
          </w:tcPr>
          <w:p>
            <w:r>
              <w:rPr>
                <w:rFonts w:ascii="Consolas" w:hAnsi="Consolas"/>
                <w:color w:val="202020"/>
                <w:sz w:val="19"/>
              </w:rPr>
              <w:t>CONNECTOR_ID</w:t>
            </w:r>
          </w:p>
        </w:tc>
        <w:tc>
          <w:tcPr>
            <w:tcW w:type="dxa" w:w="4060"/>
          </w:tcPr>
          <w:p>
            <w:r>
              <w:rPr>
                <w:color w:val="202020"/>
                <w:sz w:val="19"/>
              </w:rPr>
              <w:t>Unique id for the Graph connection and on-disk state</w:t>
            </w:r>
          </w:p>
        </w:tc>
        <w:tc>
          <w:tcPr>
            <w:tcW w:type="dxa" w:w="2400"/>
          </w:tcPr>
          <w:p>
            <w:r>
              <w:rPr>
                <w:color w:val="202020"/>
                <w:sz w:val="19"/>
              </w:rPr>
              <w:t>REQUIRED; 3–32 alphanumeric; MUST differ from the live Salesforce connector</w:t>
            </w:r>
          </w:p>
        </w:tc>
      </w:tr>
      <w:tr>
        <w:tc>
          <w:tcPr>
            <w:tcW w:type="dxa" w:w="2900"/>
            <w:shd w:val="clear" w:color="auto" w:fill="F7F9FC"/>
          </w:tcPr>
          <w:p>
            <w:r>
              <w:rPr>
                <w:rFonts w:ascii="Consolas" w:hAnsi="Consolas"/>
                <w:color w:val="202020"/>
                <w:sz w:val="19"/>
              </w:rPr>
              <w:t>CONNECTOR_NAME</w:t>
            </w:r>
          </w:p>
        </w:tc>
        <w:tc>
          <w:tcPr>
            <w:tcW w:type="dxa" w:w="4060"/>
            <w:shd w:val="clear" w:color="auto" w:fill="F7F9FC"/>
          </w:tcPr>
          <w:p>
            <w:r>
              <w:rPr>
                <w:color w:val="202020"/>
                <w:sz w:val="19"/>
              </w:rPr>
              <w:t>Admin-UI display name</w:t>
            </w:r>
          </w:p>
        </w:tc>
        <w:tc>
          <w:tcPr>
            <w:tcW w:type="dxa" w:w="2400"/>
            <w:shd w:val="clear" w:color="auto" w:fill="F7F9FC"/>
          </w:tcPr>
          <w:p>
            <w:r>
              <w:rPr>
                <w:color w:val="202020"/>
                <w:sz w:val="19"/>
              </w:rPr>
              <w:t>"BDH Hadoop Data Mart"</w:t>
            </w:r>
          </w:p>
        </w:tc>
      </w:tr>
      <w:tr>
        <w:tc>
          <w:tcPr>
            <w:tcW w:type="dxa" w:w="2900"/>
          </w:tcPr>
          <w:p>
            <w:r>
              <w:rPr>
                <w:rFonts w:ascii="Consolas" w:hAnsi="Consolas"/>
                <w:color w:val="202020"/>
                <w:sz w:val="19"/>
              </w:rPr>
              <w:t>CONNECTOR_DESCRIPTION</w:t>
            </w:r>
          </w:p>
        </w:tc>
        <w:tc>
          <w:tcPr>
            <w:tcW w:type="dxa" w:w="4060"/>
          </w:tcPr>
          <w:p>
            <w:r>
              <w:rPr>
                <w:color w:val="202020"/>
                <w:sz w:val="19"/>
              </w:rPr>
              <w:t>Description shown in Microsoft Search</w:t>
            </w:r>
          </w:p>
        </w:tc>
        <w:tc>
          <w:tcPr>
            <w:tcW w:type="dxa" w:w="2400"/>
          </w:tcPr>
          <w:p>
            <w:r>
              <w:rPr>
                <w:color w:val="202020"/>
                <w:sz w:val="19"/>
              </w:rPr>
              <w:t>Optional</w:t>
            </w:r>
          </w:p>
        </w:tc>
      </w:tr>
    </w:tbl>
    <w:p>
      <w:pPr>
        <w:spacing w:after="40"/>
      </w:pPr>
    </w:p>
    <w:p>
      <w:pPr>
        <w:pStyle w:val="Heading3"/>
      </w:pPr>
      <w:r>
        <w:rPr>
          <w:color w:val="2E5496"/>
        </w:rPr>
        <w:t>14.2 BDH source access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900"/>
        <w:gridCol w:w="4060"/>
        <w:gridCol w:w="2400"/>
      </w:tblGrid>
      <w:tr>
        <w:tc>
          <w:tcPr>
            <w:tcW w:type="dxa" w:w="2900"/>
            <w:shd w:val="clear" w:color="auto" w:fill="2E5496"/>
          </w:tcPr>
          <w:p>
            <w:r>
              <w:rPr>
                <w:b/>
                <w:color w:val="FFFFFF"/>
                <w:sz w:val="19"/>
              </w:rPr>
              <w:t>Variable</w:t>
            </w:r>
          </w:p>
        </w:tc>
        <w:tc>
          <w:tcPr>
            <w:tcW w:type="dxa" w:w="4060"/>
            <w:shd w:val="clear" w:color="auto" w:fill="2E5496"/>
          </w:tcPr>
          <w:p>
            <w:r>
              <w:rPr>
                <w:b/>
                <w:color w:val="FFFFFF"/>
                <w:sz w:val="19"/>
              </w:rPr>
              <w:t>What it does</w:t>
            </w:r>
          </w:p>
        </w:tc>
        <w:tc>
          <w:tcPr>
            <w:tcW w:type="dxa" w:w="2400"/>
            <w:shd w:val="clear" w:color="auto" w:fill="2E5496"/>
          </w:tcPr>
          <w:p>
            <w:r>
              <w:rPr>
                <w:b/>
                <w:color w:val="FFFFFF"/>
                <w:sz w:val="19"/>
              </w:rPr>
              <w:t>Default / notes</w:t>
            </w:r>
          </w:p>
        </w:tc>
      </w:tr>
      <w:tr>
        <w:tc>
          <w:tcPr>
            <w:tcW w:type="dxa" w:w="2900"/>
          </w:tcPr>
          <w:p>
            <w:r>
              <w:rPr>
                <w:rFonts w:ascii="Consolas" w:hAnsi="Consolas"/>
                <w:color w:val="202020"/>
                <w:sz w:val="19"/>
              </w:rPr>
              <w:t>HDFS_MODE</w:t>
            </w:r>
          </w:p>
        </w:tc>
        <w:tc>
          <w:tcPr>
            <w:tcW w:type="dxa" w:w="4060"/>
          </w:tcPr>
          <w:p>
            <w:r>
              <w:rPr>
                <w:rFonts w:ascii="Consolas" w:hAnsi="Consolas"/>
                <w:color w:val="202020"/>
                <w:sz w:val="19"/>
              </w:rPr>
              <w:t>webhdfs</w:t>
            </w:r>
            <w:r>
              <w:rPr>
                <w:color w:val="202020"/>
                <w:sz w:val="19"/>
              </w:rPr>
              <w:t xml:space="preserve"> or </w:t>
            </w:r>
            <w:r>
              <w:rPr>
                <w:rFonts w:ascii="Consolas" w:hAnsi="Consolas"/>
                <w:color w:val="202020"/>
                <w:sz w:val="19"/>
              </w:rPr>
              <w:t>localpath</w:t>
            </w:r>
          </w:p>
        </w:tc>
        <w:tc>
          <w:tcPr>
            <w:tcW w:type="dxa" w:w="2400"/>
          </w:tcPr>
          <w:p>
            <w:r>
              <w:rPr>
                <w:rFonts w:ascii="Consolas" w:hAnsi="Consolas"/>
                <w:color w:val="202020"/>
                <w:sz w:val="19"/>
              </w:rPr>
              <w:t>webhdfs</w:t>
            </w:r>
          </w:p>
        </w:tc>
      </w:tr>
      <w:tr>
        <w:tc>
          <w:tcPr>
            <w:tcW w:type="dxa" w:w="2900"/>
            <w:shd w:val="clear" w:color="auto" w:fill="F7F9FC"/>
          </w:tcPr>
          <w:p>
            <w:r>
              <w:rPr>
                <w:rFonts w:ascii="Consolas" w:hAnsi="Consolas"/>
                <w:color w:val="202020"/>
                <w:sz w:val="19"/>
              </w:rPr>
              <w:t>HDFS_NAMENODE_URL</w:t>
            </w:r>
          </w:p>
        </w:tc>
        <w:tc>
          <w:tcPr>
            <w:tcW w:type="dxa" w:w="4060"/>
            <w:shd w:val="clear" w:color="auto" w:fill="F7F9FC"/>
          </w:tcPr>
          <w:p>
            <w:r>
              <w:rPr>
                <w:color w:val="202020"/>
                <w:sz w:val="19"/>
              </w:rPr>
              <w:t xml:space="preserve">WebHDFS endpoint incl. </w:t>
            </w:r>
            <w:r>
              <w:rPr>
                <w:rFonts w:ascii="Consolas" w:hAnsi="Consolas"/>
                <w:color w:val="202020"/>
                <w:sz w:val="19"/>
              </w:rPr>
              <w:t>/webhdfs/v1</w:t>
            </w:r>
            <w:r>
              <w:rPr>
                <w:color w:val="202020"/>
                <w:sz w:val="19"/>
              </w:rPr>
              <w:t xml:space="preserve"> (or a Knox URL)</w:t>
            </w:r>
          </w:p>
        </w:tc>
        <w:tc>
          <w:tcPr>
            <w:tcW w:type="dxa" w:w="2400"/>
            <w:shd w:val="clear" w:color="auto" w:fill="F7F9FC"/>
          </w:tcPr>
          <w:p>
            <w:r>
              <w:rPr>
                <w:color w:val="202020"/>
                <w:sz w:val="19"/>
              </w:rPr>
              <w:t>REQUIRED in webhdfs mode</w:t>
            </w:r>
          </w:p>
        </w:tc>
      </w:tr>
      <w:tr>
        <w:tc>
          <w:tcPr>
            <w:tcW w:type="dxa" w:w="2900"/>
          </w:tcPr>
          <w:p>
            <w:r>
              <w:rPr>
                <w:rFonts w:ascii="Consolas" w:hAnsi="Consolas"/>
                <w:color w:val="202020"/>
                <w:sz w:val="19"/>
              </w:rPr>
              <w:t>HDFS_USER</w:t>
            </w:r>
          </w:p>
        </w:tc>
        <w:tc>
          <w:tcPr>
            <w:tcW w:type="dxa" w:w="4060"/>
          </w:tcPr>
          <w:p>
            <w:r>
              <w:rPr>
                <w:color w:val="202020"/>
                <w:sz w:val="19"/>
              </w:rPr>
              <w:t>Simple-auth user (</w:t>
            </w:r>
            <w:r>
              <w:rPr>
                <w:rFonts w:ascii="Consolas" w:hAnsi="Consolas"/>
                <w:color w:val="202020"/>
                <w:sz w:val="19"/>
              </w:rPr>
              <w:t>?user.name=</w:t>
            </w:r>
            <w:r>
              <w:rPr>
                <w:color w:val="202020"/>
                <w:sz w:val="19"/>
              </w:rPr>
              <w:t>)</w:t>
            </w:r>
          </w:p>
        </w:tc>
        <w:tc>
          <w:tcPr>
            <w:tcW w:type="dxa" w:w="2400"/>
          </w:tcPr>
          <w:p>
            <w:r>
              <w:rPr>
                <w:color w:val="202020"/>
                <w:sz w:val="19"/>
              </w:rPr>
              <w:t>Unset; read-only principal</w:t>
            </w:r>
          </w:p>
        </w:tc>
      </w:tr>
      <w:tr>
        <w:tc>
          <w:tcPr>
            <w:tcW w:type="dxa" w:w="2900"/>
            <w:shd w:val="clear" w:color="auto" w:fill="F7F9FC"/>
          </w:tcPr>
          <w:p>
            <w:r>
              <w:rPr>
                <w:rFonts w:ascii="Consolas" w:hAnsi="Consolas"/>
                <w:color w:val="202020"/>
                <w:sz w:val="19"/>
              </w:rPr>
              <w:t>SECRET_HDFS_DELEGATION_TOKEN</w:t>
            </w:r>
          </w:p>
        </w:tc>
        <w:tc>
          <w:tcPr>
            <w:tcW w:type="dxa" w:w="4060"/>
            <w:shd w:val="clear" w:color="auto" w:fill="F7F9FC"/>
          </w:tcPr>
          <w:p>
            <w:r>
              <w:rPr>
                <w:color w:val="202020"/>
                <w:sz w:val="19"/>
              </w:rPr>
              <w:t>Delegation token (</w:t>
            </w:r>
            <w:r>
              <w:rPr>
                <w:rFonts w:ascii="Consolas" w:hAnsi="Consolas"/>
                <w:color w:val="202020"/>
                <w:sz w:val="19"/>
              </w:rPr>
              <w:t>?delegation=</w:t>
            </w:r>
            <w:r>
              <w:rPr>
                <w:color w:val="202020"/>
                <w:sz w:val="19"/>
              </w:rPr>
              <w:t>)</w:t>
            </w:r>
          </w:p>
        </w:tc>
        <w:tc>
          <w:tcPr>
            <w:tcW w:type="dxa" w:w="2400"/>
            <w:shd w:val="clear" w:color="auto" w:fill="F7F9FC"/>
          </w:tcPr>
          <w:p>
            <w:r>
              <w:rPr>
                <w:color w:val="202020"/>
                <w:sz w:val="19"/>
              </w:rPr>
              <w:t>Secret; optional; never logged</w:t>
            </w:r>
          </w:p>
        </w:tc>
      </w:tr>
      <w:tr>
        <w:tc>
          <w:tcPr>
            <w:tcW w:type="dxa" w:w="2900"/>
          </w:tcPr>
          <w:p>
            <w:r>
              <w:rPr>
                <w:rFonts w:ascii="Consolas" w:hAnsi="Consolas"/>
                <w:color w:val="202020"/>
                <w:sz w:val="19"/>
              </w:rPr>
              <w:t>BDH_ROOT_PATH</w:t>
            </w:r>
          </w:p>
        </w:tc>
        <w:tc>
          <w:tcPr>
            <w:tcW w:type="dxa" w:w="4060"/>
          </w:tcPr>
          <w:p>
            <w:r>
              <w:rPr>
                <w:color w:val="202020"/>
                <w:sz w:val="19"/>
              </w:rPr>
              <w:t>Data-mart root path</w:t>
            </w:r>
          </w:p>
        </w:tc>
        <w:tc>
          <w:tcPr>
            <w:tcW w:type="dxa" w:w="2400"/>
          </w:tcPr>
          <w:p>
            <w:r>
              <w:rPr>
                <w:rFonts w:ascii="Consolas" w:hAnsi="Consolas"/>
                <w:color w:val="202020"/>
                <w:sz w:val="19"/>
              </w:rPr>
              <w:t>/data/bdh</w:t>
            </w:r>
          </w:p>
        </w:tc>
      </w:tr>
      <w:tr>
        <w:tc>
          <w:tcPr>
            <w:tcW w:type="dxa" w:w="2900"/>
            <w:shd w:val="clear" w:color="auto" w:fill="F7F9FC"/>
          </w:tcPr>
          <w:p>
            <w:r>
              <w:rPr>
                <w:rFonts w:ascii="Consolas" w:hAnsi="Consolas"/>
                <w:color w:val="202020"/>
                <w:sz w:val="19"/>
              </w:rPr>
              <w:t>BDH_EXPORT_PATH</w:t>
            </w:r>
          </w:p>
        </w:tc>
        <w:tc>
          <w:tcPr>
            <w:tcW w:type="dxa" w:w="4060"/>
            <w:shd w:val="clear" w:color="auto" w:fill="F7F9FC"/>
          </w:tcPr>
          <w:p>
            <w:r>
              <w:rPr>
                <w:color w:val="202020"/>
                <w:sz w:val="19"/>
              </w:rPr>
              <w:t>Mounted export dir</w:t>
            </w:r>
          </w:p>
        </w:tc>
        <w:tc>
          <w:tcPr>
            <w:tcW w:type="dxa" w:w="2400"/>
            <w:shd w:val="clear" w:color="auto" w:fill="F7F9FC"/>
          </w:tcPr>
          <w:p>
            <w:r>
              <w:rPr>
                <w:color w:val="202020"/>
                <w:sz w:val="19"/>
              </w:rPr>
              <w:t>REQUIRED in localpath mode</w:t>
            </w:r>
          </w:p>
        </w:tc>
      </w:tr>
    </w:tbl>
    <w:p>
      <w:pPr>
        <w:spacing w:after="40"/>
      </w:pPr>
    </w:p>
    <w:p>
      <w:pPr>
        <w:pStyle w:val="Heading3"/>
      </w:pPr>
      <w:r>
        <w:rPr>
          <w:color w:val="2E5496"/>
        </w:rPr>
        <w:t>14.3 Scale, filtering and freshness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900"/>
        <w:gridCol w:w="4060"/>
        <w:gridCol w:w="2400"/>
      </w:tblGrid>
      <w:tr>
        <w:tc>
          <w:tcPr>
            <w:tcW w:type="dxa" w:w="2900"/>
            <w:shd w:val="clear" w:color="auto" w:fill="2E5496"/>
          </w:tcPr>
          <w:p>
            <w:r>
              <w:rPr>
                <w:b/>
                <w:color w:val="FFFFFF"/>
                <w:sz w:val="19"/>
              </w:rPr>
              <w:t>Variable</w:t>
            </w:r>
          </w:p>
        </w:tc>
        <w:tc>
          <w:tcPr>
            <w:tcW w:type="dxa" w:w="4060"/>
            <w:shd w:val="clear" w:color="auto" w:fill="2E5496"/>
          </w:tcPr>
          <w:p>
            <w:r>
              <w:rPr>
                <w:b/>
                <w:color w:val="FFFFFF"/>
                <w:sz w:val="19"/>
              </w:rPr>
              <w:t>What it does</w:t>
            </w:r>
          </w:p>
        </w:tc>
        <w:tc>
          <w:tcPr>
            <w:tcW w:type="dxa" w:w="2400"/>
            <w:shd w:val="clear" w:color="auto" w:fill="2E5496"/>
          </w:tcPr>
          <w:p>
            <w:r>
              <w:rPr>
                <w:b/>
                <w:color w:val="FFFFFF"/>
                <w:sz w:val="19"/>
              </w:rPr>
              <w:t>Default / notes</w:t>
            </w:r>
          </w:p>
        </w:tc>
      </w:tr>
      <w:tr>
        <w:tc>
          <w:tcPr>
            <w:tcW w:type="dxa" w:w="2900"/>
          </w:tcPr>
          <w:p>
            <w:r>
              <w:rPr>
                <w:rFonts w:ascii="Consolas" w:hAnsi="Consolas"/>
                <w:color w:val="202020"/>
                <w:sz w:val="19"/>
              </w:rPr>
              <w:t>BDH_FILTERS_PATH</w:t>
            </w:r>
          </w:p>
        </w:tc>
        <w:tc>
          <w:tcPr>
            <w:tcW w:type="dxa" w:w="4060"/>
          </w:tcPr>
          <w:p>
            <w:r>
              <w:rPr>
                <w:color w:val="202020"/>
                <w:sz w:val="19"/>
              </w:rPr>
              <w:t>Path to the filter config</w:t>
            </w:r>
          </w:p>
        </w:tc>
        <w:tc>
          <w:tcPr>
            <w:tcW w:type="dxa" w:w="2400"/>
          </w:tcPr>
          <w:p>
            <w:r>
              <w:rPr>
                <w:rFonts w:ascii="Consolas" w:hAnsi="Consolas"/>
                <w:color w:val="202020"/>
                <w:sz w:val="19"/>
              </w:rPr>
              <w:t>config/filters.json</w:t>
            </w:r>
          </w:p>
        </w:tc>
      </w:tr>
      <w:tr>
        <w:tc>
          <w:tcPr>
            <w:tcW w:type="dxa" w:w="2900"/>
            <w:shd w:val="clear" w:color="auto" w:fill="F7F9FC"/>
          </w:tcPr>
          <w:p>
            <w:r>
              <w:rPr>
                <w:rFonts w:ascii="Consolas" w:hAnsi="Consolas"/>
                <w:color w:val="202020"/>
                <w:sz w:val="19"/>
              </w:rPr>
              <w:t>ALLOW_FULL_SCAN</w:t>
            </w:r>
          </w:p>
        </w:tc>
        <w:tc>
          <w:tcPr>
            <w:tcW w:type="dxa" w:w="4060"/>
            <w:shd w:val="clear" w:color="auto" w:fill="F7F9FC"/>
          </w:tcPr>
          <w:p>
            <w:r>
              <w:rPr>
                <w:color w:val="202020"/>
                <w:sz w:val="19"/>
              </w:rPr>
              <w:t>Global off-switch for the fail-closed guard</w:t>
            </w:r>
          </w:p>
        </w:tc>
        <w:tc>
          <w:tcPr>
            <w:tcW w:type="dxa" w:w="2400"/>
            <w:shd w:val="clear" w:color="auto" w:fill="F7F9FC"/>
          </w:tcPr>
          <w:p>
            <w:r>
              <w:rPr>
                <w:rFonts w:ascii="Consolas" w:hAnsi="Consolas"/>
                <w:color w:val="202020"/>
                <w:sz w:val="19"/>
              </w:rPr>
              <w:t>false</w:t>
            </w:r>
            <w:r>
              <w:rPr>
                <w:color w:val="202020"/>
                <w:sz w:val="19"/>
              </w:rPr>
              <w:t xml:space="preserve"> — avoid; prefer per-object </w:t>
            </w:r>
            <w:r>
              <w:rPr>
                <w:rFonts w:ascii="Consolas" w:hAnsi="Consolas"/>
                <w:color w:val="202020"/>
                <w:sz w:val="19"/>
              </w:rPr>
              <w:t>fullScanAllowed</w:t>
            </w:r>
          </w:p>
        </w:tc>
      </w:tr>
      <w:tr>
        <w:tc>
          <w:tcPr>
            <w:tcW w:type="dxa" w:w="2900"/>
          </w:tcPr>
          <w:p>
            <w:r>
              <w:rPr>
                <w:rFonts w:ascii="Consolas" w:hAnsi="Consolas"/>
                <w:color w:val="202020"/>
                <w:sz w:val="19"/>
              </w:rPr>
              <w:t>BDH_LAG_HOURS</w:t>
            </w:r>
          </w:p>
        </w:tc>
        <w:tc>
          <w:tcPr>
            <w:tcW w:type="dxa" w:w="4060"/>
          </w:tcPr>
          <w:p>
            <w:r>
              <w:rPr>
                <w:color w:val="202020"/>
                <w:sz w:val="19"/>
              </w:rPr>
              <w:t>Incremental watermark overlap for the nightly-load lag</w:t>
            </w:r>
          </w:p>
        </w:tc>
        <w:tc>
          <w:tcPr>
            <w:tcW w:type="dxa" w:w="2400"/>
          </w:tcPr>
          <w:p>
            <w:r>
              <w:rPr>
                <w:rFonts w:ascii="Consolas" w:hAnsi="Consolas"/>
                <w:color w:val="202020"/>
                <w:sz w:val="19"/>
              </w:rPr>
              <w:t>24</w:t>
            </w:r>
          </w:p>
        </w:tc>
      </w:tr>
      <w:tr>
        <w:tc>
          <w:tcPr>
            <w:tcW w:type="dxa" w:w="2900"/>
            <w:shd w:val="clear" w:color="auto" w:fill="F7F9FC"/>
          </w:tcPr>
          <w:p>
            <w:r>
              <w:rPr>
                <w:rFonts w:ascii="Consolas" w:hAnsi="Consolas"/>
                <w:color w:val="202020"/>
                <w:sz w:val="19"/>
              </w:rPr>
              <w:t>BDH_MAX_RECORDS_PER_OBJECT</w:t>
            </w:r>
          </w:p>
        </w:tc>
        <w:tc>
          <w:tcPr>
            <w:tcW w:type="dxa" w:w="4060"/>
            <w:shd w:val="clear" w:color="auto" w:fill="F7F9FC"/>
          </w:tcPr>
          <w:p>
            <w:r>
              <w:rPr>
                <w:color w:val="202020"/>
                <w:sz w:val="19"/>
              </w:rPr>
              <w:t>Row cap per object per crawl</w:t>
            </w:r>
          </w:p>
        </w:tc>
        <w:tc>
          <w:tcPr>
            <w:tcW w:type="dxa" w:w="2400"/>
            <w:shd w:val="clear" w:color="auto" w:fill="F7F9FC"/>
          </w:tcPr>
          <w:p>
            <w:r>
              <w:rPr>
                <w:rFonts w:ascii="Consolas" w:hAnsi="Consolas"/>
                <w:color w:val="202020"/>
                <w:sz w:val="19"/>
              </w:rPr>
              <w:t>500000</w:t>
            </w:r>
            <w:r>
              <w:rPr>
                <w:color w:val="202020"/>
                <w:sz w:val="19"/>
              </w:rPr>
              <w:t xml:space="preserve">; </w:t>
            </w:r>
            <w:r>
              <w:rPr>
                <w:rFonts w:ascii="Consolas" w:hAnsi="Consolas"/>
                <w:color w:val="202020"/>
                <w:sz w:val="19"/>
              </w:rPr>
              <w:t>0</w:t>
            </w:r>
            <w:r>
              <w:rPr>
                <w:color w:val="202020"/>
                <w:sz w:val="19"/>
              </w:rPr>
              <w:t xml:space="preserve"> disables; hitting it marks the crawl PARTIAL</w:t>
            </w:r>
          </w:p>
        </w:tc>
      </w:tr>
      <w:tr>
        <w:tc>
          <w:tcPr>
            <w:tcW w:type="dxa" w:w="2900"/>
          </w:tcPr>
          <w:p>
            <w:r>
              <w:rPr>
                <w:rFonts w:ascii="Consolas" w:hAnsi="Consolas"/>
                <w:color w:val="202020"/>
                <w:sz w:val="19"/>
              </w:rPr>
              <w:t>BDH_MAX_FILE_BYTES</w:t>
            </w:r>
          </w:p>
        </w:tc>
        <w:tc>
          <w:tcPr>
            <w:tcW w:type="dxa" w:w="4060"/>
          </w:tcPr>
          <w:p>
            <w:r>
              <w:rPr>
                <w:color w:val="202020"/>
                <w:sz w:val="19"/>
              </w:rPr>
              <w:t>Per-file read bound</w:t>
            </w:r>
          </w:p>
        </w:tc>
        <w:tc>
          <w:tcPr>
            <w:tcW w:type="dxa" w:w="2400"/>
          </w:tcPr>
          <w:p>
            <w:r>
              <w:rPr>
                <w:rFonts w:ascii="Consolas" w:hAnsi="Consolas"/>
                <w:color w:val="202020"/>
                <w:sz w:val="19"/>
              </w:rPr>
              <w:t>1073741824</w:t>
            </w:r>
            <w:r>
              <w:rPr>
                <w:color w:val="202020"/>
                <w:sz w:val="19"/>
              </w:rPr>
              <w:t xml:space="preserve"> (1 GiB)</w:t>
            </w:r>
          </w:p>
        </w:tc>
      </w:tr>
      <w:tr>
        <w:tc>
          <w:tcPr>
            <w:tcW w:type="dxa" w:w="2900"/>
            <w:shd w:val="clear" w:color="auto" w:fill="F7F9FC"/>
          </w:tcPr>
          <w:p>
            <w:r>
              <w:rPr>
                <w:rFonts w:ascii="Consolas" w:hAnsi="Consolas"/>
                <w:color w:val="202020"/>
                <w:sz w:val="19"/>
              </w:rPr>
              <w:t>BDH_IDENTITY_OBJECT</w:t>
            </w:r>
          </w:p>
        </w:tc>
        <w:tc>
          <w:tcPr>
            <w:tcW w:type="dxa" w:w="4060"/>
            <w:shd w:val="clear" w:color="auto" w:fill="F7F9FC"/>
          </w:tcPr>
          <w:p>
            <w:r>
              <w:rPr>
                <w:color w:val="202020"/>
                <w:sz w:val="19"/>
              </w:rPr>
              <w:t>BDH object holding the user directory</w:t>
            </w:r>
          </w:p>
        </w:tc>
        <w:tc>
          <w:tcPr>
            <w:tcW w:type="dxa" w:w="2400"/>
            <w:shd w:val="clear" w:color="auto" w:fill="F7F9FC"/>
          </w:tcPr>
          <w:p>
            <w:r>
              <w:rPr>
                <w:rFonts w:ascii="Consolas" w:hAnsi="Consolas"/>
                <w:color w:val="202020"/>
                <w:sz w:val="19"/>
              </w:rPr>
              <w:t>User</w:t>
            </w:r>
          </w:p>
        </w:tc>
      </w:tr>
      <w:tr>
        <w:tc>
          <w:tcPr>
            <w:tcW w:type="dxa" w:w="2900"/>
          </w:tcPr>
          <w:p>
            <w:r>
              <w:rPr>
                <w:rFonts w:ascii="Consolas" w:hAnsi="Consolas"/>
                <w:color w:val="202020"/>
                <w:sz w:val="19"/>
              </w:rPr>
              <w:t>ITEM_URL_BASE</w:t>
            </w:r>
          </w:p>
        </w:tc>
        <w:tc>
          <w:tcPr>
            <w:tcW w:type="dxa" w:w="4060"/>
          </w:tcPr>
          <w:p>
            <w:r>
              <w:rPr>
                <w:color w:val="202020"/>
                <w:sz w:val="19"/>
              </w:rPr>
              <w:t>Base URL for result-card deep links</w:t>
            </w:r>
          </w:p>
        </w:tc>
        <w:tc>
          <w:tcPr>
            <w:tcW w:type="dxa" w:w="2400"/>
          </w:tcPr>
          <w:p>
            <w:r>
              <w:rPr>
                <w:color w:val="202020"/>
                <w:sz w:val="19"/>
              </w:rPr>
              <w:t>Point at the LIVE Salesforce org</w:t>
            </w:r>
          </w:p>
        </w:tc>
      </w:tr>
    </w:tbl>
    <w:p>
      <w:pPr>
        <w:spacing w:after="40"/>
      </w:pPr>
    </w:p>
    <w:p>
      <w:pPr>
        <w:pStyle w:val="Heading3"/>
      </w:pPr>
      <w:r>
        <w:rPr>
          <w:color w:val="2E5496"/>
        </w:rPr>
        <w:t>14.4 Microsoft Graph / Entra</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900"/>
        <w:gridCol w:w="4060"/>
        <w:gridCol w:w="2400"/>
      </w:tblGrid>
      <w:tr>
        <w:tc>
          <w:tcPr>
            <w:tcW w:type="dxa" w:w="2900"/>
            <w:shd w:val="clear" w:color="auto" w:fill="2E5496"/>
          </w:tcPr>
          <w:p>
            <w:r>
              <w:rPr>
                <w:b/>
                <w:color w:val="FFFFFF"/>
                <w:sz w:val="19"/>
              </w:rPr>
              <w:t>Variable</w:t>
            </w:r>
          </w:p>
        </w:tc>
        <w:tc>
          <w:tcPr>
            <w:tcW w:type="dxa" w:w="4060"/>
            <w:shd w:val="clear" w:color="auto" w:fill="2E5496"/>
          </w:tcPr>
          <w:p>
            <w:r>
              <w:rPr>
                <w:b/>
                <w:color w:val="FFFFFF"/>
                <w:sz w:val="19"/>
              </w:rPr>
              <w:t>What it does</w:t>
            </w:r>
          </w:p>
        </w:tc>
        <w:tc>
          <w:tcPr>
            <w:tcW w:type="dxa" w:w="2400"/>
            <w:shd w:val="clear" w:color="auto" w:fill="2E5496"/>
          </w:tcPr>
          <w:p>
            <w:r>
              <w:rPr>
                <w:b/>
                <w:color w:val="FFFFFF"/>
                <w:sz w:val="19"/>
              </w:rPr>
              <w:t>Default / notes</w:t>
            </w:r>
          </w:p>
        </w:tc>
      </w:tr>
      <w:tr>
        <w:tc>
          <w:tcPr>
            <w:tcW w:type="dxa" w:w="2900"/>
          </w:tcPr>
          <w:p>
            <w:r>
              <w:rPr>
                <w:rFonts w:ascii="Consolas" w:hAnsi="Consolas"/>
                <w:color w:val="202020"/>
                <w:sz w:val="19"/>
              </w:rPr>
              <w:t>AAD_APP_TENANT_ID</w:t>
            </w:r>
          </w:p>
        </w:tc>
        <w:tc>
          <w:tcPr>
            <w:tcW w:type="dxa" w:w="4060"/>
          </w:tcPr>
          <w:p>
            <w:r>
              <w:rPr>
                <w:color w:val="202020"/>
                <w:sz w:val="19"/>
              </w:rPr>
              <w:t>Entra tenant id</w:t>
            </w:r>
          </w:p>
        </w:tc>
        <w:tc>
          <w:tcPr>
            <w:tcW w:type="dxa" w:w="2400"/>
          </w:tcPr>
          <w:p>
            <w:r>
              <w:rPr>
                <w:color w:val="202020"/>
                <w:sz w:val="19"/>
              </w:rPr>
              <w:t>REQUIRED</w:t>
            </w:r>
          </w:p>
        </w:tc>
      </w:tr>
      <w:tr>
        <w:tc>
          <w:tcPr>
            <w:tcW w:type="dxa" w:w="2900"/>
            <w:shd w:val="clear" w:color="auto" w:fill="F7F9FC"/>
          </w:tcPr>
          <w:p>
            <w:r>
              <w:rPr>
                <w:rFonts w:ascii="Consolas" w:hAnsi="Consolas"/>
                <w:color w:val="202020"/>
                <w:sz w:val="19"/>
              </w:rPr>
              <w:t>AAD_APP_CLIENT_ID</w:t>
            </w:r>
          </w:p>
        </w:tc>
        <w:tc>
          <w:tcPr>
            <w:tcW w:type="dxa" w:w="4060"/>
            <w:shd w:val="clear" w:color="auto" w:fill="F7F9FC"/>
          </w:tcPr>
          <w:p>
            <w:r>
              <w:rPr>
                <w:color w:val="202020"/>
                <w:sz w:val="19"/>
              </w:rPr>
              <w:t>Entra application (client) id</w:t>
            </w:r>
          </w:p>
        </w:tc>
        <w:tc>
          <w:tcPr>
            <w:tcW w:type="dxa" w:w="2400"/>
            <w:shd w:val="clear" w:color="auto" w:fill="F7F9FC"/>
          </w:tcPr>
          <w:p>
            <w:r>
              <w:rPr>
                <w:color w:val="202020"/>
                <w:sz w:val="19"/>
              </w:rPr>
              <w:t>REQUIRED</w:t>
            </w:r>
          </w:p>
        </w:tc>
      </w:tr>
      <w:tr>
        <w:tc>
          <w:tcPr>
            <w:tcW w:type="dxa" w:w="2900"/>
          </w:tcPr>
          <w:p>
            <w:r>
              <w:rPr>
                <w:rFonts w:ascii="Consolas" w:hAnsi="Consolas"/>
                <w:color w:val="202020"/>
                <w:sz w:val="19"/>
              </w:rPr>
              <w:t>SECRET_AAD_APP_CLIENT_SECRET</w:t>
            </w:r>
          </w:p>
        </w:tc>
        <w:tc>
          <w:tcPr>
            <w:tcW w:type="dxa" w:w="4060"/>
          </w:tcPr>
          <w:p>
            <w:r>
              <w:rPr>
                <w:color w:val="202020"/>
                <w:sz w:val="19"/>
              </w:rPr>
              <w:t>App client secret</w:t>
            </w:r>
          </w:p>
        </w:tc>
        <w:tc>
          <w:tcPr>
            <w:tcW w:type="dxa" w:w="2400"/>
          </w:tcPr>
          <w:p>
            <w:r>
              <w:rPr>
                <w:color w:val="202020"/>
                <w:sz w:val="19"/>
              </w:rPr>
              <w:t>Secret; required unless a certificate is used</w:t>
            </w:r>
          </w:p>
        </w:tc>
      </w:tr>
      <w:tr>
        <w:tc>
          <w:tcPr>
            <w:tcW w:type="dxa" w:w="2900"/>
            <w:shd w:val="clear" w:color="auto" w:fill="F7F9FC"/>
          </w:tcPr>
          <w:p>
            <w:r>
              <w:rPr>
                <w:rFonts w:ascii="Consolas" w:hAnsi="Consolas"/>
                <w:color w:val="202020"/>
                <w:sz w:val="19"/>
              </w:rPr>
              <w:t>GRAPH_CLIENT_CERT_PATH</w:t>
            </w:r>
            <w:r>
              <w:rPr>
                <w:color w:val="202020"/>
                <w:sz w:val="19"/>
              </w:rPr>
              <w:t xml:space="preserve"> / </w:t>
            </w:r>
            <w:r>
              <w:rPr>
                <w:rFonts w:ascii="Consolas" w:hAnsi="Consolas"/>
                <w:color w:val="202020"/>
                <w:sz w:val="19"/>
              </w:rPr>
              <w:t>_THUMBPRINT</w:t>
            </w:r>
            <w:r>
              <w:rPr>
                <w:color w:val="202020"/>
                <w:sz w:val="19"/>
              </w:rPr>
              <w:t xml:space="preserve"> / </w:t>
            </w:r>
            <w:r>
              <w:rPr>
                <w:rFonts w:ascii="Consolas" w:hAnsi="Consolas"/>
                <w:color w:val="202020"/>
                <w:sz w:val="19"/>
              </w:rPr>
              <w:t>_PASSWORD</w:t>
            </w:r>
          </w:p>
        </w:tc>
        <w:tc>
          <w:tcPr>
            <w:tcW w:type="dxa" w:w="4060"/>
            <w:shd w:val="clear" w:color="auto" w:fill="F7F9FC"/>
          </w:tcPr>
          <w:p>
            <w:r>
              <w:rPr>
                <w:color w:val="202020"/>
                <w:sz w:val="19"/>
              </w:rPr>
              <w:t>Certificate credential (preferred)</w:t>
            </w:r>
          </w:p>
        </w:tc>
        <w:tc>
          <w:tcPr>
            <w:tcW w:type="dxa" w:w="2400"/>
            <w:shd w:val="clear" w:color="auto" w:fill="F7F9FC"/>
          </w:tcPr>
          <w:p>
            <w:r>
              <w:rPr>
                <w:color w:val="202020"/>
                <w:sz w:val="19"/>
              </w:rPr>
              <w:t>Certificate wins over secret when set</w:t>
            </w:r>
          </w:p>
        </w:tc>
      </w:tr>
      <w:tr>
        <w:tc>
          <w:tcPr>
            <w:tcW w:type="dxa" w:w="2900"/>
          </w:tcPr>
          <w:p>
            <w:r>
              <w:rPr>
                <w:rFonts w:ascii="Consolas" w:hAnsi="Consolas"/>
                <w:color w:val="202020"/>
                <w:sz w:val="19"/>
              </w:rPr>
              <w:t>GRAPH_BASE_URL</w:t>
            </w:r>
            <w:r>
              <w:rPr>
                <w:color w:val="202020"/>
                <w:sz w:val="19"/>
              </w:rPr>
              <w:t xml:space="preserve"> / </w:t>
            </w:r>
            <w:r>
              <w:rPr>
                <w:rFonts w:ascii="Consolas" w:hAnsi="Consolas"/>
                <w:color w:val="202020"/>
                <w:sz w:val="19"/>
              </w:rPr>
              <w:t>GRAPH_SCOPE</w:t>
            </w:r>
            <w:r>
              <w:rPr>
                <w:color w:val="202020"/>
                <w:sz w:val="19"/>
              </w:rPr>
              <w:t xml:space="preserve"> / </w:t>
            </w:r>
            <w:r>
              <w:rPr>
                <w:rFonts w:ascii="Consolas" w:hAnsi="Consolas"/>
                <w:color w:val="202020"/>
                <w:sz w:val="19"/>
              </w:rPr>
              <w:t>AAD_APP_OAUTH_AUTHORITY_HOST</w:t>
            </w:r>
          </w:p>
        </w:tc>
        <w:tc>
          <w:tcPr>
            <w:tcW w:type="dxa" w:w="4060"/>
          </w:tcPr>
          <w:p>
            <w:r>
              <w:rPr>
                <w:color w:val="202020"/>
                <w:sz w:val="19"/>
              </w:rPr>
              <w:t>Sovereign-cloud endpoints</w:t>
            </w:r>
          </w:p>
        </w:tc>
        <w:tc>
          <w:tcPr>
            <w:tcW w:type="dxa" w:w="2400"/>
          </w:tcPr>
          <w:p>
            <w:r>
              <w:rPr>
                <w:color w:val="202020"/>
                <w:sz w:val="19"/>
              </w:rPr>
              <w:t>Public-cloud defaults</w:t>
            </w:r>
          </w:p>
        </w:tc>
      </w:tr>
    </w:tbl>
    <w:p>
      <w:pPr>
        <w:spacing w:after="40"/>
      </w:pPr>
    </w:p>
    <w:p>
      <w:pPr>
        <w:pStyle w:val="Heading3"/>
      </w:pPr>
      <w:r>
        <w:rPr>
          <w:color w:val="2E5496"/>
        </w:rPr>
        <w:t>14.5 ACLs and identity</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900"/>
        <w:gridCol w:w="4060"/>
        <w:gridCol w:w="2400"/>
      </w:tblGrid>
      <w:tr>
        <w:tc>
          <w:tcPr>
            <w:tcW w:type="dxa" w:w="2900"/>
            <w:shd w:val="clear" w:color="auto" w:fill="2E5496"/>
          </w:tcPr>
          <w:p>
            <w:r>
              <w:rPr>
                <w:b/>
                <w:color w:val="FFFFFF"/>
                <w:sz w:val="19"/>
              </w:rPr>
              <w:t>Variable</w:t>
            </w:r>
          </w:p>
        </w:tc>
        <w:tc>
          <w:tcPr>
            <w:tcW w:type="dxa" w:w="4060"/>
            <w:shd w:val="clear" w:color="auto" w:fill="2E5496"/>
          </w:tcPr>
          <w:p>
            <w:r>
              <w:rPr>
                <w:b/>
                <w:color w:val="FFFFFF"/>
                <w:sz w:val="19"/>
              </w:rPr>
              <w:t>What it does</w:t>
            </w:r>
          </w:p>
        </w:tc>
        <w:tc>
          <w:tcPr>
            <w:tcW w:type="dxa" w:w="2400"/>
            <w:shd w:val="clear" w:color="auto" w:fill="2E5496"/>
          </w:tcPr>
          <w:p>
            <w:r>
              <w:rPr>
                <w:b/>
                <w:color w:val="FFFFFF"/>
                <w:sz w:val="19"/>
              </w:rPr>
              <w:t>Default / notes</w:t>
            </w:r>
          </w:p>
        </w:tc>
      </w:tr>
      <w:tr>
        <w:tc>
          <w:tcPr>
            <w:tcW w:type="dxa" w:w="2900"/>
          </w:tcPr>
          <w:p>
            <w:r>
              <w:rPr>
                <w:rFonts w:ascii="Consolas" w:hAnsi="Consolas"/>
                <w:color w:val="202020"/>
                <w:sz w:val="19"/>
              </w:rPr>
              <w:t>BDH_ADMIN_GROUP_ID</w:t>
            </w:r>
          </w:p>
        </w:tc>
        <w:tc>
          <w:tcPr>
            <w:tcW w:type="dxa" w:w="4060"/>
          </w:tcPr>
          <w:p>
            <w:r>
              <w:rPr>
                <w:color w:val="202020"/>
                <w:sz w:val="19"/>
              </w:rPr>
              <w:t>Entra group appended to every non-public ACL</w:t>
            </w:r>
          </w:p>
        </w:tc>
        <w:tc>
          <w:tcPr>
            <w:tcW w:type="dxa" w:w="2400"/>
          </w:tcPr>
          <w:p>
            <w:r>
              <w:rPr>
                <w:color w:val="202020"/>
                <w:sz w:val="19"/>
              </w:rPr>
              <w:t>Unset</w:t>
            </w:r>
          </w:p>
        </w:tc>
      </w:tr>
      <w:tr>
        <w:tc>
          <w:tcPr>
            <w:tcW w:type="dxa" w:w="2900"/>
            <w:shd w:val="clear" w:color="auto" w:fill="F7F9FC"/>
          </w:tcPr>
          <w:p>
            <w:r>
              <w:rPr>
                <w:rFonts w:ascii="Consolas" w:hAnsi="Consolas"/>
                <w:color w:val="202020"/>
                <w:sz w:val="19"/>
              </w:rPr>
              <w:t>FALLBACK_ACL_GROUP_ID</w:t>
            </w:r>
          </w:p>
        </w:tc>
        <w:tc>
          <w:tcPr>
            <w:tcW w:type="dxa" w:w="4060"/>
            <w:shd w:val="clear" w:color="auto" w:fill="F7F9FC"/>
          </w:tcPr>
          <w:p>
            <w:r>
              <w:rPr>
                <w:color w:val="202020"/>
                <w:sz w:val="19"/>
              </w:rPr>
              <w:t>Group granted only when nothing else resolved</w:t>
            </w:r>
          </w:p>
        </w:tc>
        <w:tc>
          <w:tcPr>
            <w:tcW w:type="dxa" w:w="2400"/>
            <w:shd w:val="clear" w:color="auto" w:fill="F7F9FC"/>
          </w:tcPr>
          <w:p>
            <w:r>
              <w:rPr>
                <w:color w:val="202020"/>
                <w:sz w:val="19"/>
              </w:rPr>
              <w:t>Unset — otherwise zero-principal records are skipped</w:t>
            </w:r>
          </w:p>
        </w:tc>
      </w:tr>
      <w:tr>
        <w:tc>
          <w:tcPr>
            <w:tcW w:type="dxa" w:w="2900"/>
          </w:tcPr>
          <w:p>
            <w:r>
              <w:rPr>
                <w:rFonts w:ascii="Consolas" w:hAnsi="Consolas"/>
                <w:color w:val="202020"/>
                <w:sz w:val="19"/>
              </w:rPr>
              <w:t>IDENTITY_SYNC_ON_INCREMENTAL</w:t>
            </w:r>
          </w:p>
        </w:tc>
        <w:tc>
          <w:tcPr>
            <w:tcW w:type="dxa" w:w="4060"/>
          </w:tcPr>
          <w:p>
            <w:r>
              <w:rPr>
                <w:color w:val="202020"/>
                <w:sz w:val="19"/>
              </w:rPr>
              <w:t>Re-sync the BDH→Entra entitlement mapping on incremental crawls too</w:t>
            </w:r>
          </w:p>
        </w:tc>
        <w:tc>
          <w:tcPr>
            <w:tcW w:type="dxa" w:w="2400"/>
          </w:tcPr>
          <w:p>
            <w:r>
              <w:rPr>
                <w:rFonts w:ascii="Consolas" w:hAnsi="Consolas"/>
                <w:color w:val="202020"/>
                <w:sz w:val="19"/>
              </w:rPr>
              <w:t>true</w:t>
            </w:r>
            <w:r>
              <w:rPr>
                <w:color w:val="202020"/>
                <w:sz w:val="19"/>
              </w:rPr>
              <w:t xml:space="preserve"> (default) — shrinks ACL staleness to the incremental cadence; set </w:t>
            </w:r>
            <w:r>
              <w:rPr>
                <w:rFonts w:ascii="Consolas" w:hAnsi="Consolas"/>
                <w:color w:val="202020"/>
                <w:sz w:val="19"/>
              </w:rPr>
              <w:t>false</w:t>
            </w:r>
            <w:r>
              <w:rPr>
                <w:color w:val="202020"/>
                <w:sz w:val="19"/>
              </w:rPr>
              <w:t xml:space="preserve"> for full-crawls-only. Residual lag: unchanged items keep their ACL until the next full crawl (</w:t>
            </w:r>
            <w:r>
              <w:rPr>
                <w:b/>
                <w:color w:val="202020"/>
                <w:sz w:val="19"/>
              </w:rPr>
              <w:t>Section 8.5</w:t>
            </w:r>
            <w:r>
              <w:rPr>
                <w:color w:val="202020"/>
                <w:sz w:val="19"/>
              </w:rPr>
              <w:t>)</w:t>
            </w:r>
          </w:p>
        </w:tc>
      </w:tr>
    </w:tbl>
    <w:p>
      <w:pPr>
        <w:spacing w:after="40"/>
      </w:pPr>
    </w:p>
    <w:p>
      <w:pPr>
        <w:pStyle w:val="Heading3"/>
      </w:pPr>
      <w:r>
        <w:rPr>
          <w:color w:val="2E5496"/>
        </w:rPr>
        <w:t>14.6 Throughput, state and high availability</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900"/>
        <w:gridCol w:w="4060"/>
        <w:gridCol w:w="2400"/>
      </w:tblGrid>
      <w:tr>
        <w:tc>
          <w:tcPr>
            <w:tcW w:type="dxa" w:w="2900"/>
            <w:shd w:val="clear" w:color="auto" w:fill="2E5496"/>
          </w:tcPr>
          <w:p>
            <w:r>
              <w:rPr>
                <w:b/>
                <w:color w:val="FFFFFF"/>
                <w:sz w:val="19"/>
              </w:rPr>
              <w:t>Variable</w:t>
            </w:r>
          </w:p>
        </w:tc>
        <w:tc>
          <w:tcPr>
            <w:tcW w:type="dxa" w:w="4060"/>
            <w:shd w:val="clear" w:color="auto" w:fill="2E5496"/>
          </w:tcPr>
          <w:p>
            <w:r>
              <w:rPr>
                <w:b/>
                <w:color w:val="FFFFFF"/>
                <w:sz w:val="19"/>
              </w:rPr>
              <w:t>What it does</w:t>
            </w:r>
          </w:p>
        </w:tc>
        <w:tc>
          <w:tcPr>
            <w:tcW w:type="dxa" w:w="2400"/>
            <w:shd w:val="clear" w:color="auto" w:fill="2E5496"/>
          </w:tcPr>
          <w:p>
            <w:r>
              <w:rPr>
                <w:b/>
                <w:color w:val="FFFFFF"/>
                <w:sz w:val="19"/>
              </w:rPr>
              <w:t>Default / notes</w:t>
            </w:r>
          </w:p>
        </w:tc>
      </w:tr>
      <w:tr>
        <w:tc>
          <w:tcPr>
            <w:tcW w:type="dxa" w:w="2900"/>
          </w:tcPr>
          <w:p>
            <w:r>
              <w:rPr>
                <w:rFonts w:ascii="Consolas" w:hAnsi="Consolas"/>
                <w:color w:val="202020"/>
                <w:sz w:val="19"/>
              </w:rPr>
              <w:t>INGEST_GRAPH_BATCH_SIZE</w:t>
            </w:r>
          </w:p>
        </w:tc>
        <w:tc>
          <w:tcPr>
            <w:tcW w:type="dxa" w:w="4060"/>
          </w:tcPr>
          <w:p>
            <w:r>
              <w:rPr>
                <w:color w:val="202020"/>
                <w:sz w:val="19"/>
              </w:rPr>
              <w:t xml:space="preserve">Requests per Graph </w:t>
            </w:r>
            <w:r>
              <w:rPr>
                <w:rFonts w:ascii="Consolas" w:hAnsi="Consolas"/>
                <w:color w:val="202020"/>
                <w:sz w:val="19"/>
              </w:rPr>
              <w:t>$batch</w:t>
            </w:r>
            <w:r>
              <w:rPr>
                <w:color w:val="202020"/>
                <w:sz w:val="19"/>
              </w:rPr>
              <w:t xml:space="preserve"> POST</w:t>
            </w:r>
          </w:p>
        </w:tc>
        <w:tc>
          <w:tcPr>
            <w:tcW w:type="dxa" w:w="2400"/>
          </w:tcPr>
          <w:p>
            <w:r>
              <w:rPr>
                <w:rFonts w:ascii="Consolas" w:hAnsi="Consolas"/>
                <w:color w:val="202020"/>
                <w:sz w:val="19"/>
              </w:rPr>
              <w:t>20</w:t>
            </w:r>
            <w:r>
              <w:rPr>
                <w:color w:val="202020"/>
                <w:sz w:val="19"/>
              </w:rPr>
              <w:t xml:space="preserve"> (API cap)</w:t>
            </w:r>
          </w:p>
        </w:tc>
      </w:tr>
      <w:tr>
        <w:tc>
          <w:tcPr>
            <w:tcW w:type="dxa" w:w="2900"/>
            <w:shd w:val="clear" w:color="auto" w:fill="F7F9FC"/>
          </w:tcPr>
          <w:p>
            <w:r>
              <w:rPr>
                <w:rFonts w:ascii="Consolas" w:hAnsi="Consolas"/>
                <w:color w:val="202020"/>
                <w:sz w:val="19"/>
              </w:rPr>
              <w:t>GRAPH_BATCH_WORKERS</w:t>
            </w:r>
          </w:p>
        </w:tc>
        <w:tc>
          <w:tcPr>
            <w:tcW w:type="dxa" w:w="4060"/>
            <w:shd w:val="clear" w:color="auto" w:fill="F7F9FC"/>
          </w:tcPr>
          <w:p>
            <w:r>
              <w:rPr>
                <w:color w:val="202020"/>
                <w:sz w:val="19"/>
              </w:rPr>
              <w:t>Concurrent batch workers (adaptive)</w:t>
            </w:r>
          </w:p>
        </w:tc>
        <w:tc>
          <w:tcPr>
            <w:tcW w:type="dxa" w:w="2400"/>
            <w:shd w:val="clear" w:color="auto" w:fill="F7F9FC"/>
          </w:tcPr>
          <w:p>
            <w:r>
              <w:rPr>
                <w:rFonts w:ascii="Consolas" w:hAnsi="Consolas"/>
                <w:color w:val="202020"/>
                <w:sz w:val="19"/>
              </w:rPr>
              <w:t>8</w:t>
            </w:r>
            <w:r>
              <w:rPr>
                <w:color w:val="202020"/>
                <w:sz w:val="19"/>
              </w:rPr>
              <w:t>; lower in HA / on 429 storms</w:t>
            </w:r>
          </w:p>
        </w:tc>
      </w:tr>
      <w:tr>
        <w:tc>
          <w:tcPr>
            <w:tcW w:type="dxa" w:w="2900"/>
          </w:tcPr>
          <w:p>
            <w:r>
              <w:rPr>
                <w:rFonts w:ascii="Consolas" w:hAnsi="Consolas"/>
                <w:color w:val="202020"/>
                <w:sz w:val="19"/>
              </w:rPr>
              <w:t>GRAPH_CONNECTION_SHARDS</w:t>
            </w:r>
          </w:p>
        </w:tc>
        <w:tc>
          <w:tcPr>
            <w:tcW w:type="dxa" w:w="4060"/>
          </w:tcPr>
          <w:p>
            <w:r>
              <w:rPr>
                <w:color w:val="202020"/>
                <w:sz w:val="19"/>
              </w:rPr>
              <w:t>Map object types across N Graph connections</w:t>
            </w:r>
          </w:p>
        </w:tc>
        <w:tc>
          <w:tcPr>
            <w:tcW w:type="dxa" w:w="2400"/>
          </w:tcPr>
          <w:p>
            <w:r>
              <w:rPr>
                <w:color w:val="202020"/>
                <w:sz w:val="19"/>
              </w:rPr>
              <w:t>Unset; the throughput lever at scale (</w:t>
            </w:r>
            <w:r>
              <w:rPr>
                <w:b/>
                <w:color w:val="202020"/>
                <w:sz w:val="19"/>
              </w:rPr>
              <w:t>Common Guide §6</w:t>
            </w:r>
            <w:r>
              <w:rPr>
                <w:color w:val="202020"/>
                <w:sz w:val="19"/>
              </w:rPr>
              <w:t>)</w:t>
            </w:r>
          </w:p>
        </w:tc>
      </w:tr>
      <w:tr>
        <w:tc>
          <w:tcPr>
            <w:tcW w:type="dxa" w:w="2900"/>
            <w:shd w:val="clear" w:color="auto" w:fill="F7F9FC"/>
          </w:tcPr>
          <w:p>
            <w:r>
              <w:rPr>
                <w:rFonts w:ascii="Consolas" w:hAnsi="Consolas"/>
                <w:color w:val="202020"/>
                <w:sz w:val="19"/>
              </w:rPr>
              <w:t>DELETION_SYNC</w:t>
            </w:r>
          </w:p>
        </w:tc>
        <w:tc>
          <w:tcPr>
            <w:tcW w:type="dxa" w:w="4060"/>
            <w:shd w:val="clear" w:color="auto" w:fill="F7F9FC"/>
          </w:tcPr>
          <w:p>
            <w:r>
              <w:rPr>
                <w:color w:val="202020"/>
                <w:sz w:val="19"/>
              </w:rPr>
              <w:t>Run the full-crawl existence sweep</w:t>
            </w:r>
          </w:p>
        </w:tc>
        <w:tc>
          <w:tcPr>
            <w:tcW w:type="dxa" w:w="2400"/>
            <w:shd w:val="clear" w:color="auto" w:fill="F7F9FC"/>
          </w:tcPr>
          <w:p>
            <w:r>
              <w:rPr>
                <w:rFonts w:ascii="Consolas" w:hAnsi="Consolas"/>
                <w:color w:val="202020"/>
                <w:sz w:val="19"/>
              </w:rPr>
              <w:t>true</w:t>
            </w:r>
          </w:p>
        </w:tc>
      </w:tr>
      <w:tr>
        <w:tc>
          <w:tcPr>
            <w:tcW w:type="dxa" w:w="2900"/>
          </w:tcPr>
          <w:p>
            <w:r>
              <w:rPr>
                <w:rFonts w:ascii="Consolas" w:hAnsi="Consolas"/>
                <w:color w:val="202020"/>
                <w:sz w:val="19"/>
              </w:rPr>
              <w:t>DELETION_SYNC_MAX_ITEMS</w:t>
            </w:r>
            <w:r>
              <w:rPr>
                <w:color w:val="202020"/>
                <w:sz w:val="19"/>
              </w:rPr>
              <w:t xml:space="preserve"> / </w:t>
            </w:r>
            <w:r>
              <w:rPr>
                <w:rFonts w:ascii="Consolas" w:hAnsi="Consolas"/>
                <w:color w:val="202020"/>
                <w:sz w:val="19"/>
              </w:rPr>
              <w:t>_MAX_PERCENT</w:t>
            </w:r>
          </w:p>
        </w:tc>
        <w:tc>
          <w:tcPr>
            <w:tcW w:type="dxa" w:w="4060"/>
          </w:tcPr>
          <w:p>
            <w:r>
              <w:rPr>
                <w:color w:val="202020"/>
                <w:sz w:val="19"/>
              </w:rPr>
              <w:t>Mass-deletion guards</w:t>
            </w:r>
          </w:p>
        </w:tc>
        <w:tc>
          <w:tcPr>
            <w:tcW w:type="dxa" w:w="2400"/>
          </w:tcPr>
          <w:p>
            <w:r>
              <w:rPr>
                <w:rFonts w:ascii="Consolas" w:hAnsi="Consolas"/>
                <w:color w:val="202020"/>
                <w:sz w:val="19"/>
              </w:rPr>
              <w:t>1000</w:t>
            </w:r>
            <w:r>
              <w:rPr>
                <w:color w:val="202020"/>
                <w:sz w:val="19"/>
              </w:rPr>
              <w:t xml:space="preserve"> / </w:t>
            </w:r>
            <w:r>
              <w:rPr>
                <w:rFonts w:ascii="Consolas" w:hAnsi="Consolas"/>
                <w:color w:val="202020"/>
                <w:sz w:val="19"/>
              </w:rPr>
              <w:t>25</w:t>
            </w:r>
          </w:p>
        </w:tc>
      </w:tr>
      <w:tr>
        <w:tc>
          <w:tcPr>
            <w:tcW w:type="dxa" w:w="2900"/>
            <w:shd w:val="clear" w:color="auto" w:fill="F7F9FC"/>
          </w:tcPr>
          <w:p>
            <w:r>
              <w:rPr>
                <w:rFonts w:ascii="Consolas" w:hAnsi="Consolas"/>
                <w:color w:val="202020"/>
                <w:sz w:val="19"/>
              </w:rPr>
              <w:t>USE_SQL_SERVER</w:t>
            </w:r>
            <w:r>
              <w:rPr>
                <w:color w:val="202020"/>
                <w:sz w:val="19"/>
              </w:rPr>
              <w:t xml:space="preserve"> / </w:t>
            </w:r>
            <w:r>
              <w:rPr>
                <w:rFonts w:ascii="Consolas" w:hAnsi="Consolas"/>
                <w:color w:val="202020"/>
                <w:sz w:val="19"/>
              </w:rPr>
              <w:t>SQL_CONNECTION_STRING</w:t>
            </w:r>
          </w:p>
        </w:tc>
        <w:tc>
          <w:tcPr>
            <w:tcW w:type="dxa" w:w="4060"/>
            <w:shd w:val="clear" w:color="auto" w:fill="F7F9FC"/>
          </w:tcPr>
          <w:p>
            <w:r>
              <w:rPr>
                <w:color w:val="202020"/>
                <w:sz w:val="19"/>
              </w:rPr>
              <w:t>Move state into SQL Server</w:t>
            </w:r>
          </w:p>
        </w:tc>
        <w:tc>
          <w:tcPr>
            <w:tcW w:type="dxa" w:w="2400"/>
            <w:shd w:val="clear" w:color="auto" w:fill="F7F9FC"/>
          </w:tcPr>
          <w:p>
            <w:r>
              <w:rPr>
                <w:color w:val="202020"/>
                <w:sz w:val="19"/>
              </w:rPr>
              <w:t>Off; required for HA</w:t>
            </w:r>
          </w:p>
        </w:tc>
      </w:tr>
      <w:tr>
        <w:tc>
          <w:tcPr>
            <w:tcW w:type="dxa" w:w="2900"/>
          </w:tcPr>
          <w:p>
            <w:r>
              <w:rPr>
                <w:rFonts w:ascii="Consolas" w:hAnsi="Consolas"/>
                <w:color w:val="202020"/>
                <w:sz w:val="19"/>
              </w:rPr>
              <w:t>HA_MODE</w:t>
            </w:r>
            <w:r>
              <w:rPr>
                <w:color w:val="202020"/>
                <w:sz w:val="19"/>
              </w:rPr>
              <w:t xml:space="preserve"> / </w:t>
            </w:r>
            <w:r>
              <w:rPr>
                <w:rFonts w:ascii="Consolas" w:hAnsi="Consolas"/>
                <w:color w:val="202020"/>
                <w:sz w:val="19"/>
              </w:rPr>
              <w:t>NODE_ID</w:t>
            </w:r>
          </w:p>
        </w:tc>
        <w:tc>
          <w:tcPr>
            <w:tcW w:type="dxa" w:w="4060"/>
          </w:tcPr>
          <w:p>
            <w:r>
              <w:rPr>
                <w:color w:val="202020"/>
                <w:sz w:val="19"/>
              </w:rPr>
              <w:t>Active-active multi-node crawling</w:t>
            </w:r>
          </w:p>
        </w:tc>
        <w:tc>
          <w:tcPr>
            <w:tcW w:type="dxa" w:w="2400"/>
          </w:tcPr>
          <w:p>
            <w:r>
              <w:rPr>
                <w:color w:val="202020"/>
                <w:sz w:val="19"/>
              </w:rPr>
              <w:t>Off; needs SQL backend</w:t>
            </w:r>
          </w:p>
        </w:tc>
      </w:tr>
    </w:tbl>
    <w:p>
      <w:pPr>
        <w:spacing w:after="40"/>
      </w:pPr>
    </w:p>
    <w:p>
      <w:pPr>
        <w:pStyle w:val="Heading3"/>
      </w:pPr>
      <w:r>
        <w:rPr>
          <w:color w:val="2E5496"/>
        </w:rPr>
        <w:t>14.7 Network, secrets and TLS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900"/>
        <w:gridCol w:w="4060"/>
        <w:gridCol w:w="2400"/>
      </w:tblGrid>
      <w:tr>
        <w:tc>
          <w:tcPr>
            <w:tcW w:type="dxa" w:w="2900"/>
            <w:shd w:val="clear" w:color="auto" w:fill="2E5496"/>
          </w:tcPr>
          <w:p>
            <w:r>
              <w:rPr>
                <w:b/>
                <w:color w:val="FFFFFF"/>
                <w:sz w:val="19"/>
              </w:rPr>
              <w:t>Variable</w:t>
            </w:r>
          </w:p>
        </w:tc>
        <w:tc>
          <w:tcPr>
            <w:tcW w:type="dxa" w:w="4060"/>
            <w:shd w:val="clear" w:color="auto" w:fill="2E5496"/>
          </w:tcPr>
          <w:p>
            <w:r>
              <w:rPr>
                <w:b/>
                <w:color w:val="FFFFFF"/>
                <w:sz w:val="19"/>
              </w:rPr>
              <w:t>What it does</w:t>
            </w:r>
          </w:p>
        </w:tc>
        <w:tc>
          <w:tcPr>
            <w:tcW w:type="dxa" w:w="2400"/>
            <w:shd w:val="clear" w:color="auto" w:fill="2E5496"/>
          </w:tcPr>
          <w:p>
            <w:r>
              <w:rPr>
                <w:b/>
                <w:color w:val="FFFFFF"/>
                <w:sz w:val="19"/>
              </w:rPr>
              <w:t>Default / notes</w:t>
            </w:r>
          </w:p>
        </w:tc>
      </w:tr>
      <w:tr>
        <w:tc>
          <w:tcPr>
            <w:tcW w:type="dxa" w:w="2900"/>
          </w:tcPr>
          <w:p>
            <w:r>
              <w:rPr>
                <w:rFonts w:ascii="Consolas" w:hAnsi="Consolas"/>
                <w:color w:val="202020"/>
                <w:sz w:val="19"/>
              </w:rPr>
              <w:t>PROXY_URL</w:t>
            </w:r>
            <w:r>
              <w:rPr>
                <w:color w:val="202020"/>
                <w:sz w:val="19"/>
              </w:rPr>
              <w:t xml:space="preserve"> / </w:t>
            </w:r>
            <w:r>
              <w:rPr>
                <w:rFonts w:ascii="Consolas" w:hAnsi="Consolas"/>
                <w:color w:val="202020"/>
                <w:sz w:val="19"/>
              </w:rPr>
              <w:t>PROXY_BYPASS</w:t>
            </w:r>
          </w:p>
        </w:tc>
        <w:tc>
          <w:tcPr>
            <w:tcW w:type="dxa" w:w="4060"/>
          </w:tcPr>
          <w:p>
            <w:r>
              <w:rPr>
                <w:color w:val="202020"/>
                <w:sz w:val="19"/>
              </w:rPr>
              <w:t>Corporate proxy + direct-connect list</w:t>
            </w:r>
          </w:p>
        </w:tc>
        <w:tc>
          <w:tcPr>
            <w:tcW w:type="dxa" w:w="2400"/>
          </w:tcPr>
          <w:p>
            <w:r>
              <w:rPr>
                <w:color w:val="202020"/>
                <w:sz w:val="19"/>
              </w:rPr>
              <w:t>Unset; typically Graph via proxy, WebHDFS bypassed</w:t>
            </w:r>
          </w:p>
        </w:tc>
      </w:tr>
      <w:tr>
        <w:tc>
          <w:tcPr>
            <w:tcW w:type="dxa" w:w="2900"/>
            <w:shd w:val="clear" w:color="auto" w:fill="F7F9FC"/>
          </w:tcPr>
          <w:p>
            <w:r>
              <w:rPr>
                <w:rFonts w:ascii="Consolas" w:hAnsi="Consolas"/>
                <w:color w:val="202020"/>
                <w:sz w:val="19"/>
              </w:rPr>
              <w:t>CA_BUNDLE_PATH</w:t>
            </w:r>
          </w:p>
        </w:tc>
        <w:tc>
          <w:tcPr>
            <w:tcW w:type="dxa" w:w="4060"/>
            <w:shd w:val="clear" w:color="auto" w:fill="F7F9FC"/>
          </w:tcPr>
          <w:p>
            <w:r>
              <w:rPr>
                <w:color w:val="202020"/>
                <w:sz w:val="19"/>
              </w:rPr>
              <w:t>Additive private-CA trust (PEM)</w:t>
            </w:r>
          </w:p>
        </w:tc>
        <w:tc>
          <w:tcPr>
            <w:tcW w:type="dxa" w:w="2400"/>
            <w:shd w:val="clear" w:color="auto" w:fill="F7F9FC"/>
          </w:tcPr>
          <w:p>
            <w:r>
              <w:rPr>
                <w:color w:val="202020"/>
                <w:sz w:val="19"/>
              </w:rPr>
              <w:t>Unset; needed for internal-TLS WebHDFS/Knox and TLS inspection</w:t>
            </w:r>
          </w:p>
        </w:tc>
      </w:tr>
      <w:tr>
        <w:tc>
          <w:tcPr>
            <w:tcW w:type="dxa" w:w="2900"/>
          </w:tcPr>
          <w:p>
            <w:r>
              <w:rPr>
                <w:rFonts w:ascii="Consolas" w:hAnsi="Consolas"/>
                <w:color w:val="202020"/>
                <w:sz w:val="19"/>
              </w:rPr>
              <w:t>USE_KEY_VAULT</w:t>
            </w:r>
            <w:r>
              <w:rPr>
                <w:color w:val="202020"/>
                <w:sz w:val="19"/>
              </w:rPr>
              <w:t xml:space="preserve"> / </w:t>
            </w:r>
            <w:r>
              <w:rPr>
                <w:rFonts w:ascii="Consolas" w:hAnsi="Consolas"/>
                <w:color w:val="202020"/>
                <w:sz w:val="19"/>
              </w:rPr>
              <w:t>KEY_VAULT_URI</w:t>
            </w:r>
          </w:p>
        </w:tc>
        <w:tc>
          <w:tcPr>
            <w:tcW w:type="dxa" w:w="4060"/>
          </w:tcPr>
          <w:p>
            <w:r>
              <w:rPr>
                <w:color w:val="202020"/>
                <w:sz w:val="19"/>
              </w:rPr>
              <w:t xml:space="preserve">Resolve </w:t>
            </w:r>
            <w:r>
              <w:rPr>
                <w:rFonts w:ascii="Consolas" w:hAnsi="Consolas"/>
                <w:color w:val="202020"/>
                <w:sz w:val="19"/>
              </w:rPr>
              <w:t>SECRET_*</w:t>
            </w:r>
            <w:r>
              <w:rPr>
                <w:color w:val="202020"/>
                <w:sz w:val="19"/>
              </w:rPr>
              <w:t xml:space="preserve"> from Key Vault</w:t>
            </w:r>
          </w:p>
        </w:tc>
        <w:tc>
          <w:tcPr>
            <w:tcW w:type="dxa" w:w="2400"/>
          </w:tcPr>
          <w:p>
            <w:r>
              <w:rPr>
                <w:color w:val="202020"/>
                <w:sz w:val="19"/>
              </w:rPr>
              <w:t>Off</w:t>
            </w:r>
          </w:p>
        </w:tc>
      </w:tr>
    </w:tbl>
    <w:p>
      <w:pPr>
        <w:spacing w:after="40"/>
      </w:pPr>
    </w:p>
    <w:p>
      <w:pPr>
        <w:pStyle w:val="Heading3"/>
      </w:pPr>
      <w:r>
        <w:rPr>
          <w:color w:val="2E5496"/>
        </w:rPr>
        <w:t>14.8 Observability and resilience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900"/>
        <w:gridCol w:w="4060"/>
        <w:gridCol w:w="2400"/>
      </w:tblGrid>
      <w:tr>
        <w:tc>
          <w:tcPr>
            <w:tcW w:type="dxa" w:w="2900"/>
            <w:shd w:val="clear" w:color="auto" w:fill="2E5496"/>
          </w:tcPr>
          <w:p>
            <w:r>
              <w:rPr>
                <w:b/>
                <w:color w:val="FFFFFF"/>
                <w:sz w:val="19"/>
              </w:rPr>
              <w:t>Variable</w:t>
            </w:r>
          </w:p>
        </w:tc>
        <w:tc>
          <w:tcPr>
            <w:tcW w:type="dxa" w:w="4060"/>
            <w:shd w:val="clear" w:color="auto" w:fill="2E5496"/>
          </w:tcPr>
          <w:p>
            <w:r>
              <w:rPr>
                <w:b/>
                <w:color w:val="FFFFFF"/>
                <w:sz w:val="19"/>
              </w:rPr>
              <w:t>What it does</w:t>
            </w:r>
          </w:p>
        </w:tc>
        <w:tc>
          <w:tcPr>
            <w:tcW w:type="dxa" w:w="2400"/>
            <w:shd w:val="clear" w:color="auto" w:fill="2E5496"/>
          </w:tcPr>
          <w:p>
            <w:r>
              <w:rPr>
                <w:b/>
                <w:color w:val="FFFFFF"/>
                <w:sz w:val="19"/>
              </w:rPr>
              <w:t>Default / notes</w:t>
            </w:r>
          </w:p>
        </w:tc>
      </w:tr>
      <w:tr>
        <w:tc>
          <w:tcPr>
            <w:tcW w:type="dxa" w:w="2900"/>
          </w:tcPr>
          <w:p>
            <w:r>
              <w:rPr>
                <w:rFonts w:ascii="Consolas" w:hAnsi="Consolas"/>
                <w:color w:val="202020"/>
                <w:sz w:val="19"/>
              </w:rPr>
              <w:t>HEALTH_PORT</w:t>
            </w:r>
          </w:p>
        </w:tc>
        <w:tc>
          <w:tcPr>
            <w:tcW w:type="dxa" w:w="4060"/>
          </w:tcPr>
          <w:p>
            <w:r>
              <w:rPr>
                <w:color w:val="202020"/>
                <w:sz w:val="19"/>
              </w:rPr>
              <w:t xml:space="preserve">Serve </w:t>
            </w:r>
            <w:r>
              <w:rPr>
                <w:rFonts w:ascii="Consolas" w:hAnsi="Consolas"/>
                <w:color w:val="202020"/>
                <w:sz w:val="19"/>
              </w:rPr>
              <w:t>/health</w:t>
            </w:r>
            <w:r>
              <w:rPr>
                <w:color w:val="202020"/>
                <w:sz w:val="19"/>
              </w:rPr>
              <w:t xml:space="preserve">, </w:t>
            </w:r>
            <w:r>
              <w:rPr>
                <w:rFonts w:ascii="Consolas" w:hAnsi="Consolas"/>
                <w:color w:val="202020"/>
                <w:sz w:val="19"/>
              </w:rPr>
              <w:t>/ready</w:t>
            </w:r>
            <w:r>
              <w:rPr>
                <w:color w:val="202020"/>
                <w:sz w:val="19"/>
              </w:rPr>
              <w:t xml:space="preserve">, </w:t>
            </w:r>
            <w:r>
              <w:rPr>
                <w:rFonts w:ascii="Consolas" w:hAnsi="Consolas"/>
                <w:color w:val="202020"/>
                <w:sz w:val="19"/>
              </w:rPr>
              <w:t>/metrics</w:t>
            </w:r>
          </w:p>
        </w:tc>
        <w:tc>
          <w:tcPr>
            <w:tcW w:type="dxa" w:w="2400"/>
          </w:tcPr>
          <w:p>
            <w:r>
              <w:rPr>
                <w:color w:val="202020"/>
                <w:sz w:val="19"/>
              </w:rPr>
              <w:t>Off; firewall it</w:t>
            </w:r>
          </w:p>
        </w:tc>
      </w:tr>
      <w:tr>
        <w:tc>
          <w:tcPr>
            <w:tcW w:type="dxa" w:w="2900"/>
            <w:shd w:val="clear" w:color="auto" w:fill="F7F9FC"/>
          </w:tcPr>
          <w:p>
            <w:r>
              <w:rPr>
                <w:rFonts w:ascii="Consolas" w:hAnsi="Consolas"/>
                <w:color w:val="202020"/>
                <w:sz w:val="19"/>
              </w:rPr>
              <w:t>LOG_FORMAT</w:t>
            </w:r>
            <w:r>
              <w:rPr>
                <w:color w:val="202020"/>
                <w:sz w:val="19"/>
              </w:rPr>
              <w:t xml:space="preserve"> / </w:t>
            </w:r>
            <w:r>
              <w:rPr>
                <w:rFonts w:ascii="Consolas" w:hAnsi="Consolas"/>
                <w:color w:val="202020"/>
                <w:sz w:val="19"/>
              </w:rPr>
              <w:t>LOG_LEVEL</w:t>
            </w:r>
          </w:p>
        </w:tc>
        <w:tc>
          <w:tcPr>
            <w:tcW w:type="dxa" w:w="4060"/>
            <w:shd w:val="clear" w:color="auto" w:fill="F7F9FC"/>
          </w:tcPr>
          <w:p>
            <w:r>
              <w:rPr>
                <w:color w:val="202020"/>
                <w:sz w:val="19"/>
              </w:rPr>
              <w:t>JSON logs / minimum level</w:t>
            </w:r>
          </w:p>
        </w:tc>
        <w:tc>
          <w:tcPr>
            <w:tcW w:type="dxa" w:w="2400"/>
            <w:shd w:val="clear" w:color="auto" w:fill="F7F9FC"/>
          </w:tcPr>
          <w:p>
            <w:r>
              <w:rPr>
                <w:rFonts w:ascii="Consolas" w:hAnsi="Consolas"/>
                <w:color w:val="202020"/>
                <w:sz w:val="19"/>
              </w:rPr>
              <w:t>text</w:t>
            </w:r>
            <w:r>
              <w:rPr>
                <w:color w:val="202020"/>
                <w:sz w:val="19"/>
              </w:rPr>
              <w:t xml:space="preserve"> / </w:t>
            </w:r>
            <w:r>
              <w:rPr>
                <w:rFonts w:ascii="Consolas" w:hAnsi="Consolas"/>
                <w:color w:val="202020"/>
                <w:sz w:val="19"/>
              </w:rPr>
              <w:t>DEBUG</w:t>
            </w:r>
          </w:p>
        </w:tc>
      </w:tr>
      <w:tr>
        <w:tc>
          <w:tcPr>
            <w:tcW w:type="dxa" w:w="2900"/>
          </w:tcPr>
          <w:p>
            <w:r>
              <w:rPr>
                <w:rFonts w:ascii="Consolas" w:hAnsi="Consolas"/>
                <w:color w:val="202020"/>
                <w:sz w:val="19"/>
              </w:rPr>
              <w:t>LOG_RETENTION_DAYS</w:t>
            </w:r>
          </w:p>
        </w:tc>
        <w:tc>
          <w:tcPr>
            <w:tcW w:type="dxa" w:w="4060"/>
          </w:tcPr>
          <w:p>
            <w:r>
              <w:rPr>
                <w:color w:val="202020"/>
                <w:sz w:val="19"/>
              </w:rPr>
              <w:t>Prune old run-log directories</w:t>
            </w:r>
          </w:p>
        </w:tc>
        <w:tc>
          <w:tcPr>
            <w:tcW w:type="dxa" w:w="2400"/>
          </w:tcPr>
          <w:p>
            <w:r>
              <w:rPr>
                <w:rFonts w:ascii="Consolas" w:hAnsi="Consolas"/>
                <w:color w:val="202020"/>
                <w:sz w:val="19"/>
              </w:rPr>
              <w:t>0</w:t>
            </w:r>
            <w:r>
              <w:rPr>
                <w:color w:val="202020"/>
                <w:sz w:val="19"/>
              </w:rPr>
              <w:t xml:space="preserve"> (off); state files never touched</w:t>
            </w:r>
          </w:p>
        </w:tc>
      </w:tr>
      <w:tr>
        <w:tc>
          <w:tcPr>
            <w:tcW w:type="dxa" w:w="2900"/>
            <w:shd w:val="clear" w:color="auto" w:fill="F7F9FC"/>
          </w:tcPr>
          <w:p>
            <w:r>
              <w:rPr>
                <w:rFonts w:ascii="Consolas" w:hAnsi="Consolas"/>
                <w:color w:val="202020"/>
                <w:sz w:val="19"/>
              </w:rPr>
              <w:t>ALERT_WEBHOOK_URL</w:t>
            </w:r>
            <w:r>
              <w:rPr>
                <w:color w:val="202020"/>
                <w:sz w:val="19"/>
              </w:rPr>
              <w:t xml:space="preserve"> / </w:t>
            </w:r>
            <w:r>
              <w:rPr>
                <w:rFonts w:ascii="Consolas" w:hAnsi="Consolas"/>
                <w:color w:val="202020"/>
                <w:sz w:val="19"/>
              </w:rPr>
              <w:t>ALERT_DEADLETTER_THRESHOLD</w:t>
            </w:r>
          </w:p>
        </w:tc>
        <w:tc>
          <w:tcPr>
            <w:tcW w:type="dxa" w:w="4060"/>
            <w:shd w:val="clear" w:color="auto" w:fill="F7F9FC"/>
          </w:tcPr>
          <w:p>
            <w:r>
              <w:rPr>
                <w:color w:val="202020"/>
                <w:sz w:val="19"/>
              </w:rPr>
              <w:t>Outbound alert feed + dead-letter depth alert</w:t>
            </w:r>
          </w:p>
        </w:tc>
        <w:tc>
          <w:tcPr>
            <w:tcW w:type="dxa" w:w="2400"/>
            <w:shd w:val="clear" w:color="auto" w:fill="F7F9FC"/>
          </w:tcPr>
          <w:p>
            <w:r>
              <w:rPr>
                <w:color w:val="202020"/>
                <w:sz w:val="19"/>
              </w:rPr>
              <w:t>Off</w:t>
            </w:r>
          </w:p>
        </w:tc>
      </w:tr>
      <w:tr>
        <w:tc>
          <w:tcPr>
            <w:tcW w:type="dxa" w:w="2900"/>
          </w:tcPr>
          <w:p>
            <w:r>
              <w:rPr>
                <w:rFonts w:ascii="Consolas" w:hAnsi="Consolas"/>
                <w:color w:val="202020"/>
                <w:sz w:val="19"/>
              </w:rPr>
              <w:t>EVENTLOG_ENABLED</w:t>
            </w:r>
          </w:p>
        </w:tc>
        <w:tc>
          <w:tcPr>
            <w:tcW w:type="dxa" w:w="4060"/>
          </w:tcPr>
          <w:p>
            <w:r>
              <w:rPr>
                <w:color w:val="202020"/>
                <w:sz w:val="19"/>
              </w:rPr>
              <w:t>Mirror warnings/errors to the Windows event log</w:t>
            </w:r>
          </w:p>
        </w:tc>
        <w:tc>
          <w:tcPr>
            <w:tcW w:type="dxa" w:w="2400"/>
          </w:tcPr>
          <w:p>
            <w:r>
              <w:rPr>
                <w:rFonts w:ascii="Consolas" w:hAnsi="Consolas"/>
                <w:color w:val="202020"/>
                <w:sz w:val="19"/>
              </w:rPr>
              <w:t>false</w:t>
            </w:r>
            <w:r>
              <w:rPr>
                <w:color w:val="202020"/>
                <w:sz w:val="19"/>
              </w:rPr>
              <w:t xml:space="preserve"> (enable in production)</w:t>
            </w:r>
          </w:p>
        </w:tc>
      </w:tr>
      <w:tr>
        <w:tc>
          <w:tcPr>
            <w:tcW w:type="dxa" w:w="2900"/>
            <w:shd w:val="clear" w:color="auto" w:fill="F7F9FC"/>
          </w:tcPr>
          <w:p>
            <w:r>
              <w:rPr>
                <w:rFonts w:ascii="Consolas" w:hAnsi="Consolas"/>
                <w:color w:val="202020"/>
                <w:sz w:val="19"/>
              </w:rPr>
              <w:t>OTEL_EXPORTER_OTLP_ENDPOINT</w:t>
            </w:r>
          </w:p>
        </w:tc>
        <w:tc>
          <w:tcPr>
            <w:tcW w:type="dxa" w:w="4060"/>
            <w:shd w:val="clear" w:color="auto" w:fill="F7F9FC"/>
          </w:tcPr>
          <w:p>
            <w:r>
              <w:rPr>
                <w:color w:val="202020"/>
                <w:sz w:val="19"/>
              </w:rPr>
              <w:t>Turn on OpenTelemetry tracing + correlation ids</w:t>
            </w:r>
          </w:p>
        </w:tc>
        <w:tc>
          <w:tcPr>
            <w:tcW w:type="dxa" w:w="2400"/>
            <w:shd w:val="clear" w:color="auto" w:fill="F7F9FC"/>
          </w:tcPr>
          <w:p>
            <w:r>
              <w:rPr>
                <w:color w:val="202020"/>
                <w:sz w:val="19"/>
              </w:rPr>
              <w:t>Unset = genuine no-op</w:t>
            </w:r>
          </w:p>
        </w:tc>
      </w:tr>
      <w:tr>
        <w:tc>
          <w:tcPr>
            <w:tcW w:type="dxa" w:w="2900"/>
          </w:tcPr>
          <w:p>
            <w:r>
              <w:rPr>
                <w:rFonts w:ascii="Consolas" w:hAnsi="Consolas"/>
                <w:color w:val="202020"/>
                <w:sz w:val="19"/>
              </w:rPr>
              <w:t>CIRCUIT_BREAKER</w:t>
            </w:r>
          </w:p>
        </w:tc>
        <w:tc>
          <w:tcPr>
            <w:tcW w:type="dxa" w:w="4060"/>
          </w:tcPr>
          <w:p>
            <w:r>
              <w:rPr>
                <w:color w:val="202020"/>
                <w:sz w:val="19"/>
              </w:rPr>
              <w:t>Fail fast on sustained outages + degraded mode</w:t>
            </w:r>
          </w:p>
        </w:tc>
        <w:tc>
          <w:tcPr>
            <w:tcW w:type="dxa" w:w="2400"/>
          </w:tcPr>
          <w:p>
            <w:r>
              <w:rPr>
                <w:rFonts w:ascii="Consolas" w:hAnsi="Consolas"/>
                <w:color w:val="202020"/>
                <w:sz w:val="19"/>
              </w:rPr>
              <w:t>true</w:t>
            </w:r>
            <w:r>
              <w:rPr>
                <w:color w:val="202020"/>
                <w:sz w:val="19"/>
              </w:rPr>
              <w:t>; inert on the happy path</w:t>
            </w:r>
          </w:p>
        </w:tc>
      </w:tr>
    </w:tbl>
    <w:p>
      <w:pPr>
        <w:spacing w:after="40"/>
      </w:pPr>
    </w:p>
    <w:p>
      <w:pPr>
        <w:pStyle w:val="Heading3"/>
      </w:pPr>
      <w:r>
        <w:rPr>
          <w:color w:val="2E5496"/>
        </w:rPr>
        <w:t>14.9 Data governance &amp; compliance controls</w:t>
      </w:r>
    </w:p>
    <w:p>
      <w:pPr>
        <w:spacing w:after="120"/>
      </w:pPr>
      <w:r>
        <w:rPr>
          <w:color w:val="202020"/>
        </w:rPr>
        <w:t>These controls protect the data the connector handles and make its access decisions auditable. The dead-letter default and the state-directory lock-down apply automatically as of this release; the rest are opt-in (except the decision ledger, which is ON by default here).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900"/>
        <w:gridCol w:w="4060"/>
        <w:gridCol w:w="2400"/>
      </w:tblGrid>
      <w:tr>
        <w:tc>
          <w:tcPr>
            <w:tcW w:type="dxa" w:w="2900"/>
            <w:shd w:val="clear" w:color="auto" w:fill="2E5496"/>
          </w:tcPr>
          <w:p>
            <w:r>
              <w:rPr>
                <w:b/>
                <w:color w:val="FFFFFF"/>
                <w:sz w:val="19"/>
              </w:rPr>
              <w:t>Variable</w:t>
            </w:r>
          </w:p>
        </w:tc>
        <w:tc>
          <w:tcPr>
            <w:tcW w:type="dxa" w:w="4060"/>
            <w:shd w:val="clear" w:color="auto" w:fill="2E5496"/>
          </w:tcPr>
          <w:p>
            <w:r>
              <w:rPr>
                <w:b/>
                <w:color w:val="FFFFFF"/>
                <w:sz w:val="19"/>
              </w:rPr>
              <w:t>What it does</w:t>
            </w:r>
          </w:p>
        </w:tc>
        <w:tc>
          <w:tcPr>
            <w:tcW w:type="dxa" w:w="2400"/>
            <w:shd w:val="clear" w:color="auto" w:fill="2E5496"/>
          </w:tcPr>
          <w:p>
            <w:r>
              <w:rPr>
                <w:b/>
                <w:color w:val="FFFFFF"/>
                <w:sz w:val="19"/>
              </w:rPr>
              <w:t>Default / notes</w:t>
            </w:r>
          </w:p>
        </w:tc>
      </w:tr>
      <w:tr>
        <w:tc>
          <w:tcPr>
            <w:tcW w:type="dxa" w:w="2900"/>
          </w:tcPr>
          <w:p>
            <w:r>
              <w:rPr>
                <w:rFonts w:ascii="Consolas" w:hAnsi="Consolas"/>
                <w:color w:val="202020"/>
                <w:sz w:val="19"/>
              </w:rPr>
              <w:t>DEADLETTER_PAYLOAD_MODE</w:t>
            </w:r>
          </w:p>
        </w:tc>
        <w:tc>
          <w:tcPr>
            <w:tcW w:type="dxa" w:w="4060"/>
          </w:tcPr>
          <w:p>
            <w:r>
              <w:rPr>
                <w:rFonts w:ascii="Consolas" w:hAnsi="Consolas"/>
                <w:color w:val="202020"/>
                <w:sz w:val="19"/>
              </w:rPr>
              <w:t>redacted</w:t>
            </w:r>
            <w:r>
              <w:rPr>
                <w:color w:val="202020"/>
                <w:sz w:val="19"/>
              </w:rPr>
              <w:t xml:space="preserve"> or </w:t>
            </w:r>
            <w:r>
              <w:rPr>
                <w:rFonts w:ascii="Consolas" w:hAnsi="Consolas"/>
                <w:color w:val="202020"/>
                <w:sz w:val="19"/>
              </w:rPr>
              <w:t>full</w:t>
            </w:r>
            <w:r>
              <w:rPr>
                <w:color w:val="202020"/>
                <w:sz w:val="19"/>
              </w:rPr>
              <w:t xml:space="preserve"> dead-letter payloads</w:t>
            </w:r>
          </w:p>
        </w:tc>
        <w:tc>
          <w:tcPr>
            <w:tcW w:type="dxa" w:w="2400"/>
          </w:tcPr>
          <w:p>
            <w:r>
              <w:rPr>
                <w:rFonts w:ascii="Consolas" w:hAnsi="Consolas"/>
                <w:color w:val="202020"/>
                <w:sz w:val="19"/>
              </w:rPr>
              <w:t>redacted</w:t>
            </w:r>
            <w:r>
              <w:rPr>
                <w:color w:val="202020"/>
                <w:sz w:val="19"/>
              </w:rPr>
              <w:t xml:space="preserve"> (default) — record values stripped pre-write; ids, object type, error, property names, sizes and SHA-256 hashes are kept, and </w:t>
            </w:r>
            <w:r>
              <w:rPr>
                <w:rFonts w:ascii="Consolas" w:hAnsi="Consolas"/>
                <w:color w:val="202020"/>
                <w:sz w:val="19"/>
              </w:rPr>
              <w:t>retry-failed</w:t>
            </w:r>
            <w:r>
              <w:rPr>
                <w:color w:val="202020"/>
                <w:sz w:val="19"/>
              </w:rPr>
              <w:t xml:space="preserve"> still re-fetches from BDH. </w:t>
            </w:r>
            <w:r>
              <w:rPr>
                <w:rFonts w:ascii="Consolas" w:hAnsi="Consolas"/>
                <w:color w:val="202020"/>
                <w:sz w:val="19"/>
              </w:rPr>
              <w:t>full</w:t>
            </w:r>
            <w:r>
              <w:rPr>
                <w:color w:val="202020"/>
                <w:sz w:val="19"/>
              </w:rPr>
              <w:t xml:space="preserve"> embeds the exact item body (opt-in; then protect the queue like the source). An UNRECOGNISED value fails fast at config load</w:t>
            </w:r>
          </w:p>
        </w:tc>
      </w:tr>
      <w:tr>
        <w:tc>
          <w:tcPr>
            <w:tcW w:type="dxa" w:w="2900"/>
            <w:shd w:val="clear" w:color="auto" w:fill="F7F9FC"/>
          </w:tcPr>
          <w:p>
            <w:r>
              <w:rPr>
                <w:rFonts w:ascii="Consolas" w:hAnsi="Consolas"/>
                <w:color w:val="202020"/>
                <w:sz w:val="19"/>
              </w:rPr>
              <w:t>CLASSIFICATION</w:t>
            </w:r>
          </w:p>
        </w:tc>
        <w:tc>
          <w:tcPr>
            <w:tcW w:type="dxa" w:w="4060"/>
            <w:shd w:val="clear" w:color="auto" w:fill="F7F9FC"/>
          </w:tcPr>
          <w:p>
            <w:r>
              <w:rPr>
                <w:color w:val="202020"/>
                <w:sz w:val="19"/>
              </w:rPr>
              <w:t xml:space="preserve">Stamp the advisory </w:t>
            </w:r>
            <w:r>
              <w:rPr>
                <w:rFonts w:ascii="Consolas" w:hAnsi="Consolas"/>
                <w:color w:val="202020"/>
                <w:sz w:val="19"/>
              </w:rPr>
              <w:t>SensitivityLabel</w:t>
            </w:r>
            <w:r>
              <w:rPr>
                <w:color w:val="202020"/>
                <w:sz w:val="19"/>
              </w:rPr>
              <w:t xml:space="preserve"> tag + </w:t>
            </w:r>
            <w:r>
              <w:rPr>
                <w:rFonts w:ascii="Consolas" w:hAnsi="Consolas"/>
                <w:color w:val="202020"/>
                <w:sz w:val="19"/>
              </w:rPr>
              <w:t>DetectedCategories</w:t>
            </w:r>
            <w:r>
              <w:rPr>
                <w:color w:val="202020"/>
                <w:sz w:val="19"/>
              </w:rPr>
              <w:t xml:space="preserve"> (content PII/PCI/Secret scan + per-object baseline)</w:t>
            </w:r>
          </w:p>
        </w:tc>
        <w:tc>
          <w:tcPr>
            <w:tcW w:type="dxa" w:w="2400"/>
            <w:shd w:val="clear" w:color="auto" w:fill="F7F9FC"/>
          </w:tcPr>
          <w:p>
            <w:r>
              <w:rPr>
                <w:rFonts w:ascii="Consolas" w:hAnsi="Consolas"/>
                <w:color w:val="202020"/>
                <w:sz w:val="19"/>
              </w:rPr>
              <w:t>false</w:t>
            </w:r>
            <w:r>
              <w:rPr>
                <w:color w:val="202020"/>
                <w:sz w:val="19"/>
              </w:rPr>
              <w:t>. An advisory, connector-applied classification TAG — NOT a Purview-enforced label (no encryption/DLP/access gating on its own)</w:t>
            </w:r>
          </w:p>
        </w:tc>
      </w:tr>
      <w:tr>
        <w:tc>
          <w:tcPr>
            <w:tcW w:type="dxa" w:w="2900"/>
          </w:tcPr>
          <w:p>
            <w:r>
              <w:rPr>
                <w:rFonts w:ascii="Consolas" w:hAnsi="Consolas"/>
                <w:color w:val="202020"/>
                <w:sz w:val="19"/>
              </w:rPr>
              <w:t>CLASSIFICATION_ENFORCE_ACL</w:t>
            </w:r>
          </w:p>
        </w:tc>
        <w:tc>
          <w:tcPr>
            <w:tcW w:type="dxa" w:w="4060"/>
          </w:tcPr>
          <w:p>
            <w:r>
              <w:rPr>
                <w:color w:val="202020"/>
                <w:sz w:val="19"/>
              </w:rPr>
              <w:t xml:space="preserve">Turn the advisory tag into a real access boundary: a </w:t>
            </w:r>
            <w:r>
              <w:rPr>
                <w:rFonts w:ascii="Consolas" w:hAnsi="Consolas"/>
                <w:color w:val="202020"/>
                <w:sz w:val="19"/>
              </w:rPr>
              <w:t>Restricted</w:t>
            </w:r>
            <w:r>
              <w:rPr>
                <w:color w:val="202020"/>
                <w:sz w:val="19"/>
              </w:rPr>
              <w:t xml:space="preserve"> item's ACL is replaced with a single grant to the restricted group</w:t>
            </w:r>
          </w:p>
        </w:tc>
        <w:tc>
          <w:tcPr>
            <w:tcW w:type="dxa" w:w="2400"/>
          </w:tcPr>
          <w:p>
            <w:r>
              <w:rPr>
                <w:rFonts w:ascii="Consolas" w:hAnsi="Consolas"/>
                <w:color w:val="202020"/>
                <w:sz w:val="19"/>
              </w:rPr>
              <w:t>false</w:t>
            </w:r>
            <w:r>
              <w:rPr>
                <w:color w:val="202020"/>
                <w:sz w:val="19"/>
              </w:rPr>
              <w:t xml:space="preserve"> (advisory only). When </w:t>
            </w:r>
            <w:r>
              <w:rPr>
                <w:rFonts w:ascii="Consolas" w:hAnsi="Consolas"/>
                <w:color w:val="202020"/>
                <w:sz w:val="19"/>
              </w:rPr>
              <w:t>true</w:t>
            </w:r>
            <w:r>
              <w:rPr>
                <w:color w:val="202020"/>
                <w:sz w:val="19"/>
              </w:rPr>
              <w:t xml:space="preserve"> the group id is REQUIRED or config load fails fast; each restriction is written to the decision ledger</w:t>
            </w:r>
          </w:p>
        </w:tc>
      </w:tr>
      <w:tr>
        <w:tc>
          <w:tcPr>
            <w:tcW w:type="dxa" w:w="2900"/>
            <w:shd w:val="clear" w:color="auto" w:fill="F7F9FC"/>
          </w:tcPr>
          <w:p>
            <w:r>
              <w:rPr>
                <w:rFonts w:ascii="Consolas" w:hAnsi="Consolas"/>
                <w:color w:val="202020"/>
                <w:sz w:val="19"/>
              </w:rPr>
              <w:t>CLASSIFICATION_RESTRICTED_GROUP_ID</w:t>
            </w:r>
          </w:p>
        </w:tc>
        <w:tc>
          <w:tcPr>
            <w:tcW w:type="dxa" w:w="4060"/>
            <w:shd w:val="clear" w:color="auto" w:fill="F7F9FC"/>
          </w:tcPr>
          <w:p>
            <w:r>
              <w:rPr>
                <w:color w:val="202020"/>
                <w:sz w:val="19"/>
              </w:rPr>
              <w:t xml:space="preserve">Entra group object id that </w:t>
            </w:r>
            <w:r>
              <w:rPr>
                <w:rFonts w:ascii="Consolas" w:hAnsi="Consolas"/>
                <w:color w:val="202020"/>
                <w:sz w:val="19"/>
              </w:rPr>
              <w:t>Restricted</w:t>
            </w:r>
            <w:r>
              <w:rPr>
                <w:color w:val="202020"/>
                <w:sz w:val="19"/>
              </w:rPr>
              <w:t xml:space="preserve"> items are locked to when enforcement is on</w:t>
            </w:r>
          </w:p>
        </w:tc>
        <w:tc>
          <w:tcPr>
            <w:tcW w:type="dxa" w:w="2400"/>
            <w:shd w:val="clear" w:color="auto" w:fill="F7F9FC"/>
          </w:tcPr>
          <w:p>
            <w:r>
              <w:rPr>
                <w:color w:val="202020"/>
                <w:sz w:val="19"/>
              </w:rPr>
              <w:t xml:space="preserve">Unset; required when </w:t>
            </w:r>
            <w:r>
              <w:rPr>
                <w:rFonts w:ascii="Consolas" w:hAnsi="Consolas"/>
                <w:color w:val="202020"/>
                <w:sz w:val="19"/>
              </w:rPr>
              <w:t>CLASSIFICATION_ENFORCE_ACL=true</w:t>
            </w:r>
          </w:p>
        </w:tc>
      </w:tr>
      <w:tr>
        <w:tc>
          <w:tcPr>
            <w:tcW w:type="dxa" w:w="2900"/>
          </w:tcPr>
          <w:p>
            <w:r>
              <w:rPr>
                <w:rFonts w:ascii="Consolas" w:hAnsi="Consolas"/>
                <w:color w:val="202020"/>
                <w:sz w:val="19"/>
              </w:rPr>
              <w:t>GRAPH_ITEM_TTL_DAYS</w:t>
            </w:r>
          </w:p>
        </w:tc>
        <w:tc>
          <w:tcPr>
            <w:tcW w:type="dxa" w:w="4060"/>
          </w:tcPr>
          <w:p>
            <w:r>
              <w:rPr>
                <w:color w:val="202020"/>
                <w:sz w:val="19"/>
              </w:rPr>
              <w:t xml:space="preserve">Stamp each item with </w:t>
            </w:r>
            <w:r>
              <w:rPr>
                <w:rFonts w:ascii="Consolas" w:hAnsi="Consolas"/>
                <w:color w:val="202020"/>
                <w:sz w:val="19"/>
              </w:rPr>
              <w:t>expirationDateTime</w:t>
            </w:r>
            <w:r>
              <w:rPr>
                <w:color w:val="202020"/>
                <w:sz w:val="19"/>
              </w:rPr>
              <w:t xml:space="preserve"> = now + TTL so the index self-expires if crawling stops</w:t>
            </w:r>
          </w:p>
        </w:tc>
        <w:tc>
          <w:tcPr>
            <w:tcW w:type="dxa" w:w="2400"/>
          </w:tcPr>
          <w:p>
            <w:r>
              <w:rPr>
                <w:rFonts w:ascii="Consolas" w:hAnsi="Consolas"/>
                <w:color w:val="202020"/>
                <w:sz w:val="19"/>
              </w:rPr>
              <w:t>0</w:t>
            </w:r>
            <w:r>
              <w:rPr>
                <w:color w:val="202020"/>
                <w:sz w:val="19"/>
              </w:rPr>
              <w:t xml:space="preserve"> = unset (items never expire; unchanged). Set comfortably above your full-crawl interval so healthy items are always re-stamped</w:t>
            </w:r>
          </w:p>
        </w:tc>
      </w:tr>
      <w:tr>
        <w:tc>
          <w:tcPr>
            <w:tcW w:type="dxa" w:w="2900"/>
            <w:shd w:val="clear" w:color="auto" w:fill="F7F9FC"/>
          </w:tcPr>
          <w:p>
            <w:r>
              <w:rPr>
                <w:rFonts w:ascii="Consolas" w:hAnsi="Consolas"/>
                <w:color w:val="202020"/>
                <w:sz w:val="19"/>
              </w:rPr>
              <w:t>DECISION_LEDGER</w:t>
            </w:r>
          </w:p>
        </w:tc>
        <w:tc>
          <w:tcPr>
            <w:tcW w:type="dxa" w:w="4060"/>
            <w:shd w:val="clear" w:color="auto" w:fill="F7F9FC"/>
          </w:tcPr>
          <w:p>
            <w:r>
              <w:rPr>
                <w:color w:val="202020"/>
                <w:sz w:val="19"/>
              </w:rPr>
              <w:t>Append-only, SHA-256 hash-chained audit of EXCLUSION and ACL_RESTRICTION decisions (</w:t>
            </w:r>
            <w:r>
              <w:rPr>
                <w:rFonts w:ascii="Consolas" w:hAnsi="Consolas"/>
                <w:color w:val="202020"/>
                <w:sz w:val="19"/>
              </w:rPr>
              <w:t>logs/decisions_&lt;CONNECTOR_ID&gt;.jsonl</w:t>
            </w:r>
            <w:r>
              <w:rPr>
                <w:color w:val="202020"/>
                <w:sz w:val="19"/>
              </w:rPr>
              <w:t>); a Verify step detects tamper/reorder/deletion</w:t>
            </w:r>
          </w:p>
        </w:tc>
        <w:tc>
          <w:tcPr>
            <w:tcW w:type="dxa" w:w="2400"/>
            <w:shd w:val="clear" w:color="auto" w:fill="F7F9FC"/>
          </w:tcPr>
          <w:p>
            <w:r>
              <w:rPr>
                <w:rFonts w:ascii="Consolas" w:hAnsi="Consolas"/>
                <w:color w:val="202020"/>
                <w:sz w:val="19"/>
              </w:rPr>
              <w:t>true</w:t>
            </w:r>
            <w:r>
              <w:rPr>
                <w:color w:val="202020"/>
                <w:sz w:val="19"/>
              </w:rPr>
              <w:t xml:space="preserve"> (ON by default for this connector). Ids and reasons only — never content or PII</w:t>
            </w:r>
          </w:p>
        </w:tc>
      </w:tr>
    </w:tbl>
    <w:p>
      <w:pPr>
        <w:spacing w:after="40"/>
      </w:pPr>
    </w:p>
    <w:p>
      <w:pPr>
        <w:pStyle w:val="Heading3"/>
      </w:pPr>
      <w:r>
        <w:rPr>
          <w:color w:val="2E5496"/>
        </w:rPr>
        <w:t>14.10 filters.json field reference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200"/>
        <w:gridCol w:w="4160"/>
        <w:gridCol w:w="3000"/>
      </w:tblGrid>
      <w:tr>
        <w:tc>
          <w:tcPr>
            <w:tcW w:type="dxa" w:w="2200"/>
            <w:shd w:val="clear" w:color="auto" w:fill="2E5496"/>
          </w:tcPr>
          <w:p>
            <w:r>
              <w:rPr>
                <w:b/>
                <w:color w:val="FFFFFF"/>
                <w:sz w:val="19"/>
              </w:rPr>
              <w:t>Field</w:t>
            </w:r>
          </w:p>
        </w:tc>
        <w:tc>
          <w:tcPr>
            <w:tcW w:type="dxa" w:w="4160"/>
            <w:shd w:val="clear" w:color="auto" w:fill="2E5496"/>
          </w:tcPr>
          <w:p>
            <w:r>
              <w:rPr>
                <w:b/>
                <w:color w:val="FFFFFF"/>
                <w:sz w:val="19"/>
              </w:rPr>
              <w:t>Meaning</w:t>
            </w:r>
          </w:p>
        </w:tc>
        <w:tc>
          <w:tcPr>
            <w:tcW w:type="dxa" w:w="3000"/>
            <w:shd w:val="clear" w:color="auto" w:fill="2E5496"/>
          </w:tcPr>
          <w:p>
            <w:r>
              <w:rPr>
                <w:b/>
                <w:color w:val="FFFFFF"/>
                <w:sz w:val="19"/>
              </w:rPr>
              <w:t>Notes</w:t>
            </w:r>
          </w:p>
        </w:tc>
      </w:tr>
      <w:tr>
        <w:tc>
          <w:tcPr>
            <w:tcW w:type="dxa" w:w="2200"/>
          </w:tcPr>
          <w:p>
            <w:r>
              <w:rPr>
                <w:rFonts w:ascii="Consolas" w:hAnsi="Consolas"/>
                <w:color w:val="202020"/>
                <w:sz w:val="19"/>
              </w:rPr>
              <w:t>objects</w:t>
            </w:r>
          </w:p>
        </w:tc>
        <w:tc>
          <w:tcPr>
            <w:tcW w:type="dxa" w:w="4160"/>
          </w:tcPr>
          <w:p>
            <w:r>
              <w:rPr>
                <w:color w:val="202020"/>
                <w:sz w:val="19"/>
              </w:rPr>
              <w:t>Map of object type → its filter definition</w:t>
            </w:r>
          </w:p>
        </w:tc>
        <w:tc>
          <w:tcPr>
            <w:tcW w:type="dxa" w:w="3000"/>
          </w:tcPr>
          <w:p>
            <w:r>
              <w:rPr>
                <w:color w:val="202020"/>
                <w:sz w:val="19"/>
              </w:rPr>
              <w:t xml:space="preserve">Object names matched case-insensitively to </w:t>
            </w:r>
            <w:r>
              <w:rPr>
                <w:rFonts w:ascii="Consolas" w:hAnsi="Consolas"/>
                <w:color w:val="202020"/>
                <w:sz w:val="19"/>
              </w:rPr>
              <w:t>schema.json</w:t>
            </w:r>
          </w:p>
        </w:tc>
      </w:tr>
      <w:tr>
        <w:tc>
          <w:tcPr>
            <w:tcW w:type="dxa" w:w="2200"/>
            <w:shd w:val="clear" w:color="auto" w:fill="F7F9FC"/>
          </w:tcPr>
          <w:p>
            <w:r>
              <w:rPr>
                <w:rFonts w:ascii="Consolas" w:hAnsi="Consolas"/>
                <w:color w:val="202020"/>
                <w:sz w:val="19"/>
              </w:rPr>
              <w:t>partition</w:t>
            </w:r>
          </w:p>
        </w:tc>
        <w:tc>
          <w:tcPr>
            <w:tcW w:type="dxa" w:w="4160"/>
            <w:shd w:val="clear" w:color="auto" w:fill="F7F9FC"/>
          </w:tcPr>
          <w:p>
            <w:r>
              <w:rPr>
                <w:color w:val="202020"/>
                <w:sz w:val="19"/>
              </w:rPr>
              <w:t>Array of predicates on Hive partition KEYS (</w:t>
            </w:r>
            <w:r>
              <w:rPr>
                <w:rFonts w:ascii="Consolas" w:hAnsi="Consolas"/>
                <w:color w:val="202020"/>
                <w:sz w:val="19"/>
              </w:rPr>
              <w:t>dt</w:t>
            </w:r>
            <w:r>
              <w:rPr>
                <w:color w:val="202020"/>
                <w:sz w:val="19"/>
              </w:rPr>
              <w:t xml:space="preserve">, </w:t>
            </w:r>
            <w:r>
              <w:rPr>
                <w:rFonts w:ascii="Consolas" w:hAnsi="Consolas"/>
                <w:color w:val="202020"/>
                <w:sz w:val="19"/>
              </w:rPr>
              <w:t>region</w:t>
            </w:r>
            <w:r>
              <w:rPr>
                <w:color w:val="202020"/>
                <w:sz w:val="19"/>
              </w:rPr>
              <w:t>, …)</w:t>
            </w:r>
          </w:p>
        </w:tc>
        <w:tc>
          <w:tcPr>
            <w:tcW w:type="dxa" w:w="3000"/>
            <w:shd w:val="clear" w:color="auto" w:fill="F7F9FC"/>
          </w:tcPr>
          <w:p>
            <w:r>
              <w:rPr>
                <w:color w:val="202020"/>
                <w:sz w:val="19"/>
              </w:rPr>
              <w:t>Evaluated on directory names; implicit AND; pruned with zero I/O</w:t>
            </w:r>
          </w:p>
        </w:tc>
      </w:tr>
      <w:tr>
        <w:tc>
          <w:tcPr>
            <w:tcW w:type="dxa" w:w="2200"/>
          </w:tcPr>
          <w:p>
            <w:r>
              <w:rPr>
                <w:rFonts w:ascii="Consolas" w:hAnsi="Consolas"/>
                <w:color w:val="202020"/>
                <w:sz w:val="19"/>
              </w:rPr>
              <w:t>anyOf</w:t>
            </w:r>
          </w:p>
        </w:tc>
        <w:tc>
          <w:tcPr>
            <w:tcW w:type="dxa" w:w="4160"/>
          </w:tcPr>
          <w:p>
            <w:r>
              <w:rPr>
                <w:color w:val="202020"/>
                <w:sz w:val="19"/>
              </w:rPr>
              <w:t xml:space="preserve">OR of </w:t>
            </w:r>
            <w:r>
              <w:rPr>
                <w:rFonts w:ascii="Consolas" w:hAnsi="Consolas"/>
                <w:color w:val="202020"/>
                <w:sz w:val="19"/>
              </w:rPr>
              <w:t>{ "allOf": [ … ] }</w:t>
            </w:r>
            <w:r>
              <w:rPr>
                <w:color w:val="202020"/>
                <w:sz w:val="19"/>
              </w:rPr>
              <w:t xml:space="preserve"> record-predicate groups</w:t>
            </w:r>
          </w:p>
        </w:tc>
        <w:tc>
          <w:tcPr>
            <w:tcW w:type="dxa" w:w="3000"/>
          </w:tcPr>
          <w:p>
            <w:r>
              <w:rPr>
                <w:color w:val="202020"/>
                <w:sz w:val="19"/>
              </w:rPr>
              <w:t>A row matches if any group fully matches</w:t>
            </w:r>
          </w:p>
        </w:tc>
      </w:tr>
      <w:tr>
        <w:tc>
          <w:tcPr>
            <w:tcW w:type="dxa" w:w="2200"/>
            <w:shd w:val="clear" w:color="auto" w:fill="F7F9FC"/>
          </w:tcPr>
          <w:p>
            <w:r>
              <w:rPr>
                <w:rFonts w:ascii="Consolas" w:hAnsi="Consolas"/>
                <w:color w:val="202020"/>
                <w:sz w:val="19"/>
              </w:rPr>
              <w:t>allOf</w:t>
            </w:r>
            <w:r>
              <w:rPr>
                <w:color w:val="202020"/>
                <w:sz w:val="19"/>
              </w:rPr>
              <w:t xml:space="preserve"> (top level)</w:t>
            </w:r>
          </w:p>
        </w:tc>
        <w:tc>
          <w:tcPr>
            <w:tcW w:type="dxa" w:w="4160"/>
            <w:shd w:val="clear" w:color="auto" w:fill="F7F9FC"/>
          </w:tcPr>
          <w:p>
            <w:r>
              <w:rPr>
                <w:color w:val="202020"/>
                <w:sz w:val="19"/>
              </w:rPr>
              <w:t>Shorthand for a single record-predicate group</w:t>
            </w:r>
          </w:p>
        </w:tc>
        <w:tc>
          <w:tcPr>
            <w:tcW w:type="dxa" w:w="3000"/>
            <w:shd w:val="clear" w:color="auto" w:fill="F7F9FC"/>
          </w:tcPr>
          <w:p>
            <w:r>
              <w:rPr>
                <w:color w:val="202020"/>
                <w:sz w:val="19"/>
              </w:rPr>
              <w:t xml:space="preserve">Cannot be combined with </w:t>
            </w:r>
            <w:r>
              <w:rPr>
                <w:rFonts w:ascii="Consolas" w:hAnsi="Consolas"/>
                <w:color w:val="202020"/>
                <w:sz w:val="19"/>
              </w:rPr>
              <w:t>anyOf</w:t>
            </w:r>
            <w:r>
              <w:rPr>
                <w:color w:val="202020"/>
                <w:sz w:val="19"/>
              </w:rPr>
              <w:t xml:space="preserve"> on the same object</w:t>
            </w:r>
          </w:p>
        </w:tc>
      </w:tr>
      <w:tr>
        <w:tc>
          <w:tcPr>
            <w:tcW w:type="dxa" w:w="2200"/>
          </w:tcPr>
          <w:p>
            <w:r>
              <w:rPr>
                <w:rFonts w:ascii="Consolas" w:hAnsi="Consolas"/>
                <w:color w:val="202020"/>
                <w:sz w:val="19"/>
              </w:rPr>
              <w:t>field</w:t>
            </w:r>
            <w:r>
              <w:rPr>
                <w:color w:val="202020"/>
                <w:sz w:val="19"/>
              </w:rPr>
              <w:t xml:space="preserve"> / </w:t>
            </w:r>
            <w:r>
              <w:rPr>
                <w:rFonts w:ascii="Consolas" w:hAnsi="Consolas"/>
                <w:color w:val="202020"/>
                <w:sz w:val="19"/>
              </w:rPr>
              <w:t>key</w:t>
            </w:r>
          </w:p>
        </w:tc>
        <w:tc>
          <w:tcPr>
            <w:tcW w:type="dxa" w:w="4160"/>
          </w:tcPr>
          <w:p>
            <w:r>
              <w:rPr>
                <w:color w:val="202020"/>
                <w:sz w:val="19"/>
              </w:rPr>
              <w:t>Record field (</w:t>
            </w:r>
            <w:r>
              <w:rPr>
                <w:rFonts w:ascii="Consolas" w:hAnsi="Consolas"/>
                <w:color w:val="202020"/>
                <w:sz w:val="19"/>
              </w:rPr>
              <w:t>field</w:t>
            </w:r>
            <w:r>
              <w:rPr>
                <w:color w:val="202020"/>
                <w:sz w:val="19"/>
              </w:rPr>
              <w:t>) or partition key (</w:t>
            </w:r>
            <w:r>
              <w:rPr>
                <w:rFonts w:ascii="Consolas" w:hAnsi="Consolas"/>
                <w:color w:val="202020"/>
                <w:sz w:val="19"/>
              </w:rPr>
              <w:t>key</w:t>
            </w:r>
            <w:r>
              <w:rPr>
                <w:color w:val="202020"/>
                <w:sz w:val="19"/>
              </w:rPr>
              <w:t>)</w:t>
            </w:r>
          </w:p>
        </w:tc>
        <w:tc>
          <w:tcPr>
            <w:tcW w:type="dxa" w:w="3000"/>
          </w:tcPr>
          <w:p>
            <w:r>
              <w:rPr>
                <w:color w:val="202020"/>
                <w:sz w:val="19"/>
              </w:rPr>
              <w:t>Case-insensitive lookup</w:t>
            </w:r>
          </w:p>
        </w:tc>
      </w:tr>
      <w:tr>
        <w:tc>
          <w:tcPr>
            <w:tcW w:type="dxa" w:w="2200"/>
            <w:shd w:val="clear" w:color="auto" w:fill="F7F9FC"/>
          </w:tcPr>
          <w:p>
            <w:r>
              <w:rPr>
                <w:rFonts w:ascii="Consolas" w:hAnsi="Consolas"/>
                <w:color w:val="202020"/>
                <w:sz w:val="19"/>
              </w:rPr>
              <w:t>op</w:t>
            </w:r>
          </w:p>
        </w:tc>
        <w:tc>
          <w:tcPr>
            <w:tcW w:type="dxa" w:w="4160"/>
            <w:shd w:val="clear" w:color="auto" w:fill="F7F9FC"/>
          </w:tcPr>
          <w:p>
            <w:r>
              <w:rPr>
                <w:color w:val="202020"/>
                <w:sz w:val="19"/>
              </w:rPr>
              <w:t>One of the 14 operators (</w:t>
            </w:r>
            <w:r>
              <w:rPr>
                <w:b/>
                <w:color w:val="202020"/>
                <w:sz w:val="19"/>
              </w:rPr>
              <w:t>Section 6.3</w:t>
            </w:r>
            <w:r>
              <w:rPr>
                <w:color w:val="202020"/>
                <w:sz w:val="19"/>
              </w:rPr>
              <w:t>)</w:t>
            </w:r>
          </w:p>
        </w:tc>
        <w:tc>
          <w:tcPr>
            <w:tcW w:type="dxa" w:w="3000"/>
            <w:shd w:val="clear" w:color="auto" w:fill="F7F9FC"/>
          </w:tcPr>
          <w:p>
            <w:r>
              <w:rPr>
                <w:color w:val="202020"/>
                <w:sz w:val="19"/>
              </w:rPr>
              <w:t>An unknown operator is a startup error</w:t>
            </w:r>
          </w:p>
        </w:tc>
      </w:tr>
      <w:tr>
        <w:tc>
          <w:tcPr>
            <w:tcW w:type="dxa" w:w="2200"/>
          </w:tcPr>
          <w:p>
            <w:r>
              <w:rPr>
                <w:rFonts w:ascii="Consolas" w:hAnsi="Consolas"/>
                <w:color w:val="202020"/>
                <w:sz w:val="19"/>
              </w:rPr>
              <w:t>value</w:t>
            </w:r>
            <w:r>
              <w:rPr>
                <w:color w:val="202020"/>
                <w:sz w:val="19"/>
              </w:rPr>
              <w:t xml:space="preserve"> / </w:t>
            </w:r>
            <w:r>
              <w:rPr>
                <w:rFonts w:ascii="Consolas" w:hAnsi="Consolas"/>
                <w:color w:val="202020"/>
                <w:sz w:val="19"/>
              </w:rPr>
              <w:t>values</w:t>
            </w:r>
          </w:p>
        </w:tc>
        <w:tc>
          <w:tcPr>
            <w:tcW w:type="dxa" w:w="4160"/>
          </w:tcPr>
          <w:p>
            <w:r>
              <w:rPr>
                <w:color w:val="202020"/>
                <w:sz w:val="19"/>
              </w:rPr>
              <w:t>Scalar operand / list operand</w:t>
            </w:r>
          </w:p>
        </w:tc>
        <w:tc>
          <w:tcPr>
            <w:tcW w:type="dxa" w:w="3000"/>
          </w:tcPr>
          <w:p>
            <w:r>
              <w:rPr>
                <w:color w:val="202020"/>
                <w:sz w:val="19"/>
              </w:rPr>
              <w:t xml:space="preserve">Always JSON strings, e.g. </w:t>
            </w:r>
            <w:r>
              <w:rPr>
                <w:rFonts w:ascii="Consolas" w:hAnsi="Consolas"/>
                <w:color w:val="202020"/>
                <w:sz w:val="19"/>
              </w:rPr>
              <w:t>"100000"</w:t>
            </w:r>
          </w:p>
        </w:tc>
      </w:tr>
      <w:tr>
        <w:tc>
          <w:tcPr>
            <w:tcW w:type="dxa" w:w="2200"/>
            <w:shd w:val="clear" w:color="auto" w:fill="F7F9FC"/>
          </w:tcPr>
          <w:p>
            <w:r>
              <w:rPr>
                <w:rFonts w:ascii="Consolas" w:hAnsi="Consolas"/>
                <w:color w:val="202020"/>
                <w:sz w:val="19"/>
              </w:rPr>
              <w:t>notes</w:t>
            </w:r>
          </w:p>
        </w:tc>
        <w:tc>
          <w:tcPr>
            <w:tcW w:type="dxa" w:w="4160"/>
            <w:shd w:val="clear" w:color="auto" w:fill="F7F9FC"/>
          </w:tcPr>
          <w:p>
            <w:r>
              <w:rPr>
                <w:color w:val="202020"/>
                <w:sz w:val="19"/>
              </w:rPr>
              <w:t>Free-text documentation</w:t>
            </w:r>
          </w:p>
        </w:tc>
        <w:tc>
          <w:tcPr>
            <w:tcW w:type="dxa" w:w="3000"/>
            <w:shd w:val="clear" w:color="auto" w:fill="F7F9FC"/>
          </w:tcPr>
          <w:p>
            <w:r>
              <w:rPr>
                <w:color w:val="202020"/>
                <w:sz w:val="19"/>
              </w:rPr>
              <w:t>Ignored by the loader</w:t>
            </w:r>
          </w:p>
        </w:tc>
      </w:tr>
      <w:tr>
        <w:tc>
          <w:tcPr>
            <w:tcW w:type="dxa" w:w="2200"/>
          </w:tcPr>
          <w:p>
            <w:r>
              <w:rPr>
                <w:rFonts w:ascii="Consolas" w:hAnsi="Consolas"/>
                <w:color w:val="202020"/>
                <w:sz w:val="19"/>
              </w:rPr>
              <w:t>fullScanAllowed</w:t>
            </w:r>
          </w:p>
        </w:tc>
        <w:tc>
          <w:tcPr>
            <w:tcW w:type="dxa" w:w="4160"/>
          </w:tcPr>
          <w:p>
            <w:r>
              <w:rPr>
                <w:color w:val="202020"/>
                <w:sz w:val="19"/>
              </w:rPr>
              <w:t>Array of object names exempt from the guard</w:t>
            </w:r>
          </w:p>
        </w:tc>
        <w:tc>
          <w:tcPr>
            <w:tcW w:type="dxa" w:w="3000"/>
          </w:tcPr>
          <w:p>
            <w:r>
              <w:rPr>
                <w:color w:val="202020"/>
                <w:sz w:val="19"/>
              </w:rPr>
              <w:t xml:space="preserve">Reviewable and versioned; prefer over </w:t>
            </w:r>
            <w:r>
              <w:rPr>
                <w:rFonts w:ascii="Consolas" w:hAnsi="Consolas"/>
                <w:color w:val="202020"/>
                <w:sz w:val="19"/>
              </w:rPr>
              <w:t>ALLOW_FULL_SCAN</w:t>
            </w:r>
          </w:p>
        </w:tc>
      </w:tr>
    </w:tbl>
    <w:p>
      <w:pPr>
        <w:spacing w:after="40"/>
      </w:pPr>
    </w:p>
    <w:p>
      <w:pPr>
        <w:pStyle w:val="Heading3"/>
      </w:pPr>
      <w:r>
        <w:rPr>
          <w:color w:val="2E5496"/>
        </w:rPr>
        <w:t>14.11 The four validated config files — and what a green preflight promises</w:t>
      </w:r>
    </w:p>
    <w:p>
      <w:pPr>
        <w:spacing w:after="120"/>
      </w:pPr>
      <w:r>
        <w:rPr>
          <w:color w:val="202020"/>
        </w:rPr>
        <w:t xml:space="preserve">The connector reads exactly four configuration files, and as of this release </w:t>
      </w:r>
      <w:r>
        <w:rPr>
          <w:rFonts w:ascii="Consolas" w:hAnsi="Consolas"/>
          <w:color w:val="202020"/>
          <w:sz w:val="19"/>
        </w:rPr>
        <w:t>validate-config</w:t>
      </w:r>
      <w:r>
        <w:rPr>
          <w:color w:val="202020"/>
        </w:rPr>
        <w:t xml:space="preserve"> validates </w:t>
      </w:r>
      <w:r>
        <w:rPr>
          <w:b/>
          <w:color w:val="202020"/>
        </w:rPr>
        <w:t>every one of them</w:t>
      </w:r>
      <w:r>
        <w:rPr>
          <w:color w:val="202020"/>
        </w:rPr>
        <w:t>, each with the same loader the crawl itself uses: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500"/>
        <w:gridCol w:w="4060"/>
        <w:gridCol w:w="2800"/>
      </w:tblGrid>
      <w:tr>
        <w:tc>
          <w:tcPr>
            <w:tcW w:type="dxa" w:w="2500"/>
            <w:shd w:val="clear" w:color="auto" w:fill="2E5496"/>
          </w:tcPr>
          <w:p>
            <w:r>
              <w:rPr>
                <w:b/>
                <w:color w:val="FFFFFF"/>
                <w:sz w:val="19"/>
              </w:rPr>
              <w:t>File</w:t>
            </w:r>
          </w:p>
        </w:tc>
        <w:tc>
          <w:tcPr>
            <w:tcW w:type="dxa" w:w="4060"/>
            <w:shd w:val="clear" w:color="auto" w:fill="2E5496"/>
          </w:tcPr>
          <w:p>
            <w:r>
              <w:rPr>
                <w:b/>
                <w:color w:val="FFFFFF"/>
                <w:sz w:val="19"/>
              </w:rPr>
              <w:t>What it configures</w:t>
            </w:r>
          </w:p>
        </w:tc>
        <w:tc>
          <w:tcPr>
            <w:tcW w:type="dxa" w:w="2800"/>
            <w:shd w:val="clear" w:color="auto" w:fill="2E5496"/>
          </w:tcPr>
          <w:p>
            <w:r>
              <w:rPr>
                <w:b/>
                <w:color w:val="FFFFFF"/>
                <w:sz w:val="19"/>
              </w:rPr>
              <w:t>Validated</w:t>
            </w:r>
          </w:p>
        </w:tc>
      </w:tr>
      <w:tr>
        <w:tc>
          <w:tcPr>
            <w:tcW w:type="dxa" w:w="2500"/>
          </w:tcPr>
          <w:p>
            <w:r>
              <w:rPr>
                <w:rFonts w:ascii="Consolas" w:hAnsi="Consolas"/>
                <w:color w:val="202020"/>
                <w:sz w:val="19"/>
              </w:rPr>
              <w:t>config/schema.json</w:t>
            </w:r>
          </w:p>
        </w:tc>
        <w:tc>
          <w:tcPr>
            <w:tcW w:type="dxa" w:w="4060"/>
          </w:tcPr>
          <w:p>
            <w:r>
              <w:rPr>
                <w:color w:val="202020"/>
                <w:sz w:val="19"/>
              </w:rPr>
              <w:t>Objects crawled, BDH column → Graph property mapping, ACL mode per object, column policies, coarse-ACL sign-off</w:t>
            </w:r>
          </w:p>
        </w:tc>
        <w:tc>
          <w:tcPr>
            <w:tcW w:type="dxa" w:w="2800"/>
          </w:tcPr>
          <w:p>
            <w:r>
              <w:rPr>
                <w:color w:val="202020"/>
                <w:sz w:val="19"/>
              </w:rPr>
              <w:t>Always</w:t>
            </w:r>
          </w:p>
        </w:tc>
      </w:tr>
      <w:tr>
        <w:tc>
          <w:tcPr>
            <w:tcW w:type="dxa" w:w="2500"/>
            <w:shd w:val="clear" w:color="auto" w:fill="F7F9FC"/>
          </w:tcPr>
          <w:p>
            <w:r>
              <w:rPr>
                <w:rFonts w:ascii="Consolas" w:hAnsi="Consolas"/>
                <w:color w:val="202020"/>
                <w:sz w:val="19"/>
              </w:rPr>
              <w:t>config/filters.json</w:t>
            </w:r>
          </w:p>
        </w:tc>
        <w:tc>
          <w:tcPr>
            <w:tcW w:type="dxa" w:w="4060"/>
            <w:shd w:val="clear" w:color="auto" w:fill="F7F9FC"/>
          </w:tcPr>
          <w:p>
            <w:r>
              <w:rPr>
                <w:color w:val="202020"/>
                <w:sz w:val="19"/>
              </w:rPr>
              <w:t>The scale control: partition + record filters (</w:t>
            </w:r>
            <w:r>
              <w:rPr>
                <w:b/>
                <w:color w:val="202020"/>
                <w:sz w:val="19"/>
              </w:rPr>
              <w:t>Section 6</w:t>
            </w:r>
            <w:r>
              <w:rPr>
                <w:color w:val="202020"/>
                <w:sz w:val="19"/>
              </w:rPr>
              <w:t>)</w:t>
            </w:r>
          </w:p>
        </w:tc>
        <w:tc>
          <w:tcPr>
            <w:tcW w:type="dxa" w:w="2800"/>
            <w:shd w:val="clear" w:color="auto" w:fill="F7F9FC"/>
          </w:tcPr>
          <w:p>
            <w:r>
              <w:rPr>
                <w:color w:val="202020"/>
                <w:sz w:val="19"/>
              </w:rPr>
              <w:t>Always; a missing file is a warning — every object then trips the fail-closed guard</w:t>
            </w:r>
          </w:p>
        </w:tc>
      </w:tr>
      <w:tr>
        <w:tc>
          <w:tcPr>
            <w:tcW w:type="dxa" w:w="2500"/>
          </w:tcPr>
          <w:p>
            <w:r>
              <w:rPr>
                <w:rFonts w:ascii="Consolas" w:hAnsi="Consolas"/>
                <w:color w:val="202020"/>
                <w:sz w:val="19"/>
              </w:rPr>
              <w:t>config/graph-schema.json</w:t>
            </w:r>
          </w:p>
        </w:tc>
        <w:tc>
          <w:tcPr>
            <w:tcW w:type="dxa" w:w="4060"/>
          </w:tcPr>
          <w:p>
            <w:r>
              <w:rPr>
                <w:color w:val="202020"/>
                <w:sz w:val="19"/>
              </w:rPr>
              <w:t xml:space="preserve">The Graph property declarations registered at </w:t>
            </w:r>
            <w:r>
              <w:rPr>
                <w:rFonts w:ascii="Consolas" w:hAnsi="Consolas"/>
                <w:color w:val="202020"/>
                <w:sz w:val="19"/>
              </w:rPr>
              <w:t>setup-connection</w:t>
            </w:r>
          </w:p>
        </w:tc>
        <w:tc>
          <w:tcPr>
            <w:tcW w:type="dxa" w:w="2800"/>
          </w:tcPr>
          <w:p>
            <w:r>
              <w:rPr>
                <w:color w:val="202020"/>
                <w:sz w:val="19"/>
              </w:rPr>
              <w:t>Always — including the produced-vs-declared cross-check (</w:t>
            </w:r>
            <w:r>
              <w:rPr>
                <w:b/>
                <w:color w:val="202020"/>
                <w:sz w:val="19"/>
              </w:rPr>
              <w:t>Section 14.12</w:t>
            </w:r>
            <w:r>
              <w:rPr>
                <w:color w:val="202020"/>
                <w:sz w:val="19"/>
              </w:rPr>
              <w:t>)</w:t>
            </w:r>
          </w:p>
        </w:tc>
      </w:tr>
      <w:tr>
        <w:tc>
          <w:tcPr>
            <w:tcW w:type="dxa" w:w="2500"/>
            <w:shd w:val="clear" w:color="auto" w:fill="F7F9FC"/>
          </w:tcPr>
          <w:p>
            <w:r>
              <w:rPr>
                <w:rFonts w:ascii="Consolas" w:hAnsi="Consolas"/>
                <w:color w:val="202020"/>
                <w:sz w:val="19"/>
              </w:rPr>
              <w:t>config/classification.json</w:t>
            </w:r>
          </w:p>
        </w:tc>
        <w:tc>
          <w:tcPr>
            <w:tcW w:type="dxa" w:w="4060"/>
            <w:shd w:val="clear" w:color="auto" w:fill="F7F9FC"/>
          </w:tcPr>
          <w:p>
            <w:r>
              <w:rPr>
                <w:color w:val="202020"/>
                <w:sz w:val="19"/>
              </w:rPr>
              <w:t xml:space="preserve">The classification category and pattern set (read on every crawl when </w:t>
            </w:r>
            <w:r>
              <w:rPr>
                <w:rFonts w:ascii="Consolas" w:hAnsi="Consolas"/>
                <w:color w:val="202020"/>
                <w:sz w:val="19"/>
              </w:rPr>
              <w:t>CLASSIFICATION=true</w:t>
            </w:r>
            <w:r>
              <w:rPr>
                <w:color w:val="202020"/>
                <w:sz w:val="19"/>
              </w:rPr>
              <w:t>)</w:t>
            </w:r>
          </w:p>
        </w:tc>
        <w:tc>
          <w:tcPr>
            <w:tcW w:type="dxa" w:w="2800"/>
            <w:shd w:val="clear" w:color="auto" w:fill="F7F9FC"/>
          </w:tcPr>
          <w:p>
            <w:r>
              <w:rPr>
                <w:color w:val="202020"/>
                <w:sz w:val="19"/>
              </w:rPr>
              <w:t>Always when the file exists — whatever the flag says</w:t>
            </w:r>
          </w:p>
        </w:tc>
      </w:tr>
    </w:tbl>
    <w:p>
      <w:pPr>
        <w:spacing w:after="40"/>
      </w:pPr>
    </w:p>
    <w:p>
      <w:pPr>
        <w:spacing w:after="120"/>
      </w:pPr>
      <w:r>
        <w:rPr>
          <w:b/>
          <w:color w:val="202020"/>
        </w:rPr>
        <w:t>The operator promise.</w:t>
      </w:r>
      <w:r>
        <w:rPr>
          <w:color w:val="202020"/>
        </w:rPr>
        <w:t xml:space="preserve"> </w:t>
      </w:r>
      <w:r>
        <w:rPr>
          <w:rFonts w:ascii="Consolas" w:hAnsi="Consolas"/>
          <w:color w:val="202020"/>
          <w:sz w:val="19"/>
        </w:rPr>
        <w:t>validate-config --strict</w:t>
      </w:r>
      <w:r>
        <w:rPr>
          <w:color w:val="202020"/>
        </w:rPr>
        <w:t xml:space="preserve"> is the deployment gate, and it now carries a precise guarantee: </w:t>
      </w:r>
      <w:r>
        <w:rPr>
          <w:b/>
          <w:color w:val="202020"/>
        </w:rPr>
        <w:t>a configuration that passes it will not fail at crawl time for a configuration reason.</w:t>
      </w:r>
      <w:r>
        <w:rPr>
          <w:color w:val="202020"/>
        </w:rPr>
        <w:t xml:space="preserve"> Because every file is checked by the loader the crawl calls, there is no class of configuration mistake that preflight blesses and the crawl then discovers. This closed a real class of defect: a </w:t>
      </w:r>
      <w:r>
        <w:rPr>
          <w:rFonts w:ascii="Consolas" w:hAnsi="Consolas"/>
          <w:color w:val="202020"/>
          <w:sz w:val="19"/>
        </w:rPr>
        <w:t>classification.json</w:t>
      </w:r>
      <w:r>
        <w:rPr>
          <w:color w:val="202020"/>
        </w:rPr>
        <w:t xml:space="preserve"> that failed only at load time used to pass preflight green and then fail at crawl time with a stack naming neither the file nor the key — and a </w:t>
      </w:r>
      <w:r>
        <w:rPr>
          <w:rFonts w:ascii="Consolas" w:hAnsi="Consolas"/>
          <w:color w:val="202020"/>
          <w:sz w:val="19"/>
        </w:rPr>
        <w:t>schema.json</w:t>
      </w:r>
      <w:r>
        <w:rPr>
          <w:color w:val="202020"/>
        </w:rPr>
        <w:t xml:space="preserve"> null shape passed </w:t>
      </w:r>
      <w:r>
        <w:rPr>
          <w:rFonts w:ascii="Consolas" w:hAnsi="Consolas"/>
          <w:color w:val="202020"/>
          <w:sz w:val="19"/>
        </w:rPr>
        <w:t>--strict</w:t>
      </w:r>
      <w:r>
        <w:rPr>
          <w:color w:val="202020"/>
        </w:rPr>
        <w:t xml:space="preserve"> with zero errors and zero warnings, then dead-lettered 100% of an object's records at conversion.</w:t>
      </w:r>
    </w:p>
    <w:p>
      <w:pPr>
        <w:spacing w:after="120"/>
      </w:pPr>
      <w:r>
        <w:rPr>
          <w:color w:val="202020"/>
        </w:rPr>
        <w:t xml:space="preserve">The </w:t>
      </w:r>
      <w:r>
        <w:rPr>
          <w:rFonts w:ascii="Consolas" w:hAnsi="Consolas"/>
          <w:color w:val="202020"/>
          <w:sz w:val="19"/>
        </w:rPr>
        <w:t>--strict</w:t>
      </w:r>
      <w:r>
        <w:rPr>
          <w:color w:val="202020"/>
        </w:rPr>
        <w:t xml:space="preserve"> verdict is also </w:t>
      </w:r>
      <w:r>
        <w:rPr>
          <w:b/>
          <w:color w:val="202020"/>
        </w:rPr>
        <w:t>flag-invariant</w:t>
      </w:r>
      <w:r>
        <w:rPr>
          <w:color w:val="202020"/>
        </w:rPr>
        <w:t xml:space="preserve">: for any config file that exists, the verdict does not depend on whether </w:t>
      </w:r>
      <w:r>
        <w:rPr>
          <w:rFonts w:ascii="Consolas" w:hAnsi="Consolas"/>
          <w:color w:val="202020"/>
          <w:sz w:val="19"/>
        </w:rPr>
        <w:t>CLASSIFICATION</w:t>
      </w:r>
      <w:r>
        <w:rPr>
          <w:color w:val="202020"/>
        </w:rPr>
        <w:t xml:space="preserve"> is on — the flag is what operators flip last, and a green change ticket must not turn into a failing deployment on flag-flip day. The one documented exception is an </w:t>
      </w:r>
      <w:r>
        <w:rPr>
          <w:b/>
          <w:color w:val="202020"/>
        </w:rPr>
        <w:t>absent</w:t>
      </w:r>
      <w:r>
        <w:rPr>
          <w:color w:val="202020"/>
        </w:rPr>
        <w:t xml:space="preserve"> </w:t>
      </w:r>
      <w:r>
        <w:rPr>
          <w:rFonts w:ascii="Consolas" w:hAnsi="Consolas"/>
          <w:color w:val="202020"/>
          <w:sz w:val="19"/>
        </w:rPr>
        <w:t>classification.json</w:t>
      </w:r>
      <w:r>
        <w:rPr>
          <w:color w:val="202020"/>
        </w:rPr>
        <w:t>, which is judged by the flag: with the feature off there is nothing to validate, and enabling the feature means authoring the file as part of that same change.</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A JSON </w:t>
            </w:r>
            <w:r>
              <w:rPr>
                <w:rFonts w:ascii="Consolas" w:hAnsi="Consolas"/>
                <w:color w:val="202020"/>
                <w:sz w:val="19"/>
              </w:rPr>
              <w:t>null</w:t>
            </w:r>
            <w:r>
              <w:rPr>
                <w:color w:val="202020"/>
                <w:sz w:val="20"/>
              </w:rPr>
              <w:t xml:space="preserve"> anywhere in </w:t>
            </w:r>
            <w:r>
              <w:rPr>
                <w:rFonts w:ascii="Consolas" w:hAnsi="Consolas"/>
                <w:color w:val="202020"/>
                <w:sz w:val="19"/>
              </w:rPr>
              <w:t>schema.json</w:t>
            </w:r>
            <w:r>
              <w:rPr>
                <w:color w:val="202020"/>
                <w:sz w:val="20"/>
              </w:rPr>
              <w:t xml:space="preserve"> (and in </w:t>
            </w:r>
            <w:r>
              <w:rPr>
                <w:rFonts w:ascii="Consolas" w:hAnsi="Consolas"/>
                <w:color w:val="202020"/>
                <w:sz w:val="19"/>
              </w:rPr>
              <w:t>classification.json</w:t>
            </w:r>
            <w:r>
              <w:rPr>
                <w:color w:val="202020"/>
                <w:sz w:val="20"/>
              </w:rPr>
              <w:t>) is read as that key's EMPTY value, and whether empty is legal is then decided by ordinary validation with an ordinary message naming the object and the key. A value of the wrong TYPE is reported the same way, quoting the JSON path. On the crawl path a config-shaped failure prints that message and exits 2 — never a stack trace; the full record still goes to the run log.</w:t>
            </w:r>
          </w:p>
        </w:tc>
      </w:tr>
    </w:tbl>
    <w:p>
      <w:pPr>
        <w:spacing w:after="40"/>
      </w:pPr>
    </w:p>
    <w:p>
      <w:pPr>
        <w:pStyle w:val="Heading3"/>
      </w:pPr>
      <w:r>
        <w:rPr>
          <w:color w:val="2E5496"/>
        </w:rPr>
        <w:t>14.12 The graph-schema.json cross-check</w:t>
      </w:r>
    </w:p>
    <w:p>
      <w:pPr>
        <w:spacing w:after="120"/>
      </w:pPr>
      <w:r>
        <w:rPr>
          <w:rFonts w:ascii="Consolas" w:hAnsi="Consolas"/>
          <w:color w:val="202020"/>
          <w:sz w:val="19"/>
        </w:rPr>
        <w:t>config/graph-schema.json</w:t>
      </w:r>
      <w:r>
        <w:rPr>
          <w:color w:val="202020"/>
        </w:rPr>
        <w:t xml:space="preserve"> must declare every Graph property the object list produces on external items — Graph rejects an item carrying an undeclared property, so a gap here is not a style issue but a configuration that cannot work. </w:t>
      </w:r>
      <w:r>
        <w:rPr>
          <w:rFonts w:ascii="Consolas" w:hAnsi="Consolas"/>
          <w:color w:val="202020"/>
          <w:sz w:val="19"/>
        </w:rPr>
        <w:t>validate-config</w:t>
      </w:r>
      <w:r>
        <w:rPr>
          <w:color w:val="202020"/>
        </w:rPr>
        <w:t xml:space="preserve"> now enforces this, in operator terms:</w:t>
      </w:r>
    </w:p>
    <w:p>
      <w:pPr>
        <w:pStyle w:val="ListBullet"/>
        <w:spacing w:after="40"/>
      </w:pPr>
      <w:r>
        <w:rPr>
          <w:b/>
          <w:color w:val="202020"/>
        </w:rPr>
        <w:t>Produced-but-undeclared is an ERROR</w:t>
      </w:r>
      <w:r>
        <w:rPr>
          <w:color w:val="202020"/>
        </w:rPr>
        <w:t xml:space="preserve">, and the message names each missing property. The produced set is derived by </w:t>
      </w:r>
      <w:r>
        <w:rPr>
          <w:b/>
          <w:color w:val="202020"/>
        </w:rPr>
        <w:t>executing the production converter itself</w:t>
      </w:r>
      <w:r>
        <w:rPr>
          <w:color w:val="202020"/>
        </w:rPr>
        <w:t xml:space="preserve"> over a synthetic record per object — not from a restated copy of the emission rules, because duplicated rule sets drift. So a </w:t>
      </w:r>
      <w:r>
        <w:rPr>
          <w:rFonts w:ascii="Consolas" w:hAnsi="Consolas"/>
          <w:color w:val="202020"/>
          <w:sz w:val="19"/>
        </w:rPr>
        <w:t>drop</w:t>
      </w:r>
      <w:r>
        <w:rPr>
          <w:color w:val="202020"/>
        </w:rPr>
        <w:t xml:space="preserve">ped column emits nothing and needs no declaration; a </w:t>
      </w:r>
      <w:r>
        <w:rPr>
          <w:rFonts w:ascii="Consolas" w:hAnsi="Consolas"/>
          <w:color w:val="202020"/>
          <w:sz w:val="19"/>
        </w:rPr>
        <w:t>mask</w:t>
      </w:r>
      <w:r>
        <w:rPr>
          <w:color w:val="202020"/>
        </w:rPr>
        <w:t xml:space="preserve">ed column still emits its property and its declaration is required; a </w:t>
      </w:r>
      <w:r>
        <w:rPr>
          <w:rFonts w:ascii="Consolas" w:hAnsi="Consolas"/>
          <w:color w:val="202020"/>
          <w:sz w:val="19"/>
        </w:rPr>
        <w:t>_bdh_</w:t>
      </w:r>
      <w:r>
        <w:rPr>
          <w:color w:val="202020"/>
        </w:rPr>
        <w:t xml:space="preserve"> placeholder routes to the content body and is not a Graph property.</w:t>
      </w:r>
    </w:p>
    <w:p>
      <w:pPr>
        <w:pStyle w:val="ListBullet"/>
        <w:spacing w:after="40"/>
      </w:pPr>
      <w:r>
        <w:rPr>
          <w:b/>
          <w:color w:val="202020"/>
        </w:rPr>
        <w:t>The seven always-emitted properties</w:t>
      </w:r>
      <w:r>
        <w:rPr>
          <w:color w:val="202020"/>
        </w:rPr>
        <w:t xml:space="preserve"> — </w:t>
      </w:r>
      <w:r>
        <w:rPr>
          <w:rFonts w:ascii="Consolas" w:hAnsi="Consolas"/>
          <w:color w:val="202020"/>
          <w:sz w:val="19"/>
        </w:rPr>
        <w:t>ObjectName</w:t>
      </w:r>
      <w:r>
        <w:rPr>
          <w:color w:val="202020"/>
        </w:rPr>
        <w:t xml:space="preserve">, </w:t>
      </w:r>
      <w:r>
        <w:rPr>
          <w:rFonts w:ascii="Consolas" w:hAnsi="Consolas"/>
          <w:color w:val="202020"/>
          <w:sz w:val="19"/>
        </w:rPr>
        <w:t>Url</w:t>
      </w:r>
      <w:r>
        <w:rPr>
          <w:color w:val="202020"/>
        </w:rPr>
        <w:t xml:space="preserve">, </w:t>
      </w:r>
      <w:r>
        <w:rPr>
          <w:rFonts w:ascii="Consolas" w:hAnsi="Consolas"/>
          <w:color w:val="202020"/>
          <w:sz w:val="19"/>
        </w:rPr>
        <w:t>IconUrl</w:t>
      </w:r>
      <w:r>
        <w:rPr>
          <w:color w:val="202020"/>
        </w:rPr>
        <w:t xml:space="preserve">, </w:t>
      </w:r>
      <w:r>
        <w:rPr>
          <w:rFonts w:ascii="Consolas" w:hAnsi="Consolas"/>
          <w:color w:val="202020"/>
          <w:sz w:val="19"/>
        </w:rPr>
        <w:t>SourceSystem</w:t>
      </w:r>
      <w:r>
        <w:rPr>
          <w:color w:val="202020"/>
        </w:rPr>
        <w:t xml:space="preserve">, </w:t>
      </w:r>
      <w:r>
        <w:rPr>
          <w:rFonts w:ascii="Consolas" w:hAnsi="Consolas"/>
          <w:color w:val="202020"/>
          <w:sz w:val="19"/>
        </w:rPr>
        <w:t>DataAsOf</w:t>
      </w:r>
      <w:r>
        <w:rPr>
          <w:color w:val="202020"/>
        </w:rPr>
        <w:t xml:space="preserve">, </w:t>
      </w:r>
      <w:r>
        <w:rPr>
          <w:rFonts w:ascii="Consolas" w:hAnsi="Consolas"/>
          <w:color w:val="202020"/>
          <w:sz w:val="19"/>
        </w:rPr>
        <w:t>SensitivityLabel</w:t>
      </w:r>
      <w:r>
        <w:rPr>
          <w:color w:val="202020"/>
        </w:rPr>
        <w:t xml:space="preserve">, </w:t>
      </w:r>
      <w:r>
        <w:rPr>
          <w:rFonts w:ascii="Consolas" w:hAnsi="Consolas"/>
          <w:color w:val="202020"/>
          <w:sz w:val="19"/>
        </w:rPr>
        <w:t>DetectedCategories</w:t>
      </w:r>
      <w:r>
        <w:rPr>
          <w:color w:val="202020"/>
        </w:rPr>
        <w:t xml:space="preserve"> — must be declared </w:t>
      </w:r>
      <w:r>
        <w:rPr>
          <w:b/>
          <w:color w:val="202020"/>
        </w:rPr>
        <w:t xml:space="preserve">unconditionally, whether or not </w:t>
      </w:r>
      <w:r>
        <w:rPr>
          <w:rFonts w:ascii="Consolas" w:hAnsi="Consolas"/>
          <w:b/>
          <w:color w:val="202020"/>
          <w:sz w:val="19"/>
        </w:rPr>
        <w:t>CLASSIFICATION</w:t>
      </w:r>
      <w:r>
        <w:rPr>
          <w:b/>
          <w:color w:val="202020"/>
        </w:rPr>
        <w:t xml:space="preserve"> is on</w:t>
      </w:r>
      <w:r>
        <w:rPr>
          <w:color w:val="202020"/>
        </w:rPr>
        <w:t>. Declaring the classifier's two costs nothing today; discovering them missing on flag-flip day is an incident. (</w:t>
      </w:r>
      <w:r>
        <w:rPr>
          <w:rFonts w:ascii="Consolas" w:hAnsi="Consolas"/>
          <w:color w:val="202020"/>
          <w:sz w:val="19"/>
        </w:rPr>
        <w:t>Title</w:t>
      </w:r>
      <w:r>
        <w:rPr>
          <w:color w:val="202020"/>
        </w:rPr>
        <w:t xml:space="preserve"> reaches items through the </w:t>
      </w:r>
      <w:r>
        <w:rPr>
          <w:rFonts w:ascii="Consolas" w:hAnsi="Consolas"/>
          <w:color w:val="202020"/>
          <w:sz w:val="19"/>
        </w:rPr>
        <w:t>selectedFields</w:t>
      </w:r>
      <w:r>
        <w:rPr>
          <w:color w:val="202020"/>
        </w:rPr>
        <w:t xml:space="preserve"> mapping; the seven are written outside it.)</w:t>
      </w:r>
    </w:p>
    <w:p>
      <w:pPr>
        <w:pStyle w:val="ListBullet"/>
        <w:spacing w:after="40"/>
      </w:pPr>
      <w:r>
        <w:rPr>
          <w:b/>
          <w:color w:val="202020"/>
        </w:rPr>
        <w:t>Declared-but-unproduced is a notice, not an error.</w:t>
      </w:r>
      <w:r>
        <w:rPr>
          <w:color w:val="202020"/>
        </w:rPr>
        <w:t xml:space="preserve"> Pre-declaring a property ahead of a rollout is encouraged; the notice simply keeps a one-sided rename visible.</w:t>
      </w:r>
    </w:p>
    <w:p>
      <w:pPr>
        <w:pStyle w:val="ListBullet"/>
        <w:spacing w:after="40"/>
      </w:pPr>
      <w:r>
        <w:rPr>
          <w:b/>
          <w:color w:val="202020"/>
        </w:rPr>
        <w:t>A degenerate file is a single actionable error</w:t>
      </w:r>
      <w:r>
        <w:rPr>
          <w:color w:val="202020"/>
        </w:rPr>
        <w:t xml:space="preserve"> naming the file — an empty array, malformed JSON, an empty or whitespace-only name, a non-string name, a missing type, or two entries differing only in case. Never a green run, never a raw stack trace, and never double-reported by the drift check on top of the parse finding.</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b/>
                <w:color w:val="202020"/>
                <w:sz w:val="20"/>
              </w:rPr>
              <w:t>What remains OPEN for this check — stated plainly.</w:t>
            </w:r>
            <w:r>
              <w:rPr>
                <w:color w:val="202020"/>
                <w:sz w:val="20"/>
              </w:rPr>
              <w:t xml:space="preserve"> (1) </w:t>
            </w:r>
            <w:r>
              <w:rPr>
                <w:b/>
                <w:color w:val="202020"/>
                <w:sz w:val="20"/>
              </w:rPr>
              <w:t>Identically-padded property names pass preflight</w:t>
            </w:r>
            <w:r>
              <w:rPr>
                <w:color w:val="202020"/>
                <w:sz w:val="20"/>
              </w:rPr>
              <w:t xml:space="preserve">: two </w:t>
            </w:r>
            <w:r>
              <w:rPr>
                <w:rFonts w:ascii="Consolas" w:hAnsi="Consolas"/>
                <w:color w:val="202020"/>
                <w:sz w:val="19"/>
              </w:rPr>
              <w:t>graph-schema.json</w:t>
            </w:r>
            <w:r>
              <w:rPr>
                <w:color w:val="202020"/>
                <w:sz w:val="20"/>
              </w:rPr>
              <w:t xml:space="preserve"> entries that differ only in surrounding whitespace (</w:t>
            </w:r>
            <w:r>
              <w:rPr>
                <w:rFonts w:ascii="Consolas" w:hAnsi="Consolas"/>
                <w:color w:val="202020"/>
                <w:sz w:val="19"/>
              </w:rPr>
              <w:t>"Title"</w:t>
            </w:r>
            <w:r>
              <w:rPr>
                <w:color w:val="202020"/>
                <w:sz w:val="20"/>
              </w:rPr>
              <w:t xml:space="preserve"> and </w:t>
            </w:r>
            <w:r>
              <w:rPr>
                <w:rFonts w:ascii="Consolas" w:hAnsi="Consolas"/>
                <w:color w:val="202020"/>
                <w:sz w:val="19"/>
              </w:rPr>
              <w:t>" Title "</w:t>
            </w:r>
            <w:r>
              <w:rPr>
                <w:color w:val="202020"/>
                <w:sz w:val="20"/>
              </w:rPr>
              <w:t xml:space="preserve">) are treated as distinct declarations, so the padded one draws at most a declared-but-unproduced notice, not an error. Microsoft Graph then rejects the invalid name </w:t>
            </w:r>
            <w:r>
              <w:rPr>
                <w:b/>
                <w:color w:val="202020"/>
                <w:sz w:val="20"/>
              </w:rPr>
              <w:t>loudly at connection registration</w:t>
            </w:r>
            <w:r>
              <w:rPr>
                <w:color w:val="202020"/>
                <w:sz w:val="20"/>
              </w:rPr>
              <w:t xml:space="preserve"> (</w:t>
            </w:r>
            <w:r>
              <w:rPr>
                <w:rFonts w:ascii="Consolas" w:hAnsi="Consolas"/>
                <w:color w:val="202020"/>
                <w:sz w:val="19"/>
              </w:rPr>
              <w:t>setup-connection</w:t>
            </w:r>
            <w:r>
              <w:rPr>
                <w:color w:val="202020"/>
                <w:sz w:val="20"/>
              </w:rPr>
              <w:t xml:space="preserve">) — a visible failure before any crawl, not a silent one. (2) </w:t>
            </w:r>
            <w:r>
              <w:rPr>
                <w:b/>
                <w:color w:val="202020"/>
                <w:sz w:val="20"/>
              </w:rPr>
              <w:t>The cross-check is preflight-only</w:t>
            </w:r>
            <w:r>
              <w:rPr>
                <w:color w:val="202020"/>
                <w:sz w:val="20"/>
              </w:rPr>
              <w:t>: there is no crawl-time write-path enforcement in the connector, so a schema defect that slips past preflight surfaces as Graph rejecting the affected items at push — loud, and dead-lettered per item — rather than as a connector-side block.</w:t>
            </w:r>
          </w:p>
        </w:tc>
      </w:tr>
    </w:tbl>
    <w:p>
      <w:pPr>
        <w:spacing w:after="40"/>
      </w:pPr>
    </w:p>
    <w:p>
      <w:pPr>
        <w:pStyle w:val="Heading3"/>
      </w:pPr>
      <w:r>
        <w:rPr>
          <w:color w:val="2E5496"/>
        </w:rPr>
        <w:t>14.13 Column policies — per-column drop/mask, and the collision rules</w:t>
      </w:r>
    </w:p>
    <w:p>
      <w:pPr>
        <w:spacing w:after="120"/>
      </w:pPr>
      <w:r>
        <w:rPr>
          <w:rFonts w:ascii="Consolas" w:hAnsi="Consolas"/>
          <w:color w:val="202020"/>
          <w:sz w:val="19"/>
        </w:rPr>
        <w:t>columnPolicies</w:t>
      </w:r>
      <w:r>
        <w:rPr>
          <w:color w:val="202020"/>
        </w:rPr>
        <w:t xml:space="preserve">, set per object in </w:t>
      </w:r>
      <w:r>
        <w:rPr>
          <w:rFonts w:ascii="Consolas" w:hAnsi="Consolas"/>
          <w:color w:val="202020"/>
          <w:sz w:val="19"/>
        </w:rPr>
        <w:t>config/schema.json</w:t>
      </w:r>
      <w:r>
        <w:rPr>
          <w:color w:val="202020"/>
        </w:rPr>
        <w:t xml:space="preserve"> (BDH column → </w:t>
      </w:r>
      <w:r>
        <w:rPr>
          <w:rFonts w:ascii="Consolas" w:hAnsi="Consolas"/>
          <w:color w:val="202020"/>
          <w:sz w:val="19"/>
        </w:rPr>
        <w:t>drop</w:t>
      </w:r>
      <w:r>
        <w:rPr>
          <w:color w:val="202020"/>
        </w:rPr>
        <w:t xml:space="preserve"> | </w:t>
      </w:r>
      <w:r>
        <w:rPr>
          <w:rFonts w:ascii="Consolas" w:hAnsi="Consolas"/>
          <w:color w:val="202020"/>
          <w:sz w:val="19"/>
        </w:rPr>
        <w:t>mask</w:t>
      </w:r>
      <w:r>
        <w:rPr>
          <w:color w:val="202020"/>
        </w:rPr>
        <w:t>), is the column-level restriction mechanism: the object's coarse ACL decides who may see a record, a column policy decides which of its columns reach the index at all. Before it existed, sensitivity was per-object only — there was no way to say "index this record but not its compensation figure".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1600"/>
        <w:gridCol w:w="7760"/>
      </w:tblGrid>
      <w:tr>
        <w:tc>
          <w:tcPr>
            <w:tcW w:type="dxa" w:w="1600"/>
            <w:shd w:val="clear" w:color="auto" w:fill="2E5496"/>
          </w:tcPr>
          <w:p>
            <w:r>
              <w:rPr>
                <w:b/>
                <w:color w:val="FFFFFF"/>
                <w:sz w:val="19"/>
              </w:rPr>
              <w:t>Action</w:t>
            </w:r>
          </w:p>
        </w:tc>
        <w:tc>
          <w:tcPr>
            <w:tcW w:type="dxa" w:w="7760"/>
            <w:shd w:val="clear" w:color="auto" w:fill="2E5496"/>
          </w:tcPr>
          <w:p>
            <w:r>
              <w:rPr>
                <w:b/>
                <w:color w:val="FFFFFF"/>
                <w:sz w:val="19"/>
              </w:rPr>
              <w:t>Effect</w:t>
            </w:r>
          </w:p>
        </w:tc>
      </w:tr>
      <w:tr>
        <w:tc>
          <w:tcPr>
            <w:tcW w:type="dxa" w:w="1600"/>
          </w:tcPr>
          <w:p>
            <w:r>
              <w:rPr>
                <w:rFonts w:ascii="Consolas" w:hAnsi="Consolas"/>
                <w:color w:val="202020"/>
                <w:sz w:val="19"/>
              </w:rPr>
              <w:t>drop</w:t>
            </w:r>
          </w:p>
        </w:tc>
        <w:tc>
          <w:tcPr>
            <w:tcW w:type="dxa" w:w="7760"/>
          </w:tcPr>
          <w:p>
            <w:r>
              <w:rPr>
                <w:color w:val="202020"/>
                <w:sz w:val="19"/>
              </w:rPr>
              <w:t>The column is never emitted — no Graph property, no content-body line, no title text. Neither its name nor its value reaches the index.</w:t>
            </w:r>
          </w:p>
        </w:tc>
      </w:tr>
      <w:tr>
        <w:tc>
          <w:tcPr>
            <w:tcW w:type="dxa" w:w="1600"/>
            <w:shd w:val="clear" w:color="auto" w:fill="F7F9FC"/>
          </w:tcPr>
          <w:p>
            <w:r>
              <w:rPr>
                <w:rFonts w:ascii="Consolas" w:hAnsi="Consolas"/>
                <w:color w:val="202020"/>
                <w:sz w:val="19"/>
              </w:rPr>
              <w:t>mask</w:t>
            </w:r>
          </w:p>
        </w:tc>
        <w:tc>
          <w:tcPr>
            <w:tcW w:type="dxa" w:w="7760"/>
            <w:shd w:val="clear" w:color="auto" w:fill="F7F9FC"/>
          </w:tcPr>
          <w:p>
            <w:r>
              <w:rPr>
                <w:color w:val="202020"/>
                <w:sz w:val="19"/>
              </w:rPr>
              <w:t xml:space="preserve">The property name and content key are kept; the value is replaced with </w:t>
            </w:r>
            <w:r>
              <w:rPr>
                <w:rFonts w:ascii="Consolas" w:hAnsi="Consolas"/>
                <w:color w:val="202020"/>
                <w:sz w:val="19"/>
              </w:rPr>
              <w:t>[RESTRICTED]</w:t>
            </w:r>
            <w:r>
              <w:rPr>
                <w:color w:val="202020"/>
                <w:sz w:val="19"/>
              </w:rPr>
              <w:t xml:space="preserve"> (the source value is never read). The key is kept even for an empty value, so the item's shape does not reveal whether a restricted field was populated.</w:t>
            </w:r>
          </w:p>
        </w:tc>
      </w:tr>
    </w:tbl>
    <w:p>
      <w:pPr>
        <w:spacing w:after="40"/>
      </w:pPr>
    </w:p>
    <w:p>
      <w:pPr>
        <w:spacing w:after="120"/>
      </w:pPr>
      <w:r>
        <w:rPr>
          <w:color w:val="202020"/>
        </w:rPr>
        <w:t xml:space="preserve">Enforcement covers </w:t>
      </w:r>
      <w:r>
        <w:rPr>
          <w:b/>
          <w:color w:val="202020"/>
        </w:rPr>
        <w:t>both</w:t>
      </w:r>
      <w:r>
        <w:rPr>
          <w:color w:val="202020"/>
        </w:rPr>
        <w:t xml:space="preserve"> conversion passes — the Graph property loop and the searchable content-body loop — plus the content title line, which reads </w:t>
      </w:r>
      <w:r>
        <w:rPr>
          <w:rFonts w:ascii="Consolas" w:hAnsi="Consolas"/>
          <w:color w:val="202020"/>
          <w:sz w:val="19"/>
        </w:rPr>
        <w:t>Name</w:t>
      </w:r>
      <w:r>
        <w:rPr>
          <w:color w:val="202020"/>
        </w:rPr>
        <w:t xml:space="preserve"> outside both (</w:t>
      </w:r>
      <w:r>
        <w:rPr>
          <w:rFonts w:ascii="Consolas" w:hAnsi="Consolas"/>
          <w:color w:val="202020"/>
          <w:sz w:val="19"/>
        </w:rPr>
        <w:t>drop</w:t>
      </w:r>
      <w:r>
        <w:rPr>
          <w:color w:val="202020"/>
        </w:rPr>
        <w:t xml:space="preserve"> falls back to the record id; </w:t>
      </w:r>
      <w:r>
        <w:rPr>
          <w:rFonts w:ascii="Consolas" w:hAnsi="Consolas"/>
          <w:color w:val="202020"/>
          <w:sz w:val="19"/>
        </w:rPr>
        <w:t>mask</w:t>
      </w:r>
      <w:r>
        <w:rPr>
          <w:color w:val="202020"/>
        </w:rPr>
        <w:t xml:space="preserve"> emits the marker). Column matching is case-insensitive, as BDH column lookup is. An absent or empty </w:t>
      </w:r>
      <w:r>
        <w:rPr>
          <w:rFonts w:ascii="Consolas" w:hAnsi="Consolas"/>
          <w:color w:val="202020"/>
          <w:sz w:val="19"/>
        </w:rPr>
        <w:t>columnPolicies</w:t>
      </w:r>
      <w:r>
        <w:rPr>
          <w:color w:val="202020"/>
        </w:rPr>
        <w:t xml:space="preserve"> leaves conversion byte-identical to a config without the key.</w:t>
      </w:r>
    </w:p>
    <w:p>
      <w:pPr>
        <w:spacing w:after="120"/>
      </w:pPr>
      <w:r>
        <w:rPr>
          <w:b/>
          <w:color w:val="202020"/>
        </w:rPr>
        <w:t>The collision rules.</w:t>
      </w:r>
      <w:r>
        <w:rPr>
          <w:color w:val="202020"/>
        </w:rPr>
        <w:t xml:space="preserve"> Every policy shape that would make </w:t>
      </w:r>
      <w:r>
        <w:rPr>
          <w:rFonts w:ascii="Consolas" w:hAnsi="Consolas"/>
          <w:color w:val="202020"/>
          <w:sz w:val="19"/>
        </w:rPr>
        <w:t>validate-config</w:t>
      </w:r>
      <w:r>
        <w:rPr>
          <w:color w:val="202020"/>
        </w:rPr>
        <w:t>'s report untrue is rejected at config load rather than silently half-applied:</w:t>
      </w:r>
    </w:p>
    <w:p>
      <w:pPr>
        <w:pStyle w:val="ListBullet"/>
        <w:spacing w:after="40"/>
      </w:pPr>
      <w:r>
        <w:rPr>
          <w:b/>
          <w:color w:val="202020"/>
        </w:rPr>
        <w:t>The seven always-emitted properties are protected in BOTH directions</w:t>
      </w:r>
      <w:r>
        <w:rPr>
          <w:color w:val="202020"/>
        </w:rPr>
        <w:t xml:space="preserve"> (</w:t>
      </w:r>
      <w:r>
        <w:rPr>
          <w:b/>
          <w:color w:val="202020"/>
        </w:rPr>
        <w:t>Section 14.12</w:t>
      </w:r>
      <w:r>
        <w:rPr>
          <w:color w:val="202020"/>
        </w:rPr>
        <w:t xml:space="preserve"> lists them). A </w:t>
      </w:r>
      <w:r>
        <w:rPr>
          <w:rFonts w:ascii="Consolas" w:hAnsi="Consolas"/>
          <w:color w:val="202020"/>
          <w:sz w:val="19"/>
        </w:rPr>
        <w:t>columnPolicies</w:t>
      </w:r>
      <w:r>
        <w:rPr>
          <w:color w:val="202020"/>
        </w:rPr>
        <w:t xml:space="preserve"> entry on a column *named after* one of the seven is rejected — the policy would apply to the column while a populated property of that name still rode on every item, so preflight would print </w:t>
      </w:r>
      <w:r>
        <w:rPr>
          <w:rFonts w:ascii="Consolas" w:hAnsi="Consolas"/>
          <w:color w:val="202020"/>
          <w:sz w:val="19"/>
        </w:rPr>
        <w:t>dropped=[Url]</w:t>
      </w:r>
      <w:r>
        <w:rPr>
          <w:color w:val="202020"/>
        </w:rPr>
        <w:t xml:space="preserve"> over a report that could not be read as true. And a </w:t>
      </w:r>
      <w:r>
        <w:rPr>
          <w:rFonts w:ascii="Consolas" w:hAnsi="Consolas"/>
          <w:color w:val="202020"/>
          <w:sz w:val="19"/>
        </w:rPr>
        <w:t>selectedFields</w:t>
      </w:r>
      <w:r>
        <w:rPr>
          <w:color w:val="202020"/>
        </w:rPr>
        <w:t xml:space="preserve"> column *mapped onto* one of the seven is rejected — the mapping loop runs after the standard properties are set, so it silently overwrote them (a column mapped onto </w:t>
      </w:r>
      <w:r>
        <w:rPr>
          <w:rFonts w:ascii="Consolas" w:hAnsi="Consolas"/>
          <w:color w:val="202020"/>
          <w:sz w:val="19"/>
        </w:rPr>
        <w:t>Url</w:t>
      </w:r>
      <w:r>
        <w:rPr>
          <w:color w:val="202020"/>
        </w:rPr>
        <w:t xml:space="preserve"> deleted the deep link from every item, preflight green). Matching is case-insensitive </w:t>
      </w:r>
      <w:r>
        <w:rPr>
          <w:b/>
          <w:color w:val="202020"/>
        </w:rPr>
        <w:t>and trimmed</w:t>
      </w:r>
      <w:r>
        <w:rPr>
          <w:color w:val="202020"/>
        </w:rPr>
        <w:t>, in both directions.</w:t>
      </w:r>
    </w:p>
    <w:p>
      <w:pPr>
        <w:pStyle w:val="ListBullet"/>
        <w:spacing w:after="40"/>
      </w:pPr>
      <w:r>
        <w:rPr>
          <w:b/>
          <w:color w:val="202020"/>
        </w:rPr>
        <w:t xml:space="preserve">Two </w:t>
      </w:r>
      <w:r>
        <w:rPr>
          <w:rFonts w:ascii="Consolas" w:hAnsi="Consolas"/>
          <w:b/>
          <w:color w:val="202020"/>
          <w:sz w:val="19"/>
        </w:rPr>
        <w:t>selectedFields</w:t>
      </w:r>
      <w:r>
        <w:rPr>
          <w:b/>
          <w:color w:val="202020"/>
        </w:rPr>
        <w:t xml:space="preserve"> columns mapped to the same Graph property are rejected</w:t>
      </w:r>
      <w:r>
        <w:rPr>
          <w:color w:val="202020"/>
        </w:rPr>
        <w:t xml:space="preserve"> — only one value can occupy the property, the winner was dictionary-order luck, and any </w:t>
      </w:r>
      <w:r>
        <w:rPr>
          <w:rFonts w:ascii="Consolas" w:hAnsi="Consolas"/>
          <w:color w:val="202020"/>
          <w:sz w:val="19"/>
        </w:rPr>
        <w:t>drop</w:t>
      </w:r>
      <w:r>
        <w:rPr>
          <w:color w:val="202020"/>
        </w:rPr>
        <w:t>/</w:t>
      </w:r>
      <w:r>
        <w:rPr>
          <w:rFonts w:ascii="Consolas" w:hAnsi="Consolas"/>
          <w:color w:val="202020"/>
          <w:sz w:val="19"/>
        </w:rPr>
        <w:t>mask</w:t>
      </w:r>
      <w:r>
        <w:rPr>
          <w:color w:val="202020"/>
        </w:rPr>
        <w:t xml:space="preserve"> protecting the loser was reported as applied while restricting nothing.</w:t>
      </w:r>
    </w:p>
    <w:p>
      <w:pPr>
        <w:pStyle w:val="ListBullet"/>
        <w:spacing w:after="40"/>
      </w:pPr>
      <w:r>
        <w:rPr>
          <w:b/>
          <w:color w:val="202020"/>
        </w:rPr>
        <w:t xml:space="preserve">A policy on the identity column </w:t>
      </w:r>
      <w:r>
        <w:rPr>
          <w:rFonts w:ascii="Consolas" w:hAnsi="Consolas"/>
          <w:b/>
          <w:color w:val="202020"/>
          <w:sz w:val="19"/>
        </w:rPr>
        <w:t>Id</w:t>
      </w:r>
      <w:r>
        <w:rPr>
          <w:b/>
          <w:color w:val="202020"/>
        </w:rPr>
        <w:t xml:space="preserve"> is rejected.</w:t>
      </w:r>
      <w:r>
        <w:rPr>
          <w:color w:val="202020"/>
        </w:rPr>
        <w:t xml:space="preserve"> The id reaches the index by routes no policy can gate — </w:t>
      </w:r>
      <w:r>
        <w:rPr>
          <w:rFonts w:ascii="Consolas" w:hAnsi="Consolas"/>
          <w:color w:val="202020"/>
          <w:sz w:val="19"/>
        </w:rPr>
        <w:t>externalItem.id</w:t>
      </w:r>
      <w:r>
        <w:rPr>
          <w:color w:val="202020"/>
        </w:rPr>
        <w:t xml:space="preserve">, the </w:t>
      </w:r>
      <w:r>
        <w:rPr>
          <w:rFonts w:ascii="Consolas" w:hAnsi="Consolas"/>
          <w:color w:val="202020"/>
          <w:sz w:val="19"/>
        </w:rPr>
        <w:t>Url</w:t>
      </w:r>
      <w:r>
        <w:rPr>
          <w:color w:val="202020"/>
        </w:rPr>
        <w:t xml:space="preserve"> deep link, the content-title fallback — and inventory, deletion sync, the dead-letter queue and </w:t>
      </w:r>
      <w:r>
        <w:rPr>
          <w:rFonts w:ascii="Consolas" w:hAnsi="Consolas"/>
          <w:color w:val="202020"/>
          <w:sz w:val="19"/>
        </w:rPr>
        <w:t>retry-failed</w:t>
      </w:r>
      <w:r>
        <w:rPr>
          <w:color w:val="202020"/>
        </w:rPr>
        <w:t xml:space="preserve"> all key on it. The error names the surviving routes and the real alternatives: remove the column from </w:t>
      </w:r>
      <w:r>
        <w:rPr>
          <w:rFonts w:ascii="Consolas" w:hAnsi="Consolas"/>
          <w:color w:val="202020"/>
          <w:sz w:val="19"/>
        </w:rPr>
        <w:t>selectedFields</w:t>
      </w:r>
      <w:r>
        <w:rPr>
          <w:color w:val="202020"/>
        </w:rPr>
        <w:t xml:space="preserve">, narrow the </w:t>
      </w:r>
      <w:r>
        <w:rPr>
          <w:rFonts w:ascii="Consolas" w:hAnsi="Consolas"/>
          <w:color w:val="202020"/>
          <w:sz w:val="19"/>
        </w:rPr>
        <w:t>aclMode</w:t>
      </w:r>
      <w:r>
        <w:rPr>
          <w:color w:val="202020"/>
        </w:rPr>
        <w:t>, or filter the record out.</w:t>
      </w:r>
    </w:p>
    <w:p>
      <w:pPr>
        <w:pStyle w:val="ListBullet"/>
        <w:spacing w:after="40"/>
      </w:pPr>
      <w:r>
        <w:rPr>
          <w:b/>
          <w:color w:val="202020"/>
        </w:rPr>
        <w:t>A policy on a column named after ANOTHER column's Graph property is rejected</w:t>
      </w:r>
      <w:r>
        <w:rPr>
          <w:color w:val="202020"/>
        </w:rPr>
        <w:t xml:space="preserve"> — the config would print </w:t>
      </w:r>
      <w:r>
        <w:rPr>
          <w:rFonts w:ascii="Consolas" w:hAnsi="Consolas"/>
          <w:color w:val="202020"/>
          <w:sz w:val="19"/>
        </w:rPr>
        <w:t>dropped=[RecordId]</w:t>
      </w:r>
      <w:r>
        <w:rPr>
          <w:color w:val="202020"/>
        </w:rPr>
        <w:t xml:space="preserve"> while a fully populated Graph property called </w:t>
      </w:r>
      <w:r>
        <w:rPr>
          <w:rFonts w:ascii="Consolas" w:hAnsi="Consolas"/>
          <w:color w:val="202020"/>
          <w:sz w:val="19"/>
        </w:rPr>
        <w:t>RecordId</w:t>
      </w:r>
      <w:r>
        <w:rPr>
          <w:color w:val="202020"/>
        </w:rPr>
        <w:t xml:space="preserve"> kept reaching the index from a different column.</w:t>
      </w:r>
    </w:p>
    <w:p>
      <w:pPr>
        <w:pStyle w:val="ListBullet"/>
        <w:spacing w:after="40"/>
      </w:pPr>
      <w:r>
        <w:rPr>
          <w:b/>
          <w:color w:val="202020"/>
        </w:rPr>
        <w:t xml:space="preserve">An unknown action, a policy naming a column not in that object's </w:t>
      </w:r>
      <w:r>
        <w:rPr>
          <w:rFonts w:ascii="Consolas" w:hAnsi="Consolas"/>
          <w:b/>
          <w:color w:val="202020"/>
          <w:sz w:val="19"/>
        </w:rPr>
        <w:t>selectedFields</w:t>
      </w:r>
      <w:r>
        <w:rPr>
          <w:b/>
          <w:color w:val="202020"/>
        </w:rPr>
        <w:t>, or two policy keys differing only in case</w:t>
      </w:r>
      <w:r>
        <w:rPr>
          <w:color w:val="202020"/>
        </w:rPr>
        <w:t xml:space="preserve"> all fail config load — a policy that silently restricts nothing is worse than none.</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rFonts w:ascii="Consolas" w:hAnsi="Consolas"/>
                <w:color w:val="202020"/>
                <w:sz w:val="19"/>
              </w:rPr>
              <w:t>validate-config</w:t>
            </w:r>
            <w:r>
              <w:rPr>
                <w:color w:val="202020"/>
                <w:sz w:val="20"/>
              </w:rPr>
              <w:t xml:space="preserve"> prints a </w:t>
            </w:r>
            <w:r>
              <w:rPr>
                <w:rFonts w:ascii="Consolas" w:hAnsi="Consolas"/>
                <w:color w:val="202020"/>
                <w:sz w:val="19"/>
              </w:rPr>
              <w:t>POSTURE:</w:t>
            </w:r>
            <w:r>
              <w:rPr>
                <w:color w:val="202020"/>
                <w:sz w:val="20"/>
              </w:rPr>
              <w:t xml:space="preserve"> line per object with the dropped and masked counts and column names — and states explicitly when NO object restricts any column. One shape is a WARNING rather than an error: masking a column whose Graph property is declared non-</w:t>
            </w:r>
            <w:r>
              <w:rPr>
                <w:rFonts w:ascii="Consolas" w:hAnsi="Consolas"/>
                <w:color w:val="202020"/>
                <w:sz w:val="19"/>
              </w:rPr>
              <w:t>String</w:t>
            </w:r>
            <w:r>
              <w:rPr>
                <w:color w:val="202020"/>
                <w:sz w:val="20"/>
              </w:rPr>
              <w:t xml:space="preserve"> (the marker is a string, so Graph would reject every such item — use </w:t>
            </w:r>
            <w:r>
              <w:rPr>
                <w:rFonts w:ascii="Consolas" w:hAnsi="Consolas"/>
                <w:color w:val="202020"/>
                <w:sz w:val="19"/>
              </w:rPr>
              <w:t>drop</w:t>
            </w:r>
            <w:r>
              <w:rPr>
                <w:color w:val="202020"/>
                <w:sz w:val="20"/>
              </w:rPr>
              <w:t xml:space="preserve">, or redeclare the property as </w:t>
            </w:r>
            <w:r>
              <w:rPr>
                <w:rFonts w:ascii="Consolas" w:hAnsi="Consolas"/>
                <w:color w:val="202020"/>
                <w:sz w:val="19"/>
              </w:rPr>
              <w:t>String</w:t>
            </w:r>
            <w:r>
              <w:rPr>
                <w:color w:val="202020"/>
                <w:sz w:val="20"/>
              </w:rPr>
              <w:t xml:space="preserve">). Column policies interlock with the cross-check in </w:t>
            </w:r>
            <w:r>
              <w:rPr>
                <w:b/>
                <w:color w:val="202020"/>
                <w:sz w:val="20"/>
              </w:rPr>
              <w:t>Section 14.12</w:t>
            </w:r>
            <w:r>
              <w:rPr>
                <w:color w:val="202020"/>
                <w:sz w:val="20"/>
              </w:rPr>
              <w:t xml:space="preserve"> — a </w:t>
            </w:r>
            <w:r>
              <w:rPr>
                <w:rFonts w:ascii="Consolas" w:hAnsi="Consolas"/>
                <w:color w:val="202020"/>
                <w:sz w:val="19"/>
              </w:rPr>
              <w:t>drop</w:t>
            </w:r>
            <w:r>
              <w:rPr>
                <w:color w:val="202020"/>
                <w:sz w:val="20"/>
              </w:rPr>
              <w:t xml:space="preserve">ped column's property needs no declaration (leaving it declared is a harmless notice); a </w:t>
            </w:r>
            <w:r>
              <w:rPr>
                <w:rFonts w:ascii="Consolas" w:hAnsi="Consolas"/>
                <w:color w:val="202020"/>
                <w:sz w:val="19"/>
              </w:rPr>
              <w:t>mask</w:t>
            </w:r>
            <w:r>
              <w:rPr>
                <w:color w:val="202020"/>
                <w:sz w:val="20"/>
              </w:rPr>
              <w:t xml:space="preserve">ed column's declaration is still required. Dead-letter payloads are already covered: even under </w:t>
            </w:r>
            <w:r>
              <w:rPr>
                <w:rFonts w:ascii="Consolas" w:hAnsi="Consolas"/>
                <w:color w:val="202020"/>
                <w:sz w:val="19"/>
              </w:rPr>
              <w:t>DEADLETTER_PAYLOAD_MODE=full</w:t>
            </w:r>
            <w:r>
              <w:rPr>
                <w:color w:val="202020"/>
                <w:sz w:val="20"/>
              </w:rPr>
              <w:t xml:space="preserve"> the stored body is the CONVERTED item, so a dropped column is absent and a masked one carries </w:t>
            </w:r>
            <w:r>
              <w:rPr>
                <w:rFonts w:ascii="Consolas" w:hAnsi="Consolas"/>
                <w:color w:val="202020"/>
                <w:sz w:val="19"/>
              </w:rPr>
              <w:t>[RESTRICTED]</w:t>
            </w:r>
            <w:r>
              <w:rPr>
                <w:color w:val="202020"/>
                <w:sz w:val="20"/>
              </w:rPr>
              <w:t>.</w:t>
            </w:r>
          </w:p>
        </w:tc>
      </w:tr>
    </w:tbl>
    <w:p>
      <w:pPr>
        <w:spacing w:after="40"/>
      </w:pPr>
    </w:p>
    <w:p>
      <w:pPr>
        <w:pStyle w:val="Heading1"/>
      </w:pPr>
      <w:r>
        <w:rPr>
          <w:color w:val="1F3864"/>
        </w:rPr>
        <w:t>15. Glossary (BDH- and Hadoop-specific)</w:t>
      </w:r>
    </w:p>
    <w:p>
      <w:pPr>
        <w:spacing w:after="200"/>
      </w:pPr>
      <w:r>
        <w:rPr>
          <w:color w:val="595959"/>
          <w:sz w:val="23"/>
        </w:rPr>
        <w:t xml:space="preserve">Shared Microsoft 365 and connector terms — Graph connector, external item, ACL, Entra ID, chassis, tenant, deployment — are defined in </w:t>
      </w:r>
      <w:r>
        <w:rPr>
          <w:b/>
          <w:color w:val="595959"/>
          <w:sz w:val="23"/>
        </w:rPr>
        <w:t>Common Guide §13</w:t>
      </w:r>
      <w:r>
        <w:rPr>
          <w:color w:val="595959"/>
          <w:sz w:val="23"/>
        </w:rPr>
        <w:t>. Below are only the terms specific to this connector.</w:t>
      </w:r>
    </w:p>
    <w:p>
      <w:pPr>
        <w:spacing w:after="20"/>
        <w:keepNext/>
      </w:pPr>
      <w:r>
        <w:rPr>
          <w:b/>
          <w:color w:val="1F3864"/>
          <w:sz w:val="22"/>
        </w:rPr>
        <w:t>Hadoop</w:t>
      </w:r>
    </w:p>
    <w:p>
      <w:pPr>
        <w:spacing w:after="20"/>
        <w:ind w:left="240"/>
      </w:pPr>
      <w:r>
        <w:rPr>
          <w:b/>
          <w:color w:val="595959"/>
          <w:sz w:val="19"/>
        </w:rPr>
        <w:t xml:space="preserve">What it is  </w:t>
      </w:r>
      <w:r>
        <w:rPr>
          <w:color w:val="202020"/>
          <w:sz w:val="20"/>
        </w:rPr>
        <w:t>A platform for storing and processing very large data sets across many machines.</w:t>
      </w:r>
    </w:p>
    <w:p>
      <w:pPr>
        <w:spacing w:after="160"/>
        <w:ind w:left="240"/>
      </w:pPr>
      <w:r>
        <w:rPr>
          <w:b/>
          <w:color w:val="595959"/>
          <w:sz w:val="19"/>
        </w:rPr>
        <w:t xml:space="preserve">Why it matters  </w:t>
      </w:r>
      <w:r>
        <w:rPr>
          <w:color w:val="202020"/>
          <w:sz w:val="20"/>
        </w:rPr>
        <w:t>BDH runs on Hadoop, so the connector reads files in directories rather than calling an API.</w:t>
      </w:r>
    </w:p>
    <w:p>
      <w:pPr>
        <w:spacing w:after="20"/>
        <w:keepNext/>
      </w:pPr>
      <w:r>
        <w:rPr>
          <w:b/>
          <w:color w:val="1F3864"/>
          <w:sz w:val="22"/>
        </w:rPr>
        <w:t>HDFS (Hadoop Distributed File System)</w:t>
      </w:r>
    </w:p>
    <w:p>
      <w:pPr>
        <w:spacing w:after="20"/>
        <w:ind w:left="240"/>
      </w:pPr>
      <w:r>
        <w:rPr>
          <w:b/>
          <w:color w:val="595959"/>
          <w:sz w:val="19"/>
        </w:rPr>
        <w:t xml:space="preserve">What it is  </w:t>
      </w:r>
      <w:r>
        <w:rPr>
          <w:color w:val="202020"/>
          <w:sz w:val="20"/>
        </w:rPr>
        <w:t>Hadoop's file system: it spreads big files across many data servers.</w:t>
      </w:r>
    </w:p>
    <w:p>
      <w:pPr>
        <w:spacing w:after="160"/>
        <w:ind w:left="240"/>
      </w:pPr>
      <w:r>
        <w:rPr>
          <w:b/>
          <w:color w:val="595959"/>
          <w:sz w:val="19"/>
        </w:rPr>
        <w:t xml:space="preserve">Why it matters  </w:t>
      </w:r>
      <w:r>
        <w:rPr>
          <w:color w:val="202020"/>
          <w:sz w:val="20"/>
        </w:rPr>
        <w:t>The connector reads the BDH data mart out of HDFS.</w:t>
      </w:r>
    </w:p>
    <w:p>
      <w:pPr>
        <w:spacing w:after="20"/>
        <w:keepNext/>
      </w:pPr>
      <w:r>
        <w:rPr>
          <w:b/>
          <w:color w:val="1F3864"/>
          <w:sz w:val="22"/>
        </w:rPr>
        <w:t>WebHDFS</w:t>
      </w:r>
    </w:p>
    <w:p>
      <w:pPr>
        <w:spacing w:after="20"/>
        <w:ind w:left="240"/>
      </w:pPr>
      <w:r>
        <w:rPr>
          <w:b/>
          <w:color w:val="595959"/>
          <w:sz w:val="19"/>
        </w:rPr>
        <w:t xml:space="preserve">What it is  </w:t>
      </w:r>
      <w:r>
        <w:rPr>
          <w:color w:val="202020"/>
          <w:sz w:val="20"/>
        </w:rPr>
        <w:t>The HTTP/REST interface to HDFS, used to list directories and stream files.</w:t>
      </w:r>
    </w:p>
    <w:p>
      <w:pPr>
        <w:spacing w:after="160"/>
        <w:ind w:left="240"/>
      </w:pPr>
      <w:r>
        <w:rPr>
          <w:b/>
          <w:color w:val="595959"/>
          <w:sz w:val="19"/>
        </w:rPr>
        <w:t xml:space="preserve">Why it matters  </w:t>
      </w:r>
      <w:r>
        <w:rPr>
          <w:color w:val="202020"/>
          <w:sz w:val="20"/>
        </w:rPr>
        <w:t>The connector's default way of reaching BDH (</w:t>
      </w:r>
      <w:r>
        <w:rPr>
          <w:rFonts w:ascii="Consolas" w:hAnsi="Consolas"/>
          <w:color w:val="202020"/>
          <w:sz w:val="19"/>
        </w:rPr>
        <w:t>HDFS_MODE=webhdfs</w:t>
      </w:r>
      <w:r>
        <w:rPr>
          <w:color w:val="202020"/>
          <w:sz w:val="20"/>
        </w:rPr>
        <w:t>).</w:t>
      </w:r>
    </w:p>
    <w:p>
      <w:pPr>
        <w:spacing w:after="20"/>
        <w:keepNext/>
      </w:pPr>
      <w:r>
        <w:rPr>
          <w:b/>
          <w:color w:val="1F3864"/>
          <w:sz w:val="22"/>
        </w:rPr>
        <w:t>Data lake vs data mart</w:t>
      </w:r>
    </w:p>
    <w:p>
      <w:pPr>
        <w:spacing w:after="20"/>
        <w:ind w:left="240"/>
      </w:pPr>
      <w:r>
        <w:rPr>
          <w:b/>
          <w:color w:val="595959"/>
          <w:sz w:val="19"/>
        </w:rPr>
        <w:t xml:space="preserve">What it is  </w:t>
      </w:r>
      <w:r>
        <w:rPr>
          <w:color w:val="202020"/>
          <w:sz w:val="20"/>
        </w:rPr>
        <w:t>A data lake is a huge central raw-data store; a data mart is a smaller, purpose-built slice of it.</w:t>
      </w:r>
    </w:p>
    <w:p>
      <w:pPr>
        <w:spacing w:after="160"/>
        <w:ind w:left="240"/>
      </w:pPr>
      <w:r>
        <w:rPr>
          <w:b/>
          <w:color w:val="595959"/>
          <w:sz w:val="19"/>
        </w:rPr>
        <w:t xml:space="preserve">Why it matters  </w:t>
      </w:r>
      <w:r>
        <w:rPr>
          <w:color w:val="202020"/>
          <w:sz w:val="20"/>
        </w:rPr>
        <w:t>BDH is the data mart holding the Salesforce slice the connector indexes.</w:t>
      </w:r>
    </w:p>
    <w:p>
      <w:pPr>
        <w:spacing w:after="20"/>
        <w:keepNext/>
      </w:pPr>
      <w:r>
        <w:rPr>
          <w:b/>
          <w:color w:val="1F3864"/>
          <w:sz w:val="22"/>
        </w:rPr>
        <w:t>BDH</w:t>
      </w:r>
    </w:p>
    <w:p>
      <w:pPr>
        <w:spacing w:after="20"/>
        <w:ind w:left="240"/>
      </w:pPr>
      <w:r>
        <w:rPr>
          <w:b/>
          <w:color w:val="595959"/>
          <w:sz w:val="19"/>
        </w:rPr>
        <w:t xml:space="preserve">What it is  </w:t>
      </w:r>
      <w:r>
        <w:rPr>
          <w:color w:val="202020"/>
          <w:sz w:val="20"/>
        </w:rPr>
        <w:t>The bank's Hadoop data mart, a nightly mirror of Salesforce.</w:t>
      </w:r>
    </w:p>
    <w:p>
      <w:pPr>
        <w:spacing w:after="160"/>
        <w:ind w:left="240"/>
      </w:pPr>
      <w:r>
        <w:rPr>
          <w:b/>
          <w:color w:val="595959"/>
          <w:sz w:val="19"/>
        </w:rPr>
        <w:t xml:space="preserve">Why it matters  </w:t>
      </w:r>
      <w:r>
        <w:rPr>
          <w:color w:val="202020"/>
          <w:sz w:val="20"/>
        </w:rPr>
        <w:t>The source system for this connector; it is read instead of live Salesforce to save API cost.</w:t>
      </w:r>
    </w:p>
    <w:p>
      <w:pPr>
        <w:spacing w:after="20"/>
        <w:keepNext/>
      </w:pPr>
      <w:r>
        <w:rPr>
          <w:b/>
          <w:color w:val="1F3864"/>
          <w:sz w:val="22"/>
        </w:rPr>
        <w:t>Hive partition</w:t>
      </w:r>
    </w:p>
    <w:p>
      <w:pPr>
        <w:spacing w:after="20"/>
        <w:ind w:left="240"/>
      </w:pPr>
      <w:r>
        <w:rPr>
          <w:b/>
          <w:color w:val="595959"/>
          <w:sz w:val="19"/>
        </w:rPr>
        <w:t xml:space="preserve">What it is  </w:t>
      </w:r>
      <w:r>
        <w:rPr>
          <w:color w:val="202020"/>
          <w:sz w:val="20"/>
        </w:rPr>
        <w:t xml:space="preserve">A directory named </w:t>
      </w:r>
      <w:r>
        <w:rPr>
          <w:rFonts w:ascii="Consolas" w:hAnsi="Consolas"/>
          <w:color w:val="202020"/>
          <w:sz w:val="19"/>
        </w:rPr>
        <w:t>key=value</w:t>
      </w:r>
      <w:r>
        <w:rPr>
          <w:color w:val="202020"/>
          <w:sz w:val="20"/>
        </w:rPr>
        <w:t xml:space="preserve"> (e.g. </w:t>
      </w:r>
      <w:r>
        <w:rPr>
          <w:rFonts w:ascii="Consolas" w:hAnsi="Consolas"/>
          <w:color w:val="202020"/>
          <w:sz w:val="19"/>
        </w:rPr>
        <w:t>dt=2026-07-18</w:t>
      </w:r>
      <w:r>
        <w:rPr>
          <w:color w:val="202020"/>
          <w:sz w:val="20"/>
        </w:rPr>
        <w:t>) that both organises data and lets whole chunks be skipped.</w:t>
      </w:r>
    </w:p>
    <w:p>
      <w:pPr>
        <w:spacing w:after="160"/>
        <w:ind w:left="240"/>
      </w:pPr>
      <w:r>
        <w:rPr>
          <w:b/>
          <w:color w:val="595959"/>
          <w:sz w:val="19"/>
        </w:rPr>
        <w:t xml:space="preserve">Why it matters  </w:t>
      </w:r>
      <w:r>
        <w:rPr>
          <w:color w:val="202020"/>
          <w:sz w:val="20"/>
        </w:rPr>
        <w:t>The connector prunes on partitions to avoid reading data it does not need.</w:t>
      </w:r>
    </w:p>
    <w:p>
      <w:pPr>
        <w:spacing w:after="20"/>
        <w:keepNext/>
      </w:pPr>
      <w:r>
        <w:rPr>
          <w:b/>
          <w:color w:val="1F3864"/>
          <w:sz w:val="22"/>
        </w:rPr>
        <w:t>dt= / region= partition key</w:t>
      </w:r>
    </w:p>
    <w:p>
      <w:pPr>
        <w:spacing w:after="20"/>
        <w:ind w:left="240"/>
      </w:pPr>
      <w:r>
        <w:rPr>
          <w:b/>
          <w:color w:val="595959"/>
          <w:sz w:val="19"/>
        </w:rPr>
        <w:t xml:space="preserve">What it is  </w:t>
      </w:r>
      <w:r>
        <w:rPr>
          <w:rFonts w:ascii="Consolas" w:hAnsi="Consolas"/>
          <w:color w:val="202020"/>
          <w:sz w:val="19"/>
        </w:rPr>
        <w:t>dt=</w:t>
      </w:r>
      <w:r>
        <w:rPr>
          <w:color w:val="202020"/>
          <w:sz w:val="20"/>
        </w:rPr>
        <w:t xml:space="preserve"> is the load-date partition (present in every layout); </w:t>
      </w:r>
      <w:r>
        <w:rPr>
          <w:rFonts w:ascii="Consolas" w:hAnsi="Consolas"/>
          <w:color w:val="202020"/>
          <w:sz w:val="19"/>
        </w:rPr>
        <w:t>region=</w:t>
      </w:r>
      <w:r>
        <w:rPr>
          <w:color w:val="202020"/>
          <w:sz w:val="20"/>
        </w:rPr>
        <w:t xml:space="preserve"> and others are extra keys.</w:t>
      </w:r>
    </w:p>
    <w:p>
      <w:pPr>
        <w:spacing w:after="160"/>
        <w:ind w:left="240"/>
      </w:pPr>
      <w:r>
        <w:rPr>
          <w:b/>
          <w:color w:val="595959"/>
          <w:sz w:val="19"/>
        </w:rPr>
        <w:t xml:space="preserve">Why it matters  </w:t>
      </w:r>
      <w:r>
        <w:rPr>
          <w:rFonts w:ascii="Consolas" w:hAnsi="Consolas"/>
          <w:color w:val="202020"/>
          <w:sz w:val="19"/>
        </w:rPr>
        <w:t>dt</w:t>
      </w:r>
      <w:r>
        <w:rPr>
          <w:color w:val="202020"/>
          <w:sz w:val="20"/>
        </w:rPr>
        <w:t xml:space="preserve"> is the highest-leverage filter — a </w:t>
      </w:r>
      <w:r>
        <w:rPr>
          <w:rFonts w:ascii="Consolas" w:hAnsi="Consolas"/>
          <w:color w:val="202020"/>
          <w:sz w:val="19"/>
        </w:rPr>
        <w:t>dt</w:t>
      </w:r>
      <w:r>
        <w:rPr>
          <w:color w:val="202020"/>
          <w:sz w:val="20"/>
        </w:rPr>
        <w:t xml:space="preserve"> window bounds a crawl regardless of table size.</w:t>
      </w:r>
    </w:p>
    <w:p>
      <w:pPr>
        <w:spacing w:after="20"/>
        <w:keepNext/>
      </w:pPr>
      <w:r>
        <w:rPr>
          <w:b/>
          <w:color w:val="1F3864"/>
          <w:sz w:val="22"/>
        </w:rPr>
        <w:t>Partition pruning</w:t>
      </w:r>
    </w:p>
    <w:p>
      <w:pPr>
        <w:spacing w:after="20"/>
        <w:ind w:left="240"/>
      </w:pPr>
      <w:r>
        <w:rPr>
          <w:b/>
          <w:color w:val="595959"/>
          <w:sz w:val="19"/>
        </w:rPr>
        <w:t xml:space="preserve">What it is  </w:t>
      </w:r>
      <w:r>
        <w:rPr>
          <w:color w:val="202020"/>
          <w:sz w:val="20"/>
        </w:rPr>
        <w:t xml:space="preserve">Skipping whole </w:t>
      </w:r>
      <w:r>
        <w:rPr>
          <w:rFonts w:ascii="Consolas" w:hAnsi="Consolas"/>
          <w:color w:val="202020"/>
          <w:sz w:val="19"/>
        </w:rPr>
        <w:t>key=value</w:t>
      </w:r>
      <w:r>
        <w:rPr>
          <w:color w:val="202020"/>
          <w:sz w:val="20"/>
        </w:rPr>
        <w:t xml:space="preserve"> directories before opening any files in them.</w:t>
      </w:r>
    </w:p>
    <w:p>
      <w:pPr>
        <w:spacing w:after="160"/>
        <w:ind w:left="240"/>
      </w:pPr>
      <w:r>
        <w:rPr>
          <w:b/>
          <w:color w:val="595959"/>
          <w:sz w:val="19"/>
        </w:rPr>
        <w:t xml:space="preserve">Why it matters  </w:t>
      </w:r>
      <w:r>
        <w:rPr>
          <w:color w:val="202020"/>
          <w:sz w:val="20"/>
        </w:rPr>
        <w:t>Stage 1 of the filter layer and its cheapest, most effective stage (zero file reads).</w:t>
      </w:r>
    </w:p>
    <w:p>
      <w:pPr>
        <w:spacing w:after="20"/>
        <w:keepNext/>
      </w:pPr>
      <w:r>
        <w:rPr>
          <w:b/>
          <w:color w:val="1F3864"/>
          <w:sz w:val="22"/>
        </w:rPr>
        <w:t>Record predicate</w:t>
      </w:r>
    </w:p>
    <w:p>
      <w:pPr>
        <w:spacing w:after="20"/>
        <w:ind w:left="240"/>
      </w:pPr>
      <w:r>
        <w:rPr>
          <w:b/>
          <w:color w:val="595959"/>
          <w:sz w:val="19"/>
        </w:rPr>
        <w:t xml:space="preserve">What it is  </w:t>
      </w:r>
      <w:r>
        <w:rPr>
          <w:color w:val="202020"/>
          <w:sz w:val="20"/>
        </w:rPr>
        <w:t>A single rule testing one field of a row (field, operator, operand).</w:t>
      </w:r>
    </w:p>
    <w:p>
      <w:pPr>
        <w:spacing w:after="160"/>
        <w:ind w:left="240"/>
      </w:pPr>
      <w:r>
        <w:rPr>
          <w:b/>
          <w:color w:val="595959"/>
          <w:sz w:val="19"/>
        </w:rPr>
        <w:t xml:space="preserve">Why it matters  </w:t>
      </w:r>
      <w:r>
        <w:rPr>
          <w:color w:val="202020"/>
          <w:sz w:val="20"/>
        </w:rPr>
        <w:t>Stage 2 of the filter layer; the 14 operators are listed in Section 6.3.</w:t>
      </w:r>
    </w:p>
    <w:p>
      <w:pPr>
        <w:spacing w:after="20"/>
        <w:keepNext/>
      </w:pPr>
      <w:r>
        <w:rPr>
          <w:b/>
          <w:color w:val="1F3864"/>
          <w:sz w:val="22"/>
        </w:rPr>
        <w:t>OR-of-AND filter group</w:t>
      </w:r>
    </w:p>
    <w:p>
      <w:pPr>
        <w:spacing w:after="20"/>
        <w:ind w:left="240"/>
      </w:pPr>
      <w:r>
        <w:rPr>
          <w:b/>
          <w:color w:val="595959"/>
          <w:sz w:val="19"/>
        </w:rPr>
        <w:t xml:space="preserve">What it is  </w:t>
      </w:r>
      <w:r>
        <w:rPr>
          <w:color w:val="202020"/>
          <w:sz w:val="20"/>
        </w:rPr>
        <w:t>Record rules grouped so a row matches if any one group's rules all pass (</w:t>
      </w:r>
      <w:r>
        <w:rPr>
          <w:rFonts w:ascii="Consolas" w:hAnsi="Consolas"/>
          <w:color w:val="202020"/>
          <w:sz w:val="19"/>
        </w:rPr>
        <w:t>anyOf</w:t>
      </w:r>
      <w:r>
        <w:rPr>
          <w:color w:val="202020"/>
          <w:sz w:val="20"/>
        </w:rPr>
        <w:t xml:space="preserve"> of </w:t>
      </w:r>
      <w:r>
        <w:rPr>
          <w:rFonts w:ascii="Consolas" w:hAnsi="Consolas"/>
          <w:color w:val="202020"/>
          <w:sz w:val="19"/>
        </w:rPr>
        <w:t>allOf</w:t>
      </w:r>
      <w:r>
        <w:rPr>
          <w:color w:val="202020"/>
          <w:sz w:val="20"/>
        </w:rPr>
        <w:t>).</w:t>
      </w:r>
    </w:p>
    <w:p>
      <w:pPr>
        <w:spacing w:after="160"/>
        <w:ind w:left="240"/>
      </w:pPr>
      <w:r>
        <w:rPr>
          <w:b/>
          <w:color w:val="595959"/>
          <w:sz w:val="19"/>
        </w:rPr>
        <w:t xml:space="preserve">Why it matters  </w:t>
      </w:r>
      <w:r>
        <w:rPr>
          <w:color w:val="202020"/>
          <w:sz w:val="20"/>
        </w:rPr>
        <w:t>Lets you express "open pipeline OR recently closed-lost" in one filter.</w:t>
      </w:r>
    </w:p>
    <w:p>
      <w:pPr>
        <w:spacing w:after="20"/>
        <w:keepNext/>
      </w:pPr>
      <w:r>
        <w:rPr>
          <w:b/>
          <w:color w:val="1F3864"/>
          <w:sz w:val="22"/>
        </w:rPr>
        <w:t>Row cap</w:t>
      </w:r>
    </w:p>
    <w:p>
      <w:pPr>
        <w:spacing w:after="20"/>
        <w:ind w:left="240"/>
      </w:pPr>
      <w:r>
        <w:rPr>
          <w:b/>
          <w:color w:val="595959"/>
          <w:sz w:val="19"/>
        </w:rPr>
        <w:t xml:space="preserve">What it is  </w:t>
      </w:r>
      <w:r>
        <w:rPr>
          <w:color w:val="202020"/>
          <w:sz w:val="20"/>
        </w:rPr>
        <w:t>A per-object limit (</w:t>
      </w:r>
      <w:r>
        <w:rPr>
          <w:rFonts w:ascii="Consolas" w:hAnsi="Consolas"/>
          <w:color w:val="202020"/>
          <w:sz w:val="19"/>
        </w:rPr>
        <w:t>BDH_MAX_RECORDS_PER_OBJECT</w:t>
      </w:r>
      <w:r>
        <w:rPr>
          <w:color w:val="202020"/>
          <w:sz w:val="20"/>
        </w:rPr>
        <w:t>, default 500,000) on rows kept per crawl.</w:t>
      </w:r>
    </w:p>
    <w:p>
      <w:pPr>
        <w:spacing w:after="160"/>
        <w:ind w:left="240"/>
      </w:pPr>
      <w:r>
        <w:rPr>
          <w:b/>
          <w:color w:val="595959"/>
          <w:sz w:val="19"/>
        </w:rPr>
        <w:t xml:space="preserve">Why it matters  </w:t>
      </w:r>
      <w:r>
        <w:rPr>
          <w:color w:val="202020"/>
          <w:sz w:val="20"/>
        </w:rPr>
        <w:t>A safety valve — hitting it marks the crawl PARTIAL and suppresses that object's deletion sweep.</w:t>
      </w:r>
    </w:p>
    <w:p>
      <w:pPr>
        <w:spacing w:after="20"/>
        <w:keepNext/>
      </w:pPr>
      <w:r>
        <w:rPr>
          <w:b/>
          <w:color w:val="1F3864"/>
          <w:sz w:val="22"/>
        </w:rPr>
        <w:t>Fail-closed scale guard</w:t>
      </w:r>
    </w:p>
    <w:p>
      <w:pPr>
        <w:spacing w:after="20"/>
        <w:ind w:left="240"/>
      </w:pPr>
      <w:r>
        <w:rPr>
          <w:b/>
          <w:color w:val="595959"/>
          <w:sz w:val="19"/>
        </w:rPr>
        <w:t xml:space="preserve">What it is  </w:t>
      </w:r>
      <w:r>
        <w:rPr>
          <w:color w:val="202020"/>
          <w:sz w:val="20"/>
        </w:rPr>
        <w:t>The rule that an object with no effective filter refuses to crawl.</w:t>
      </w:r>
    </w:p>
    <w:p>
      <w:pPr>
        <w:spacing w:after="160"/>
        <w:ind w:left="240"/>
      </w:pPr>
      <w:r>
        <w:rPr>
          <w:b/>
          <w:color w:val="595959"/>
          <w:sz w:val="19"/>
        </w:rPr>
        <w:t xml:space="preserve">Why it matters  </w:t>
      </w:r>
      <w:r>
        <w:rPr>
          <w:color w:val="202020"/>
          <w:sz w:val="20"/>
        </w:rPr>
        <w:t>Prevents an accidental 150M-row scan; the fix is to add a filter, not to override it.</w:t>
      </w:r>
    </w:p>
    <w:p>
      <w:pPr>
        <w:spacing w:after="20"/>
        <w:keepNext/>
      </w:pPr>
      <w:r>
        <w:rPr>
          <w:b/>
          <w:color w:val="1F3864"/>
          <w:sz w:val="22"/>
        </w:rPr>
        <w:t>fullScanAllowed / ALLOW_FULL_SCAN</w:t>
      </w:r>
    </w:p>
    <w:p>
      <w:pPr>
        <w:spacing w:after="20"/>
        <w:ind w:left="240"/>
      </w:pPr>
      <w:r>
        <w:rPr>
          <w:b/>
          <w:color w:val="595959"/>
          <w:sz w:val="19"/>
        </w:rPr>
        <w:t xml:space="preserve">What it is  </w:t>
      </w:r>
      <w:r>
        <w:rPr>
          <w:color w:val="202020"/>
          <w:sz w:val="20"/>
        </w:rPr>
        <w:t>The two ways to exempt an object from the guard: a per-object list (preferred) or a global switch (avoid).</w:t>
      </w:r>
    </w:p>
    <w:p>
      <w:pPr>
        <w:spacing w:after="160"/>
        <w:ind w:left="240"/>
      </w:pPr>
      <w:r>
        <w:rPr>
          <w:b/>
          <w:color w:val="595959"/>
          <w:sz w:val="19"/>
        </w:rPr>
        <w:t xml:space="preserve">Why it matters  </w:t>
      </w:r>
      <w:r>
        <w:rPr>
          <w:color w:val="202020"/>
          <w:sz w:val="20"/>
        </w:rPr>
        <w:t>Only for small, bounded reference objects; adding the global switch is security-relevant.</w:t>
      </w:r>
    </w:p>
    <w:p>
      <w:pPr>
        <w:spacing w:after="20"/>
        <w:keepNext/>
      </w:pPr>
      <w:r>
        <w:rPr>
          <w:b/>
          <w:color w:val="1F3864"/>
          <w:sz w:val="22"/>
        </w:rPr>
        <w:t>dt-watermark / BDH_LAG_HOURS</w:t>
      </w:r>
    </w:p>
    <w:p>
      <w:pPr>
        <w:spacing w:after="20"/>
        <w:ind w:left="240"/>
      </w:pPr>
      <w:r>
        <w:rPr>
          <w:b/>
          <w:color w:val="595959"/>
          <w:sz w:val="19"/>
        </w:rPr>
        <w:t xml:space="preserve">What it is  </w:t>
      </w:r>
      <w:r>
        <w:rPr>
          <w:color w:val="202020"/>
          <w:sz w:val="20"/>
        </w:rPr>
        <w:t>The watermark is the last-sync time; incremental crawls read partitions newer than (watermark − BDH_LAG_HOURS, default 24 h).</w:t>
      </w:r>
    </w:p>
    <w:p>
      <w:pPr>
        <w:spacing w:after="160"/>
        <w:ind w:left="240"/>
      </w:pPr>
      <w:r>
        <w:rPr>
          <w:b/>
          <w:color w:val="595959"/>
          <w:sz w:val="19"/>
        </w:rPr>
        <w:t xml:space="preserve">Why it matters  </w:t>
      </w:r>
      <w:r>
        <w:rPr>
          <w:color w:val="202020"/>
          <w:sz w:val="20"/>
        </w:rPr>
        <w:t>The overlap window ensures a late nightly load is never missed; it is also why data can be ~24 h old.</w:t>
      </w:r>
    </w:p>
    <w:p>
      <w:pPr>
        <w:spacing w:after="20"/>
        <w:keepNext/>
      </w:pPr>
      <w:r>
        <w:rPr>
          <w:b/>
          <w:color w:val="1F3864"/>
          <w:sz w:val="22"/>
        </w:rPr>
        <w:t>Delegation token / SPNEGO</w:t>
      </w:r>
    </w:p>
    <w:p>
      <w:pPr>
        <w:spacing w:after="20"/>
        <w:ind w:left="240"/>
      </w:pPr>
      <w:r>
        <w:rPr>
          <w:b/>
          <w:color w:val="595959"/>
          <w:sz w:val="19"/>
        </w:rPr>
        <w:t xml:space="preserve">What it is  </w:t>
      </w:r>
      <w:r>
        <w:rPr>
          <w:color w:val="202020"/>
          <w:sz w:val="20"/>
        </w:rPr>
        <w:t>A delegation token is a time-limited HDFS access token; SPNEGO is Kerberos-over-HTTP that hardened clusters may require.</w:t>
      </w:r>
    </w:p>
    <w:p>
      <w:pPr>
        <w:spacing w:after="160"/>
        <w:ind w:left="240"/>
      </w:pPr>
      <w:r>
        <w:rPr>
          <w:b/>
          <w:color w:val="595959"/>
          <w:sz w:val="19"/>
        </w:rPr>
        <w:t xml:space="preserve">Why it matters  </w:t>
      </w:r>
      <w:r>
        <w:rPr>
          <w:color w:val="202020"/>
          <w:sz w:val="20"/>
        </w:rPr>
        <w:t>The token is never logged; SPNEGO is out of scope — front a kerberized cluster with a Knox gateway.</w:t>
      </w:r>
    </w:p>
    <w:p>
      <w:pPr>
        <w:spacing w:after="20"/>
        <w:keepNext/>
      </w:pPr>
      <w:r>
        <w:rPr>
          <w:b/>
          <w:color w:val="1F3864"/>
          <w:sz w:val="22"/>
        </w:rPr>
        <w:t>owner / group / public ACL</w:t>
      </w:r>
    </w:p>
    <w:p>
      <w:pPr>
        <w:spacing w:after="20"/>
        <w:ind w:left="240"/>
      </w:pPr>
      <w:r>
        <w:rPr>
          <w:b/>
          <w:color w:val="595959"/>
          <w:sz w:val="19"/>
        </w:rPr>
        <w:t xml:space="preserve">What it is  </w:t>
      </w:r>
      <w:r>
        <w:rPr>
          <w:color w:val="202020"/>
          <w:sz w:val="20"/>
        </w:rPr>
        <w:t>The three coarse permission modes this connector supports (</w:t>
      </w:r>
      <w:r>
        <w:rPr>
          <w:rFonts w:ascii="Consolas" w:hAnsi="Consolas"/>
          <w:color w:val="202020"/>
          <w:sz w:val="19"/>
        </w:rPr>
        <w:t>aclMode</w:t>
      </w:r>
      <w:r>
        <w:rPr>
          <w:color w:val="202020"/>
          <w:sz w:val="20"/>
        </w:rPr>
        <w:t>), since BDH lacks Salesforce sharing tables.</w:t>
      </w:r>
    </w:p>
    <w:p>
      <w:pPr>
        <w:spacing w:after="160"/>
        <w:ind w:left="240"/>
      </w:pPr>
      <w:r>
        <w:rPr>
          <w:b/>
          <w:color w:val="595959"/>
          <w:sz w:val="19"/>
        </w:rPr>
        <w:t xml:space="preserve">Why it matters  </w:t>
      </w:r>
      <w:r>
        <w:rPr>
          <w:color w:val="202020"/>
          <w:sz w:val="20"/>
        </w:rPr>
        <w:t>Coarser than live Salesforce sharing — choose the mode consciously per object (Section 5.5).</w:t>
      </w:r>
    </w:p>
    <w:p>
      <w:pPr>
        <w:spacing w:after="20"/>
        <w:keepNext/>
      </w:pPr>
      <w:r>
        <w:rPr>
          <w:b/>
          <w:color w:val="1F3864"/>
          <w:sz w:val="22"/>
        </w:rPr>
        <w:t>Dead-letter redaction</w:t>
      </w:r>
    </w:p>
    <w:p>
      <w:pPr>
        <w:spacing w:after="20"/>
        <w:ind w:left="240"/>
      </w:pPr>
      <w:r>
        <w:rPr>
          <w:b/>
          <w:color w:val="595959"/>
          <w:sz w:val="19"/>
        </w:rPr>
        <w:t xml:space="preserve">What it is  </w:t>
      </w:r>
      <w:r>
        <w:rPr>
          <w:color w:val="202020"/>
          <w:sz w:val="20"/>
        </w:rPr>
        <w:t>Writing only non-sensitive metadata — record id, object type, error, property names, sizes and SHA-256 hashes — to the dead-letter queue instead of the full record values (</w:t>
      </w:r>
      <w:r>
        <w:rPr>
          <w:rFonts w:ascii="Consolas" w:hAnsi="Consolas"/>
          <w:color w:val="202020"/>
          <w:sz w:val="19"/>
        </w:rPr>
        <w:t>DEADLETTER_PAYLOAD_MODE=redacted</w:t>
      </w:r>
      <w:r>
        <w:rPr>
          <w:color w:val="202020"/>
          <w:sz w:val="20"/>
        </w:rPr>
        <w:t>).</w:t>
      </w:r>
    </w:p>
    <w:p>
      <w:pPr>
        <w:spacing w:after="160"/>
        <w:ind w:left="240"/>
      </w:pPr>
      <w:r>
        <w:rPr>
          <w:b/>
          <w:color w:val="595959"/>
          <w:sz w:val="19"/>
        </w:rPr>
        <w:t xml:space="preserve">Why it matters  </w:t>
      </w:r>
      <w:r>
        <w:rPr>
          <w:color w:val="202020"/>
          <w:sz w:val="20"/>
        </w:rPr>
        <w:t xml:space="preserve">The default as of this release, so the failed-records queue never becomes a second, less-protected copy of business data. </w:t>
      </w:r>
      <w:r>
        <w:rPr>
          <w:rFonts w:ascii="Consolas" w:hAnsi="Consolas"/>
          <w:color w:val="202020"/>
          <w:sz w:val="19"/>
        </w:rPr>
        <w:t>retry-failed</w:t>
      </w:r>
      <w:r>
        <w:rPr>
          <w:color w:val="202020"/>
          <w:sz w:val="20"/>
        </w:rPr>
        <w:t xml:space="preserve"> is unaffected because it re-fetches each record from BDH by id; </w:t>
      </w:r>
      <w:r>
        <w:rPr>
          <w:rFonts w:ascii="Consolas" w:hAnsi="Consolas"/>
          <w:color w:val="202020"/>
          <w:sz w:val="19"/>
        </w:rPr>
        <w:t>full</w:t>
      </w:r>
      <w:r>
        <w:rPr>
          <w:color w:val="202020"/>
          <w:sz w:val="20"/>
        </w:rPr>
        <w:t xml:space="preserve"> is an explicit opt-in and an unrecognised value fails fast at config load.</w:t>
      </w:r>
    </w:p>
    <w:p>
      <w:pPr>
        <w:spacing w:after="20"/>
        <w:keepNext/>
      </w:pPr>
      <w:r>
        <w:rPr>
          <w:b/>
          <w:color w:val="1F3864"/>
          <w:sz w:val="22"/>
        </w:rPr>
        <w:t>Classification enforcement (advisory tag → ACL)</w:t>
      </w:r>
    </w:p>
    <w:p>
      <w:pPr>
        <w:spacing w:after="20"/>
        <w:ind w:left="240"/>
      </w:pPr>
      <w:r>
        <w:rPr>
          <w:b/>
          <w:color w:val="595959"/>
          <w:sz w:val="19"/>
        </w:rPr>
        <w:t xml:space="preserve">What it is  </w:t>
      </w:r>
      <w:r>
        <w:rPr>
          <w:color w:val="202020"/>
          <w:sz w:val="20"/>
        </w:rPr>
        <w:t xml:space="preserve">Turning the advisory </w:t>
      </w:r>
      <w:r>
        <w:rPr>
          <w:rFonts w:ascii="Consolas" w:hAnsi="Consolas"/>
          <w:color w:val="202020"/>
          <w:sz w:val="19"/>
        </w:rPr>
        <w:t>SensitivityLabel</w:t>
      </w:r>
      <w:r>
        <w:rPr>
          <w:color w:val="202020"/>
          <w:sz w:val="20"/>
        </w:rPr>
        <w:t xml:space="preserve"> tag into a real access boundary: with </w:t>
      </w:r>
      <w:r>
        <w:rPr>
          <w:rFonts w:ascii="Consolas" w:hAnsi="Consolas"/>
          <w:color w:val="202020"/>
          <w:sz w:val="19"/>
        </w:rPr>
        <w:t>CLASSIFICATION_ENFORCE_ACL=true</w:t>
      </w:r>
      <w:r>
        <w:rPr>
          <w:color w:val="202020"/>
          <w:sz w:val="20"/>
        </w:rPr>
        <w:t xml:space="preserve">, a </w:t>
      </w:r>
      <w:r>
        <w:rPr>
          <w:rFonts w:ascii="Consolas" w:hAnsi="Consolas"/>
          <w:color w:val="202020"/>
          <w:sz w:val="19"/>
        </w:rPr>
        <w:t>Restricted</w:t>
      </w:r>
      <w:r>
        <w:rPr>
          <w:color w:val="202020"/>
          <w:sz w:val="20"/>
        </w:rPr>
        <w:t xml:space="preserve"> item's ACL is replaced with a single grant to </w:t>
      </w:r>
      <w:r>
        <w:rPr>
          <w:rFonts w:ascii="Consolas" w:hAnsi="Consolas"/>
          <w:color w:val="202020"/>
          <w:sz w:val="19"/>
        </w:rPr>
        <w:t>CLASSIFICATION_RESTRICTED_GROUP_ID</w:t>
      </w:r>
      <w:r>
        <w:rPr>
          <w:color w:val="202020"/>
          <w:sz w:val="20"/>
        </w:rPr>
        <w:t>.</w:t>
      </w:r>
    </w:p>
    <w:p>
      <w:pPr>
        <w:spacing w:after="160"/>
        <w:ind w:left="240"/>
      </w:pPr>
      <w:r>
        <w:rPr>
          <w:b/>
          <w:color w:val="595959"/>
          <w:sz w:val="19"/>
        </w:rPr>
        <w:t xml:space="preserve">Why it matters  </w:t>
      </w:r>
      <w:r>
        <w:rPr>
          <w:color w:val="202020"/>
          <w:sz w:val="20"/>
        </w:rPr>
        <w:t>The tag itself is advisory only — Purview-aligned in naming, NOT a Purview-enforced label (no encryption or DLP). Enforcement is the opt-in that actually gates retrieval; config load fails fast if the flag is on without a group, and each restriction is recorded in the decision ledger.</w:t>
      </w:r>
    </w:p>
    <w:p>
      <w:pPr>
        <w:spacing w:after="20"/>
        <w:keepNext/>
      </w:pPr>
      <w:r>
        <w:rPr>
          <w:b/>
          <w:color w:val="1F3864"/>
          <w:sz w:val="22"/>
        </w:rPr>
        <w:t>Stale-index item TTL / expirationDateTime</w:t>
      </w:r>
    </w:p>
    <w:p>
      <w:pPr>
        <w:spacing w:after="20"/>
        <w:ind w:left="240"/>
      </w:pPr>
      <w:r>
        <w:rPr>
          <w:b/>
          <w:color w:val="595959"/>
          <w:sz w:val="19"/>
        </w:rPr>
        <w:t xml:space="preserve">What it is  </w:t>
      </w:r>
      <w:r>
        <w:rPr>
          <w:color w:val="202020"/>
          <w:sz w:val="20"/>
        </w:rPr>
        <w:t>An optional expiry (</w:t>
      </w:r>
      <w:r>
        <w:rPr>
          <w:rFonts w:ascii="Consolas" w:hAnsi="Consolas"/>
          <w:color w:val="202020"/>
          <w:sz w:val="19"/>
        </w:rPr>
        <w:t>GRAPH_ITEM_TTL_DAYS</w:t>
      </w:r>
      <w:r>
        <w:rPr>
          <w:color w:val="202020"/>
          <w:sz w:val="20"/>
        </w:rPr>
        <w:t xml:space="preserve">) that stamps every ingested item with a top-level </w:t>
      </w:r>
      <w:r>
        <w:rPr>
          <w:rFonts w:ascii="Consolas" w:hAnsi="Consolas"/>
          <w:color w:val="202020"/>
          <w:sz w:val="19"/>
        </w:rPr>
        <w:t>expirationDateTime</w:t>
      </w:r>
      <w:r>
        <w:rPr>
          <w:color w:val="202020"/>
          <w:sz w:val="20"/>
        </w:rPr>
        <w:t xml:space="preserve"> = now + TTL; a healthy connector re-stamps it on every crawl.</w:t>
      </w:r>
    </w:p>
    <w:p>
      <w:pPr>
        <w:spacing w:after="160"/>
        <w:ind w:left="240"/>
      </w:pPr>
      <w:r>
        <w:rPr>
          <w:b/>
          <w:color w:val="595959"/>
          <w:sz w:val="19"/>
        </w:rPr>
        <w:t xml:space="preserve">Why it matters  </w:t>
      </w:r>
      <w:r>
        <w:rPr>
          <w:color w:val="202020"/>
          <w:sz w:val="20"/>
        </w:rPr>
        <w:t>Defence-in-depth: if crawling stops after an outage the index self-expires instead of serving stale data forever. Default 0 = no expiry; set it comfortably above your full-crawl interval so healthy items never expire.</w:t>
      </w:r>
    </w:p>
    <w:p>
      <w:pPr>
        <w:spacing w:after="20"/>
        <w:keepNext/>
      </w:pPr>
      <w:r>
        <w:rPr>
          <w:b/>
          <w:color w:val="1F3864"/>
          <w:sz w:val="22"/>
        </w:rPr>
        <w:t>Decision ledger</w:t>
      </w:r>
    </w:p>
    <w:p>
      <w:pPr>
        <w:spacing w:after="20"/>
        <w:ind w:left="240"/>
      </w:pPr>
      <w:r>
        <w:rPr>
          <w:b/>
          <w:color w:val="595959"/>
          <w:sz w:val="19"/>
        </w:rPr>
        <w:t xml:space="preserve">What it is  </w:t>
      </w:r>
      <w:r>
        <w:rPr>
          <w:color w:val="202020"/>
          <w:sz w:val="20"/>
        </w:rPr>
        <w:t>An append-only, SHA-256 hash-chained log of access decisions — item EXCLUSIONS and ACL_RESTRICTIONS — recording ids and reasons only, never content or PII (</w:t>
      </w:r>
      <w:r>
        <w:rPr>
          <w:rFonts w:ascii="Consolas" w:hAnsi="Consolas"/>
          <w:color w:val="202020"/>
          <w:sz w:val="19"/>
        </w:rPr>
        <w:t>logs/decisions_&lt;CONNECTOR_ID&gt;.jsonl</w:t>
      </w:r>
      <w:r>
        <w:rPr>
          <w:color w:val="202020"/>
          <w:sz w:val="20"/>
        </w:rPr>
        <w:t>).</w:t>
      </w:r>
    </w:p>
    <w:p>
      <w:pPr>
        <w:spacing w:after="160"/>
        <w:ind w:left="240"/>
      </w:pPr>
      <w:r>
        <w:rPr>
          <w:b/>
          <w:color w:val="595959"/>
          <w:sz w:val="19"/>
        </w:rPr>
        <w:t xml:space="preserve">Why it matters  </w:t>
      </w:r>
      <w:r>
        <w:rPr>
          <w:color w:val="202020"/>
          <w:sz w:val="20"/>
        </w:rPr>
        <w:t>ON by default (</w:t>
      </w:r>
      <w:r>
        <w:rPr>
          <w:rFonts w:ascii="Consolas" w:hAnsi="Consolas"/>
          <w:color w:val="202020"/>
          <w:sz w:val="19"/>
        </w:rPr>
        <w:t>DECISION_LEDGER=true</w:t>
      </w:r>
      <w:r>
        <w:rPr>
          <w:color w:val="202020"/>
          <w:sz w:val="20"/>
        </w:rPr>
        <w:t>) for this connector. A Verify step detects any later edit, deletion or reorder, so who-could-see-what decisions are tamper-evident; protect the file with the same owner-only ACLs as the rest of the state.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95959"/>
        <w:sz w:val="16"/>
      </w:rPr>
      <w:t>Confidential — for internal deployment, monitoring &amp; support use</w:t>
    </w:r>
    <w:r>
      <w:rPr>
        <w:color w:val="595959"/>
        <w:sz w:val="16"/>
      </w:rPr>
      <w:tab/>
    </w:r>
    <w:r>
      <w:rPr>
        <w:color w:val="595959"/>
        <w:sz w:val="16"/>
      </w:rPr>
      <w:t xml:space="preserve">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2E5496"/>
      </w:pBdr>
    </w:pPr>
    <w:r>
      <w:rPr>
        <w:color w:val="595959"/>
        <w:sz w:val="16"/>
      </w:rPr>
      <w:t>Hadoop BDH Connector — Operator's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