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Consolas" w:hAnsi="Consolas"/>
          <w:color w:val="595959"/>
          <w:sz w:val="20"/>
        </w:rPr>
        <w:t>CONN-DOC-REL-01</w:t>
      </w:r>
    </w:p>
    <w:p>
      <w:pPr>
        <w:jc w:val="left"/>
        <w:pBdr>
          <w:bottom w:val="single" w:sz="18" w:space="4" w:color="2E5496"/>
        </w:pBdr>
      </w:pPr>
      <w:r>
        <w:rPr>
          <w:b/>
          <w:color w:val="1F3864"/>
          <w:sz w:val="60"/>
        </w:rPr>
        <w:t>Release Notes — Bank-Grade Hardening Programme</w:t>
      </w:r>
    </w:p>
    <w:p>
      <w:pPr>
        <w:spacing w:after="480"/>
      </w:pPr>
      <w:r>
        <w:rPr>
          <w:color w:val="2E5496"/>
          <w:sz w:val="28"/>
        </w:rPr>
        <w:t>Adversarial hardening rounds 7–10 and the two follow-on fixes — commits d665d00 and fdd18d5, since the previous edition at commit 84f198f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6DEEC"/>
          <w:left w:val="single" w:sz="4" w:space="0" w:color="D6DEEC"/>
          <w:bottom w:val="single" w:sz="4" w:space="0" w:color="D6DEEC"/>
          <w:right w:val="single" w:sz="4" w:space="0" w:color="D6DEEC"/>
          <w:insideH w:val="single" w:sz="4" w:space="0" w:color="D6DEEC"/>
          <w:insideV w:val="single" w:sz="4" w:space="0" w:color="D6DEEC"/>
        </w:tblBorders>
      </w:tblPr>
      <w:tblGrid>
        <w:gridCol w:w="2600"/>
        <w:gridCol w:w="6760"/>
      </w:tblGrid>
      <w:tr>
        <w:tc>
          <w:tcPr>
            <w:tcW w:type="dxa" w:w="2600"/>
            <w:shd w:val="clear" w:color="auto" w:fill="EEF2F8"/>
          </w:tcPr>
          <w:p>
            <w:r>
              <w:rPr>
                <w:b/>
                <w:color w:val="1F3864"/>
                <w:sz w:val="20"/>
              </w:rPr>
              <w:t>Document owner</w:t>
            </w:r>
          </w:p>
        </w:tc>
        <w:tc>
          <w:tcPr>
            <w:tcW w:type="dxa" w:w="6760"/>
          </w:tcPr>
          <w:p>
            <w:r>
              <w:rPr>
                <w:color w:val="202020"/>
                <w:sz w:val="20"/>
              </w:rPr>
              <w:t>Lead Architect &amp; Platform Owner</w:t>
            </w:r>
          </w:p>
        </w:tc>
      </w:tr>
      <w:tr>
        <w:tc>
          <w:tcPr>
            <w:tcW w:type="dxa" w:w="2600"/>
            <w:shd w:val="clear" w:color="auto" w:fill="EEF2F8"/>
          </w:tcPr>
          <w:p>
            <w:r>
              <w:rPr>
                <w:b/>
                <w:color w:val="1F3864"/>
                <w:sz w:val="20"/>
              </w:rPr>
              <w:t>Covers</w:t>
            </w:r>
          </w:p>
        </w:tc>
        <w:tc>
          <w:tcPr>
            <w:tcW w:type="dxa" w:w="6760"/>
          </w:tcPr>
          <w:p>
            <w:r>
              <w:rPr>
                <w:color w:val="202020"/>
                <w:sz w:val="20"/>
              </w:rPr>
              <w:t>Adversarial rounds 7–10 + two follow-on fixes (commits d665d00, fdd18d5), since 84f198f</w:t>
            </w:r>
          </w:p>
        </w:tc>
      </w:tr>
      <w:tr>
        <w:tc>
          <w:tcPr>
            <w:tcW w:type="dxa" w:w="2600"/>
            <w:shd w:val="clear" w:color="auto" w:fill="EEF2F8"/>
          </w:tcPr>
          <w:p>
            <w:r>
              <w:rPr>
                <w:b/>
                <w:color w:val="1F3864"/>
                <w:sz w:val="20"/>
              </w:rPr>
              <w:t>Release status</w:t>
            </w:r>
          </w:p>
        </w:tc>
        <w:tc>
          <w:tcPr>
            <w:tcW w:type="dxa" w:w="6760"/>
          </w:tcPr>
          <w:p>
            <w:r>
              <w:rPr>
                <w:color w:val="202020"/>
                <w:sz w:val="20"/>
              </w:rPr>
              <w:t>RELEASED — the v1.0 blockers are closed</w:t>
            </w:r>
          </w:p>
        </w:tc>
      </w:tr>
      <w:tr>
        <w:tc>
          <w:tcPr>
            <w:tcW w:type="dxa" w:w="2600"/>
            <w:shd w:val="clear" w:color="auto" w:fill="EEF2F8"/>
          </w:tcPr>
          <w:p>
            <w:r>
              <w:rPr>
                <w:b/>
                <w:color w:val="1F3864"/>
                <w:sz w:val="20"/>
              </w:rPr>
              <w:t>Code status</w:t>
            </w:r>
          </w:p>
        </w:tc>
        <w:tc>
          <w:tcPr>
            <w:tcW w:type="dxa" w:w="6760"/>
          </w:tcPr>
          <w:p>
            <w:r>
              <w:rPr>
                <w:color w:val="202020"/>
                <w:sz w:val="20"/>
              </w:rPr>
              <w:t>Committed: YES · Pushed: YES (d665d00, fdd18d5)</w:t>
            </w:r>
          </w:p>
        </w:tc>
      </w:tr>
      <w:tr>
        <w:tc>
          <w:tcPr>
            <w:tcW w:type="dxa" w:w="2600"/>
            <w:shd w:val="clear" w:color="auto" w:fill="EEF2F8"/>
          </w:tcPr>
          <w:p>
            <w:r>
              <w:rPr>
                <w:b/>
                <w:color w:val="1F3864"/>
                <w:sz w:val="20"/>
              </w:rPr>
              <w:t>Test position</w:t>
            </w:r>
          </w:p>
        </w:tc>
        <w:tc>
          <w:tcPr>
            <w:tcW w:type="dxa" w:w="6760"/>
          </w:tcPr>
          <w:p>
            <w:r>
              <w:rPr>
                <w:color w:val="202020"/>
                <w:sz w:val="20"/>
              </w:rPr>
              <w:t>3,389 → 4,824 automated tests, 0 failures, 0 build warnings — independently re-measured 20 July 2026</w:t>
            </w:r>
          </w:p>
        </w:tc>
      </w:tr>
      <w:tr>
        <w:tc>
          <w:tcPr>
            <w:tcW w:type="dxa" w:w="2600"/>
            <w:shd w:val="clear" w:color="auto" w:fill="EEF2F8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760"/>
          </w:tcPr>
          <w:p>
            <w:r>
              <w:rPr>
                <w:color w:val="202020"/>
                <w:sz w:val="20"/>
              </w:rPr>
              <w:t>2.0</w:t>
            </w:r>
          </w:p>
        </w:tc>
      </w:tr>
      <w:tr>
        <w:tc>
          <w:tcPr>
            <w:tcW w:type="dxa" w:w="2600"/>
            <w:shd w:val="clear" w:color="auto" w:fill="EEF2F8"/>
          </w:tcPr>
          <w:p>
            <w:r>
              <w:rPr>
                <w:b/>
                <w:color w:val="1F3864"/>
                <w:sz w:val="20"/>
              </w:rPr>
              <w:t>Date</w:t>
            </w:r>
          </w:p>
        </w:tc>
        <w:tc>
          <w:tcPr>
            <w:tcW w:type="dxa" w:w="6760"/>
          </w:tcPr>
          <w:p>
            <w:r>
              <w:rPr>
                <w:color w:val="202020"/>
                <w:sz w:val="20"/>
              </w:rPr>
              <w:t>20 July 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BEDD6"/>
            <w:tcBorders>
              <w:top w:val="single" w:sz="4" w:space="0" w:color="C77700"/>
              <w:left w:val="single" w:sz="24" w:space="0" w:color="C77700"/>
              <w:bottom w:val="single" w:sz="4" w:space="0" w:color="C77700"/>
              <w:right w:val="single" w:sz="4" w:space="0" w:color="C77700"/>
            </w:tcBorders>
          </w:tcPr>
          <w:p>
            <w:r>
              <w:rPr>
                <w:b/>
                <w:color w:val="8A5200"/>
              </w:rPr>
              <w:t xml:space="preserve">Confidential — internal use. </w:t>
            </w:r>
            <w:r>
              <w:rPr>
                <w:color w:val="202020"/>
                <w:sz w:val="19"/>
              </w:rPr>
              <w:t>This document describes internal systems and their operation. Handle per your organisation's information-classification policy. Do not distribute outside the teams responsible for deploying, monitoring, or supporting this connector.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after="120"/>
      </w:pPr>
      <w:r>
        <w:rPr>
          <w:b/>
          <w:color w:val="1F3864"/>
          <w:sz w:val="32"/>
        </w:rPr>
        <w:t>Contents</w:t>
      </w:r>
    </w:p>
    <w:p>
      <w:r>
        <w:rPr>
          <w:color w:val="595959"/>
        </w:rPr>
        <w:fldChar w:fldCharType="begin"/>
      </w:r>
      <w:r>
        <w:rPr>
          <w:color w:val="595959"/>
        </w:rPr>
        <w:instrText xml:space="preserve"> TOC \o "1-3" \h \z \u </w:instrText>
      </w:r>
      <w:r>
        <w:rPr>
          <w:color w:val="595959"/>
        </w:rPr>
        <w:fldChar w:fldCharType="separate"/>
      </w:r>
      <w:r>
        <w:rPr>
          <w:color w:val="595959"/>
        </w:rPr>
        <w:t>Right-click here and choose “Update Field” to build the table of contents.</w:t>
      </w:r>
      <w:r>
        <w:rPr>
          <w:color w:val="595959"/>
        </w:rPr>
        <w:fldChar w:fldCharType="end"/>
      </w:r>
    </w:p>
    <w:p>
      <w:r>
        <w:br w:type="page"/>
      </w:r>
    </w:p>
    <w:p>
      <w:pPr>
        <w:pStyle w:val="Heading1"/>
      </w:pPr>
      <w:r>
        <w:rPr>
          <w:color w:val="1F3864"/>
        </w:rPr>
        <w:t>1. Executive summary — read this first</w:t>
      </w:r>
    </w:p>
    <w:p>
      <w:pPr>
        <w:spacing w:after="200"/>
      </w:pPr>
      <w:r>
        <w:rPr>
          <w:color w:val="595959"/>
          <w:sz w:val="23"/>
        </w:rPr>
        <w:t xml:space="preserve">The previous edition of this document (v1.0, 19 July) described a release that was BLOCKED: adversarial verification had proven exploitable defects in all five connectors while every test was green. This edition describes the four adversarial hardening rounds (7–10) and two follow-on fixes that closed those defects, shipped as commits </w:t>
      </w:r>
      <w:r>
        <w:rPr>
          <w:rFonts w:ascii="Consolas" w:hAnsi="Consolas"/>
          <w:color w:val="595959"/>
          <w:sz w:val="19"/>
        </w:rPr>
        <w:t>d665d00</w:t>
      </w:r>
      <w:r>
        <w:rPr>
          <w:color w:val="595959"/>
          <w:sz w:val="23"/>
        </w:rPr>
        <w:t xml:space="preserve"> and </w:t>
      </w:r>
      <w:r>
        <w:rPr>
          <w:rFonts w:ascii="Consolas" w:hAnsi="Consolas"/>
          <w:color w:val="595959"/>
          <w:sz w:val="19"/>
        </w:rPr>
        <w:t>fdd18d5</w:t>
      </w:r>
      <w:r>
        <w:rPr>
          <w:color w:val="595959"/>
          <w:sz w:val="23"/>
        </w:rPr>
        <w:t>. Every connector's final round carries an independent hostile verdict of HOLDS.</w:t>
      </w:r>
    </w:p>
    <w:p>
      <w:pPr>
        <w:pStyle w:val="Heading2"/>
      </w:pPr>
      <w:r>
        <w:rPr>
          <w:color w:val="2E5496"/>
        </w:rPr>
        <w:t>1.1 What an operator must know</w:t>
      </w:r>
    </w:p>
    <w:p>
      <w:pPr>
        <w:pStyle w:val="ListBullet"/>
        <w:spacing w:after="40"/>
      </w:pPr>
      <w:r>
        <w:rPr>
          <w:b/>
          <w:color w:val="202020"/>
        </w:rPr>
        <w:t>The fleet grew from 3,389 to 4,824 tests</w:t>
      </w:r>
      <w:r>
        <w:rPr>
          <w:color w:val="202020"/>
        </w:rPr>
        <w:t xml:space="preserve"> (+1,435), all green, 0 build warnings. Every count was independently re-measured on a quiet machine on 20 July — not taken from agent reports.</w:t>
      </w:r>
    </w:p>
    <w:p>
      <w:pPr>
        <w:pStyle w:val="ListBullet"/>
        <w:spacing w:after="40"/>
      </w:pPr>
      <w:r>
        <w:rPr>
          <w:b/>
          <w:color w:val="202020"/>
        </w:rPr>
        <w:t xml:space="preserve">Salesforce: the </w:t>
      </w:r>
      <w:r>
        <w:rPr>
          <w:rFonts w:ascii="Consolas" w:hAnsi="Consolas"/>
          <w:b/>
          <w:color w:val="202020"/>
          <w:sz w:val="19"/>
        </w:rPr>
        <w:t>CompoundFields</w:t>
      </w:r>
      <w:r>
        <w:rPr>
          <w:b/>
          <w:color w:val="202020"/>
        </w:rPr>
        <w:t xml:space="preserve"> feature was DELETED, not fixed.</w:t>
      </w:r>
      <w:r>
        <w:rPr>
          <w:color w:val="202020"/>
        </w:rPr>
        <w:t xml:space="preserve"> It inferred compound membership from field *names*; on a Person-Accounts org, restricting </w:t>
      </w:r>
      <w:r>
        <w:rPr>
          <w:rFonts w:ascii="Consolas" w:hAnsi="Consolas"/>
          <w:color w:val="202020"/>
          <w:sz w:val="19"/>
        </w:rPr>
        <w:t>Account.Salutation</w:t>
      </w:r>
      <w:r>
        <w:rPr>
          <w:color w:val="202020"/>
        </w:rPr>
        <w:t xml:space="preserve"> dropped </w:t>
      </w:r>
      <w:r>
        <w:rPr>
          <w:rFonts w:ascii="Consolas" w:hAnsi="Consolas"/>
          <w:color w:val="202020"/>
          <w:sz w:val="19"/>
        </w:rPr>
        <w:t>Account.Name</w:t>
      </w:r>
      <w:r>
        <w:rPr>
          <w:color w:val="202020"/>
        </w:rPr>
        <w:t xml:space="preserve"> for </w:t>
      </w:r>
      <w:r>
        <w:rPr>
          <w:b/>
          <w:color w:val="202020"/>
        </w:rPr>
        <w:t>every account</w:t>
      </w:r>
      <w:r>
        <w:rPr>
          <w:color w:val="202020"/>
        </w:rPr>
        <w:t xml:space="preserve"> — and the feature leaked anyway. Address compounds are no longer queried at all: components are selected individually, so each carries real </w:t>
      </w:r>
      <w:r>
        <w:rPr>
          <w:rFonts w:ascii="Consolas" w:hAnsi="Consolas"/>
          <w:color w:val="202020"/>
          <w:sz w:val="19"/>
        </w:rPr>
        <w:t>FieldPermissions</w:t>
      </w:r>
      <w:r>
        <w:rPr>
          <w:color w:val="202020"/>
        </w:rPr>
        <w:t xml:space="preserve"> evidence and is gated by literal name. Anything still compound-shaped is indexed by no route (fail-closed).</w:t>
      </w:r>
    </w:p>
    <w:p>
      <w:pPr>
        <w:pStyle w:val="ListBullet"/>
        <w:spacing w:after="40"/>
      </w:pPr>
      <w:r>
        <w:rPr>
          <w:b/>
          <w:color w:val="202020"/>
        </w:rPr>
        <w:t>Altrata: a round-8 control was withdrawn because it made DSAR erasure worse</w:t>
      </w:r>
      <w:r>
        <w:rPr>
          <w:color w:val="202020"/>
        </w:rPr>
        <w:t xml:space="preserve">, then replaced in </w:t>
      </w:r>
      <w:r>
        <w:rPr>
          <w:rFonts w:ascii="Consolas" w:hAnsi="Consolas"/>
          <w:color w:val="202020"/>
          <w:sz w:val="19"/>
        </w:rPr>
        <w:t>fdd18d5</w:t>
      </w:r>
      <w:r>
        <w:rPr>
          <w:color w:val="202020"/>
        </w:rPr>
        <w:t xml:space="preserve"> with validation at the erase-subject entry point only. Section 2.4 tells the full story; the short version is that the revert was the correct engineering decision and the two defects it re-opened are closed again by the replacement.</w:t>
      </w:r>
    </w:p>
    <w:p>
      <w:pPr>
        <w:pStyle w:val="ListBullet"/>
        <w:spacing w:after="40"/>
      </w:pPr>
      <w:r>
        <w:rPr>
          <w:b/>
          <w:color w:val="202020"/>
        </w:rPr>
        <w:t>Newly enforced at preflight or startup:</w:t>
      </w:r>
      <w:r>
        <w:rPr>
          <w:color w:val="202020"/>
        </w:rPr>
        <w:t xml:space="preserve"> Hadoop </w:t>
      </w:r>
      <w:r>
        <w:rPr>
          <w:rFonts w:ascii="Consolas" w:hAnsi="Consolas"/>
          <w:color w:val="202020"/>
          <w:sz w:val="19"/>
        </w:rPr>
        <w:t>validate-config</w:t>
      </w:r>
      <w:r>
        <w:rPr>
          <w:color w:val="202020"/>
        </w:rPr>
        <w:t xml:space="preserve"> now validates every config file it reads (in </w:t>
      </w:r>
      <w:r>
        <w:rPr>
          <w:rFonts w:ascii="Consolas" w:hAnsi="Consolas"/>
          <w:color w:val="202020"/>
          <w:sz w:val="19"/>
        </w:rPr>
        <w:t>schema.json</w:t>
      </w:r>
      <w:r>
        <w:rPr>
          <w:color w:val="202020"/>
        </w:rPr>
        <w:t xml:space="preserve">, </w:t>
      </w:r>
      <w:r>
        <w:rPr>
          <w:rFonts w:ascii="Consolas" w:hAnsi="Consolas"/>
          <w:color w:val="202020"/>
          <w:sz w:val="19"/>
        </w:rPr>
        <w:t>"selectedFields": {"Comp__c": null}</w:t>
      </w:r>
      <w:r>
        <w:rPr>
          <w:color w:val="202020"/>
        </w:rPr>
        <w:t xml:space="preserve"> previously loaded cleanly, passed </w:t>
      </w:r>
      <w:r>
        <w:rPr>
          <w:rFonts w:ascii="Consolas" w:hAnsi="Consolas"/>
          <w:color w:val="202020"/>
          <w:sz w:val="19"/>
        </w:rPr>
        <w:t>--strict</w:t>
      </w:r>
      <w:r>
        <w:rPr>
          <w:color w:val="202020"/>
        </w:rPr>
        <w:t xml:space="preserve"> green, then the conversion threw per record — a silent 100% dead-letter, per the Hadoop CHANGELOG; </w:t>
      </w:r>
      <w:r>
        <w:rPr>
          <w:rFonts w:ascii="Consolas" w:hAnsi="Consolas"/>
          <w:color w:val="202020"/>
          <w:sz w:val="19"/>
        </w:rPr>
        <w:t>null</w:t>
      </w:r>
      <w:r>
        <w:rPr>
          <w:color w:val="202020"/>
        </w:rPr>
        <w:t xml:space="preserve">s in </w:t>
      </w:r>
      <w:r>
        <w:rPr>
          <w:rFonts w:ascii="Consolas" w:hAnsi="Consolas"/>
          <w:color w:val="202020"/>
          <w:sz w:val="19"/>
        </w:rPr>
        <w:t>classification.json</w:t>
      </w:r>
      <w:r>
        <w:rPr>
          <w:color w:val="202020"/>
        </w:rPr>
        <w:t xml:space="preserve"> failed at crawl start with a raw stack trace, per </w:t>
      </w:r>
      <w:r>
        <w:rPr>
          <w:rFonts w:ascii="Consolas" w:hAnsi="Consolas"/>
          <w:color w:val="202020"/>
          <w:sz w:val="19"/>
        </w:rPr>
        <w:t>docs/CONFIG_NULL_SEMANTICS.md</w:t>
      </w:r>
      <w:r>
        <w:rPr>
          <w:color w:val="202020"/>
        </w:rPr>
        <w:t xml:space="preserve">), and cross-checks </w:t>
      </w:r>
      <w:r>
        <w:rPr>
          <w:rFonts w:ascii="Consolas" w:hAnsi="Consolas"/>
          <w:color w:val="202020"/>
          <w:sz w:val="19"/>
        </w:rPr>
        <w:t>graph-schema.json</w:t>
      </w:r>
      <w:r>
        <w:rPr>
          <w:color w:val="202020"/>
        </w:rPr>
        <w:t xml:space="preserve"> against what the converter actually produces — by executing it. Clarizen goes further: an undeclared or blank Graph property stamp is now FATAL at the write path — the crawl aborts with zero PUTs and the sync cursor held, instead of dead-lettering records and closing as a completed run.</w:t>
      </w:r>
    </w:p>
    <w:p>
      <w:pPr>
        <w:pStyle w:val="ListBullet"/>
        <w:spacing w:after="40"/>
      </w:pPr>
      <w:r>
        <w:rPr>
          <w:b/>
          <w:color w:val="202020"/>
        </w:rPr>
        <w:t xml:space="preserve">Seismic's decision-ledger guarantee, as </w:t>
      </w:r>
      <w:r>
        <w:rPr>
          <w:rFonts w:ascii="Consolas" w:hAnsi="Consolas"/>
          <w:b/>
          <w:color w:val="202020"/>
          <w:sz w:val="19"/>
        </w:rPr>
        <w:t>docs/EXCLUSIONS.md</w:t>
      </w:r>
      <w:r>
        <w:rPr>
          <w:b/>
          <w:color w:val="202020"/>
        </w:rPr>
        <w:t xml:space="preserve"> states it:</w:t>
      </w:r>
      <w:r>
        <w:rPr>
          <w:color w:val="202020"/>
        </w:rPr>
        <w:t xml:space="preserve"> "The guarantee is not that nothing is ever lost; it is that nothing is ever lost quietly." Crash damage is resynchronised and surfaced via </w:t>
      </w:r>
      <w:r>
        <w:rPr>
          <w:rFonts w:ascii="Consolas" w:hAnsi="Consolas"/>
          <w:color w:val="202020"/>
          <w:sz w:val="19"/>
        </w:rPr>
        <w:t>LedgerFileDamage</w:t>
      </w:r>
      <w:r>
        <w:rPr>
          <w:color w:val="202020"/>
        </w:rPr>
        <w:t>; the one remaining quiet-loss shape is stated in the known-open ledger below.</w:t>
      </w:r>
    </w:p>
    <w:p>
      <w:pPr>
        <w:pStyle w:val="Heading2"/>
      </w:pPr>
      <w:r>
        <w:rPr>
          <w:color w:val="2E5496"/>
        </w:rPr>
        <w:t>1.2 Fleet test position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</w:tblPr>
      <w:tblGrid>
        <w:gridCol w:w="2600"/>
        <w:gridCol w:w="2400"/>
        <w:gridCol w:w="2400"/>
        <w:gridCol w:w="1960"/>
      </w:tblGrid>
      <w:tr>
        <w:tc>
          <w:tcPr>
            <w:tcW w:type="dxa" w:w="2600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Connector</w:t>
            </w:r>
          </w:p>
        </w:tc>
        <w:tc>
          <w:tcPr>
            <w:tcW w:type="dxa" w:w="2400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At 84f198f (18 Jul)</w:t>
            </w:r>
          </w:p>
        </w:tc>
        <w:tc>
          <w:tcPr>
            <w:tcW w:type="dxa" w:w="2400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At fdd18d5 (20 Jul)</w:t>
            </w:r>
          </w:p>
        </w:tc>
        <w:tc>
          <w:tcPr>
            <w:tcW w:type="dxa" w:w="1960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Delta</w:t>
            </w:r>
          </w:p>
        </w:tc>
      </w:tr>
      <w:tr>
        <w:tc>
          <w:tcPr>
            <w:tcW w:type="dxa" w:w="2600"/>
          </w:tcPr>
          <w:p>
            <w:r>
              <w:rPr>
                <w:color w:val="202020"/>
                <w:sz w:val="19"/>
              </w:rPr>
              <w:t>Salesforce</w:t>
            </w:r>
          </w:p>
        </w:tc>
        <w:tc>
          <w:tcPr>
            <w:tcW w:type="dxa" w:w="2400"/>
          </w:tcPr>
          <w:p>
            <w:r>
              <w:rPr>
                <w:color w:val="202020"/>
                <w:sz w:val="19"/>
              </w:rPr>
              <w:t>975</w:t>
            </w:r>
          </w:p>
        </w:tc>
        <w:tc>
          <w:tcPr>
            <w:tcW w:type="dxa" w:w="2400"/>
          </w:tcPr>
          <w:p>
            <w:r>
              <w:rPr>
                <w:b/>
                <w:color w:val="202020"/>
                <w:sz w:val="19"/>
              </w:rPr>
              <w:t>1,206</w:t>
            </w:r>
          </w:p>
        </w:tc>
        <w:tc>
          <w:tcPr>
            <w:tcW w:type="dxa" w:w="1960"/>
          </w:tcPr>
          <w:p>
            <w:r>
              <w:rPr>
                <w:color w:val="202020"/>
                <w:sz w:val="19"/>
              </w:rPr>
              <w:t>+231</w:t>
            </w:r>
          </w:p>
        </w:tc>
      </w:tr>
      <w:tr>
        <w:tc>
          <w:tcPr>
            <w:tcW w:type="dxa" w:w="2600"/>
            <w:shd w:val="clear" w:color="auto" w:fill="F7F9FC"/>
          </w:tcPr>
          <w:p>
            <w:r>
              <w:rPr>
                <w:color w:val="202020"/>
                <w:sz w:val="19"/>
              </w:rPr>
              <w:t>Seismic</w:t>
            </w:r>
          </w:p>
        </w:tc>
        <w:tc>
          <w:tcPr>
            <w:tcW w:type="dxa" w:w="2400"/>
            <w:shd w:val="clear" w:color="auto" w:fill="F7F9FC"/>
          </w:tcPr>
          <w:p>
            <w:r>
              <w:rPr>
                <w:color w:val="202020"/>
                <w:sz w:val="19"/>
              </w:rPr>
              <w:t>541</w:t>
            </w:r>
          </w:p>
        </w:tc>
        <w:tc>
          <w:tcPr>
            <w:tcW w:type="dxa" w:w="2400"/>
            <w:shd w:val="clear" w:color="auto" w:fill="F7F9FC"/>
          </w:tcPr>
          <w:p>
            <w:r>
              <w:rPr>
                <w:b/>
                <w:color w:val="202020"/>
                <w:sz w:val="19"/>
              </w:rPr>
              <w:t>1,017</w:t>
            </w:r>
          </w:p>
        </w:tc>
        <w:tc>
          <w:tcPr>
            <w:tcW w:type="dxa" w:w="1960"/>
            <w:shd w:val="clear" w:color="auto" w:fill="F7F9FC"/>
          </w:tcPr>
          <w:p>
            <w:r>
              <w:rPr>
                <w:color w:val="202020"/>
                <w:sz w:val="19"/>
              </w:rPr>
              <w:t>+476</w:t>
            </w:r>
          </w:p>
        </w:tc>
      </w:tr>
      <w:tr>
        <w:tc>
          <w:tcPr>
            <w:tcW w:type="dxa" w:w="2600"/>
          </w:tcPr>
          <w:p>
            <w:r>
              <w:rPr>
                <w:color w:val="202020"/>
                <w:sz w:val="19"/>
              </w:rPr>
              <w:t>Hadoop</w:t>
            </w:r>
          </w:p>
        </w:tc>
        <w:tc>
          <w:tcPr>
            <w:tcW w:type="dxa" w:w="2400"/>
          </w:tcPr>
          <w:p>
            <w:r>
              <w:rPr>
                <w:color w:val="202020"/>
                <w:sz w:val="19"/>
              </w:rPr>
              <w:t>702</w:t>
            </w:r>
          </w:p>
        </w:tc>
        <w:tc>
          <w:tcPr>
            <w:tcW w:type="dxa" w:w="2400"/>
          </w:tcPr>
          <w:p>
            <w:r>
              <w:rPr>
                <w:b/>
                <w:color w:val="202020"/>
                <w:sz w:val="19"/>
              </w:rPr>
              <w:t>981</w:t>
            </w:r>
          </w:p>
        </w:tc>
        <w:tc>
          <w:tcPr>
            <w:tcW w:type="dxa" w:w="1960"/>
          </w:tcPr>
          <w:p>
            <w:r>
              <w:rPr>
                <w:color w:val="202020"/>
                <w:sz w:val="19"/>
              </w:rPr>
              <w:t>+279</w:t>
            </w:r>
          </w:p>
        </w:tc>
      </w:tr>
      <w:tr>
        <w:tc>
          <w:tcPr>
            <w:tcW w:type="dxa" w:w="2600"/>
            <w:shd w:val="clear" w:color="auto" w:fill="F7F9FC"/>
          </w:tcPr>
          <w:p>
            <w:r>
              <w:rPr>
                <w:color w:val="202020"/>
                <w:sz w:val="19"/>
              </w:rPr>
              <w:t>Clarizen</w:t>
            </w:r>
          </w:p>
        </w:tc>
        <w:tc>
          <w:tcPr>
            <w:tcW w:type="dxa" w:w="2400"/>
            <w:shd w:val="clear" w:color="auto" w:fill="F7F9FC"/>
          </w:tcPr>
          <w:p>
            <w:r>
              <w:rPr>
                <w:color w:val="202020"/>
                <w:sz w:val="19"/>
              </w:rPr>
              <w:t>654</w:t>
            </w:r>
          </w:p>
        </w:tc>
        <w:tc>
          <w:tcPr>
            <w:tcW w:type="dxa" w:w="2400"/>
            <w:shd w:val="clear" w:color="auto" w:fill="F7F9FC"/>
          </w:tcPr>
          <w:p>
            <w:r>
              <w:rPr>
                <w:b/>
                <w:color w:val="202020"/>
                <w:sz w:val="19"/>
              </w:rPr>
              <w:t>877</w:t>
            </w:r>
          </w:p>
        </w:tc>
        <w:tc>
          <w:tcPr>
            <w:tcW w:type="dxa" w:w="1960"/>
            <w:shd w:val="clear" w:color="auto" w:fill="F7F9FC"/>
          </w:tcPr>
          <w:p>
            <w:r>
              <w:rPr>
                <w:color w:val="202020"/>
                <w:sz w:val="19"/>
              </w:rPr>
              <w:t>+223</w:t>
            </w:r>
          </w:p>
        </w:tc>
      </w:tr>
      <w:tr>
        <w:tc>
          <w:tcPr>
            <w:tcW w:type="dxa" w:w="2600"/>
          </w:tcPr>
          <w:p>
            <w:r>
              <w:rPr>
                <w:color w:val="202020"/>
                <w:sz w:val="19"/>
              </w:rPr>
              <w:t>Altrata</w:t>
            </w:r>
          </w:p>
        </w:tc>
        <w:tc>
          <w:tcPr>
            <w:tcW w:type="dxa" w:w="2400"/>
          </w:tcPr>
          <w:p>
            <w:r>
              <w:rPr>
                <w:color w:val="202020"/>
                <w:sz w:val="19"/>
              </w:rPr>
              <w:t>517</w:t>
            </w:r>
          </w:p>
        </w:tc>
        <w:tc>
          <w:tcPr>
            <w:tcW w:type="dxa" w:w="2400"/>
          </w:tcPr>
          <w:p>
            <w:r>
              <w:rPr>
                <w:b/>
                <w:color w:val="202020"/>
                <w:sz w:val="19"/>
              </w:rPr>
              <w:t>743</w:t>
            </w:r>
          </w:p>
        </w:tc>
        <w:tc>
          <w:tcPr>
            <w:tcW w:type="dxa" w:w="1960"/>
          </w:tcPr>
          <w:p>
            <w:r>
              <w:rPr>
                <w:color w:val="202020"/>
                <w:sz w:val="19"/>
              </w:rPr>
              <w:t>+226</w:t>
            </w:r>
          </w:p>
        </w:tc>
      </w:tr>
      <w:tr>
        <w:tc>
          <w:tcPr>
            <w:tcW w:type="dxa" w:w="2600"/>
            <w:shd w:val="clear" w:color="auto" w:fill="F7F9FC"/>
          </w:tcPr>
          <w:p>
            <w:r>
              <w:rPr>
                <w:b/>
                <w:color w:val="202020"/>
                <w:sz w:val="19"/>
              </w:rPr>
              <w:t>Fleet</w:t>
            </w:r>
          </w:p>
        </w:tc>
        <w:tc>
          <w:tcPr>
            <w:tcW w:type="dxa" w:w="2400"/>
            <w:shd w:val="clear" w:color="auto" w:fill="F7F9FC"/>
          </w:tcPr>
          <w:p>
            <w:r>
              <w:rPr>
                <w:b/>
                <w:color w:val="202020"/>
                <w:sz w:val="19"/>
              </w:rPr>
              <w:t>3,389</w:t>
            </w:r>
          </w:p>
        </w:tc>
        <w:tc>
          <w:tcPr>
            <w:tcW w:type="dxa" w:w="2400"/>
            <w:shd w:val="clear" w:color="auto" w:fill="F7F9FC"/>
          </w:tcPr>
          <w:p>
            <w:r>
              <w:rPr>
                <w:b/>
                <w:color w:val="202020"/>
                <w:sz w:val="19"/>
              </w:rPr>
              <w:t>4,824</w:t>
            </w:r>
          </w:p>
        </w:tc>
        <w:tc>
          <w:tcPr>
            <w:tcW w:type="dxa" w:w="1960"/>
            <w:shd w:val="clear" w:color="auto" w:fill="F7F9FC"/>
          </w:tcPr>
          <w:p>
            <w:r>
              <w:rPr>
                <w:b/>
                <w:color w:val="202020"/>
                <w:sz w:val="19"/>
              </w:rPr>
              <w:t>+1,435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0FA"/>
            <w:tcBorders>
              <w:top w:val="single" w:sz="4" w:space="0" w:color="2E5496"/>
              <w:left w:val="single" w:sz="24" w:space="0" w:color="2E5496"/>
              <w:bottom w:val="single" w:sz="4" w:space="0" w:color="2E5496"/>
              <w:right w:val="single" w:sz="4" w:space="0" w:color="2E5496"/>
            </w:tcBorders>
          </w:tcPr>
          <w:p>
            <w:r>
              <w:rPr>
                <w:b/>
                <w:color w:val="2E5496"/>
              </w:rPr>
              <w:t xml:space="preserve">Note: </w:t>
            </w:r>
            <w:r>
              <w:rPr>
                <w:color w:val="202020"/>
                <w:sz w:val="20"/>
              </w:rPr>
              <w:t xml:space="preserve">The intermediate position at </w:t>
            </w:r>
            <w:r>
              <w:rPr>
                <w:rFonts w:ascii="Consolas" w:hAnsi="Consolas"/>
                <w:color w:val="202020"/>
                <w:sz w:val="19"/>
              </w:rPr>
              <w:t>d665d00</w:t>
            </w:r>
            <w:r>
              <w:rPr>
                <w:color w:val="202020"/>
                <w:sz w:val="20"/>
              </w:rPr>
              <w:t xml:space="preserve"> (end of rounds 7–10) was 4,760 tests; </w:t>
            </w:r>
            <w:r>
              <w:rPr>
                <w:rFonts w:ascii="Consolas" w:hAnsi="Consolas"/>
                <w:color w:val="202020"/>
                <w:sz w:val="19"/>
              </w:rPr>
              <w:t>fdd18d5</w:t>
            </w:r>
            <w:r>
              <w:rPr>
                <w:color w:val="202020"/>
                <w:sz w:val="20"/>
              </w:rPr>
              <w:t xml:space="preserve"> added Altrata 730 → 743 and Hadoop 930 → 981. All five suites report 0 failures and the build reports 0 warnings.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2E5496"/>
        </w:rPr>
        <w:t>1.3 Known-open ledger</w:t>
      </w:r>
    </w:p>
    <w:p>
      <w:pPr>
        <w:spacing w:after="120"/>
      </w:pPr>
      <w:r>
        <w:rPr>
          <w:color w:val="202020"/>
        </w:rPr>
        <w:t xml:space="preserve">Everything below is </w:t>
      </w:r>
      <w:r>
        <w:rPr>
          <w:b/>
          <w:color w:val="202020"/>
        </w:rPr>
        <w:t>open in the shipped code</w:t>
      </w:r>
      <w:r>
        <w:rPr>
          <w:color w:val="202020"/>
        </w:rPr>
        <w:t>, disclosed in the connector's own CHANGELOG and docs rather than buried. An operator misled by an overstated guide is the exact failure this programme kept finding; this table is the antidote.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</w:tblPr>
      <w:tblGrid>
        <w:gridCol w:w="1500"/>
        <w:gridCol w:w="3800"/>
        <w:gridCol w:w="4060"/>
      </w:tblGrid>
      <w:tr>
        <w:tc>
          <w:tcPr>
            <w:tcW w:type="dxa" w:w="1500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Connector</w:t>
            </w:r>
          </w:p>
        </w:tc>
        <w:tc>
          <w:tcPr>
            <w:tcW w:type="dxa" w:w="3800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Open item</w:t>
            </w:r>
          </w:p>
        </w:tc>
        <w:tc>
          <w:tcPr>
            <w:tcW w:type="dxa" w:w="4060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Consequence / compensating control</w:t>
            </w:r>
          </w:p>
        </w:tc>
      </w:tr>
      <w:tr>
        <w:tc>
          <w:tcPr>
            <w:tcW w:type="dxa" w:w="1500"/>
          </w:tcPr>
          <w:p>
            <w:r>
              <w:rPr>
                <w:color w:val="202020"/>
                <w:sz w:val="19"/>
              </w:rPr>
              <w:t>Seismic</w:t>
            </w:r>
          </w:p>
        </w:tc>
        <w:tc>
          <w:tcPr>
            <w:tcW w:type="dxa" w:w="3800"/>
          </w:tcPr>
          <w:p>
            <w:r>
              <w:rPr>
                <w:color w:val="202020"/>
                <w:sz w:val="19"/>
              </w:rPr>
              <w:t xml:space="preserve">JSON whitespace overwriting (or deleting) the </w:t>
            </w:r>
            <w:r>
              <w:rPr>
                <w:b/>
                <w:color w:val="202020"/>
                <w:sz w:val="19"/>
              </w:rPr>
              <w:t>final record's closing brace</w:t>
            </w:r>
            <w:r>
              <w:rPr>
                <w:color w:val="202020"/>
                <w:sz w:val="19"/>
              </w:rPr>
              <w:t xml:space="preserve"> is byte-identical to a torn write after trailing-whitespace trimming</w:t>
            </w:r>
          </w:p>
        </w:tc>
        <w:tc>
          <w:tcPr>
            <w:tcW w:type="dxa" w:w="4060"/>
          </w:tcPr>
          <w:p>
            <w:r>
              <w:rPr>
                <w:color w:val="202020"/>
                <w:sz w:val="19"/>
              </w:rPr>
              <w:t xml:space="preserve">That one record is dropped </w:t>
            </w:r>
            <w:r>
              <w:rPr>
                <w:b/>
                <w:color w:val="202020"/>
                <w:sz w:val="19"/>
              </w:rPr>
              <w:t>quietly</w:t>
            </w:r>
            <w:r>
              <w:rPr>
                <w:color w:val="202020"/>
                <w:sz w:val="19"/>
              </w:rPr>
              <w:t xml:space="preserve"> — the sole exception to the loudness guarantee. Exhaustively measured: 5 quiet-drop cases out of 136,466 damage combinations, all at that one byte. The off-box/WORM ledger copy is the compensating control.</w:t>
            </w:r>
          </w:p>
        </w:tc>
      </w:tr>
      <w:tr>
        <w:tc>
          <w:tcPr>
            <w:tcW w:type="dxa" w:w="1500"/>
            <w:shd w:val="clear" w:color="auto" w:fill="F7F9FC"/>
          </w:tcPr>
          <w:p>
            <w:r>
              <w:rPr>
                <w:color w:val="202020"/>
                <w:sz w:val="19"/>
              </w:rPr>
              <w:t>Altrata</w:t>
            </w:r>
          </w:p>
        </w:tc>
        <w:tc>
          <w:tcPr>
            <w:tcW w:type="dxa" w:w="3800"/>
            <w:shd w:val="clear" w:color="auto" w:fill="F7F9FC"/>
          </w:tcPr>
          <w:p>
            <w:r>
              <w:rPr>
                <w:rFonts w:ascii="Consolas" w:hAnsi="Consolas"/>
                <w:color w:val="202020"/>
                <w:sz w:val="19"/>
              </w:rPr>
              <w:t>connectorId</w:t>
            </w:r>
            <w:r>
              <w:rPr>
                <w:color w:val="202020"/>
                <w:sz w:val="19"/>
              </w:rPr>
              <w:t xml:space="preserve"> divergence: case-insensitive on the file backend, </w:t>
            </w:r>
            <w:r>
              <w:rPr>
                <w:rFonts w:ascii="Consolas" w:hAnsi="Consolas"/>
                <w:color w:val="202020"/>
                <w:sz w:val="19"/>
              </w:rPr>
              <w:t>BIN2</w:t>
            </w:r>
            <w:r>
              <w:rPr>
                <w:color w:val="202020"/>
                <w:sz w:val="19"/>
              </w:rPr>
              <w:t xml:space="preserve"> on SQL; an id containing a path separator escapes the data directory</w:t>
            </w:r>
          </w:p>
        </w:tc>
        <w:tc>
          <w:tcPr>
            <w:tcW w:type="dxa" w:w="4060"/>
            <w:shd w:val="clear" w:color="auto" w:fill="F7F9FC"/>
          </w:tcPr>
          <w:p>
            <w:r>
              <w:rPr>
                <w:rFonts w:ascii="Consolas" w:hAnsi="Consolas"/>
                <w:color w:val="202020"/>
                <w:sz w:val="19"/>
              </w:rPr>
              <w:t>Altrata</w:t>
            </w:r>
            <w:r>
              <w:rPr>
                <w:color w:val="202020"/>
                <w:sz w:val="19"/>
              </w:rPr>
              <w:t xml:space="preserve"> and </w:t>
            </w:r>
            <w:r>
              <w:rPr>
                <w:rFonts w:ascii="Consolas" w:hAnsi="Consolas"/>
                <w:color w:val="202020"/>
                <w:sz w:val="19"/>
              </w:rPr>
              <w:t>altrata</w:t>
            </w:r>
            <w:r>
              <w:rPr>
                <w:color w:val="202020"/>
                <w:sz w:val="19"/>
              </w:rPr>
              <w:t xml:space="preserve"> share state on one backend and not the other. Operator control: treat </w:t>
            </w:r>
            <w:r>
              <w:rPr>
                <w:rFonts w:ascii="Consolas" w:hAnsi="Consolas"/>
                <w:color w:val="202020"/>
                <w:sz w:val="19"/>
              </w:rPr>
              <w:t>connectorId</w:t>
            </w:r>
            <w:r>
              <w:rPr>
                <w:color w:val="202020"/>
                <w:sz w:val="19"/>
              </w:rPr>
              <w:t xml:space="preserve"> as case-sensitive, no separators. Disclosed in </w:t>
            </w:r>
            <w:r>
              <w:rPr>
                <w:rFonts w:ascii="Consolas" w:hAnsi="Consolas"/>
                <w:color w:val="202020"/>
                <w:sz w:val="19"/>
              </w:rPr>
              <w:t>docs/SQL_CONTRACT.md</w:t>
            </w:r>
            <w:r>
              <w:rPr>
                <w:color w:val="202020"/>
                <w:sz w:val="19"/>
              </w:rPr>
              <w:t>.</w:t>
            </w:r>
          </w:p>
        </w:tc>
      </w:tr>
      <w:tr>
        <w:tc>
          <w:tcPr>
            <w:tcW w:type="dxa" w:w="1500"/>
          </w:tcPr>
          <w:p>
            <w:r>
              <w:rPr>
                <w:color w:val="202020"/>
                <w:sz w:val="19"/>
              </w:rPr>
              <w:t>Altrata</w:t>
            </w:r>
          </w:p>
        </w:tc>
        <w:tc>
          <w:tcPr>
            <w:tcW w:type="dxa" w:w="3800"/>
          </w:tcPr>
          <w:p>
            <w:r>
              <w:rPr>
                <w:color w:val="202020"/>
                <w:sz w:val="19"/>
              </w:rPr>
              <w:t xml:space="preserve">The rollback-after-commit guard asserts on </w:t>
            </w:r>
            <w:r>
              <w:rPr>
                <w:rFonts w:ascii="Consolas" w:hAnsi="Consolas"/>
                <w:color w:val="202020"/>
                <w:sz w:val="19"/>
              </w:rPr>
              <w:t>SqlStateStore</w:t>
            </w:r>
            <w:r>
              <w:rPr>
                <w:color w:val="202020"/>
                <w:sz w:val="19"/>
              </w:rPr>
              <w:t>'s compiled IL only</w:t>
            </w:r>
          </w:p>
        </w:tc>
        <w:tc>
          <w:tcPr>
            <w:tcW w:type="dxa" w:w="4060"/>
          </w:tcPr>
          <w:p>
            <w:r>
              <w:rPr>
                <w:color w:val="202020"/>
                <w:sz w:val="19"/>
              </w:rPr>
              <w:t>Relocating a catch block to a helper class would evade it. Source is correct today; the guard's scope is the class, not the behaviour.</w:t>
            </w:r>
          </w:p>
        </w:tc>
      </w:tr>
      <w:tr>
        <w:tc>
          <w:tcPr>
            <w:tcW w:type="dxa" w:w="1500"/>
            <w:shd w:val="clear" w:color="auto" w:fill="F7F9FC"/>
          </w:tcPr>
          <w:p>
            <w:r>
              <w:rPr>
                <w:color w:val="202020"/>
                <w:sz w:val="19"/>
              </w:rPr>
              <w:t>Altrata</w:t>
            </w:r>
          </w:p>
        </w:tc>
        <w:tc>
          <w:tcPr>
            <w:tcW w:type="dxa" w:w="3800"/>
            <w:shd w:val="clear" w:color="auto" w:fill="F7F9FC"/>
          </w:tcPr>
          <w:p>
            <w:r>
              <w:rPr>
                <w:color w:val="202020"/>
                <w:sz w:val="19"/>
              </w:rPr>
              <w:t xml:space="preserve">An over-long subject id </w:t>
            </w:r>
            <w:r>
              <w:rPr>
                <w:b/>
                <w:color w:val="202020"/>
                <w:sz w:val="19"/>
              </w:rPr>
              <w:t>replayed from the crosswalk</w:t>
            </w:r>
            <w:r>
              <w:rPr>
                <w:color w:val="202020"/>
                <w:sz w:val="19"/>
              </w:rPr>
              <w:t xml:space="preserve"> via </w:t>
            </w:r>
            <w:r>
              <w:rPr>
                <w:rFonts w:ascii="Consolas" w:hAnsi="Consolas"/>
                <w:color w:val="202020"/>
                <w:sz w:val="19"/>
              </w:rPr>
              <w:t>--email</w:t>
            </w:r>
            <w:r>
              <w:rPr>
                <w:color w:val="202020"/>
                <w:sz w:val="19"/>
              </w:rPr>
              <w:t xml:space="preserve"> can still hit SQL error 8152 mid-erase</w:t>
            </w:r>
          </w:p>
        </w:tc>
        <w:tc>
          <w:tcPr>
            <w:tcW w:type="dxa" w:w="4060"/>
            <w:shd w:val="clear" w:color="auto" w:fill="F7F9FC"/>
          </w:tcPr>
          <w:p>
            <w:r>
              <w:rPr>
                <w:color w:val="202020"/>
                <w:sz w:val="19"/>
              </w:rPr>
              <w:t xml:space="preserve">Deliberate: replay/read/delete paths tolerate legacy state; only operator-supplied </w:t>
            </w:r>
            <w:r>
              <w:rPr>
                <w:rFonts w:ascii="Consolas" w:hAnsi="Consolas"/>
                <w:color w:val="202020"/>
                <w:sz w:val="19"/>
              </w:rPr>
              <w:t>--id</w:t>
            </w:r>
            <w:r>
              <w:rPr>
                <w:color w:val="202020"/>
                <w:sz w:val="19"/>
              </w:rPr>
              <w:t xml:space="preserve"> values are validated at the entry point. Disclosed in </w:t>
            </w:r>
            <w:r>
              <w:rPr>
                <w:rFonts w:ascii="Consolas" w:hAnsi="Consolas"/>
                <w:color w:val="202020"/>
                <w:sz w:val="19"/>
              </w:rPr>
              <w:t>docs/SQL_CONTRACT.md</w:t>
            </w:r>
            <w:r>
              <w:rPr>
                <w:color w:val="202020"/>
                <w:sz w:val="19"/>
              </w:rPr>
              <w:t>.</w:t>
            </w:r>
          </w:p>
        </w:tc>
      </w:tr>
      <w:tr>
        <w:tc>
          <w:tcPr>
            <w:tcW w:type="dxa" w:w="1500"/>
          </w:tcPr>
          <w:p>
            <w:r>
              <w:rPr>
                <w:color w:val="202020"/>
                <w:sz w:val="19"/>
              </w:rPr>
              <w:t>Hadoop</w:t>
            </w:r>
          </w:p>
        </w:tc>
        <w:tc>
          <w:tcPr>
            <w:tcW w:type="dxa" w:w="3800"/>
          </w:tcPr>
          <w:p>
            <w:r>
              <w:rPr>
                <w:color w:val="202020"/>
                <w:sz w:val="19"/>
              </w:rPr>
              <w:t xml:space="preserve">A Graph property name padded </w:t>
            </w:r>
            <w:r>
              <w:rPr>
                <w:b/>
                <w:color w:val="202020"/>
                <w:sz w:val="19"/>
              </w:rPr>
              <w:t>identically</w:t>
            </w:r>
            <w:r>
              <w:rPr>
                <w:color w:val="202020"/>
                <w:sz w:val="19"/>
              </w:rPr>
              <w:t xml:space="preserve"> on both sides of the schema/config pair passes preflight</w:t>
            </w:r>
          </w:p>
        </w:tc>
        <w:tc>
          <w:tcPr>
            <w:tcW w:type="dxa" w:w="4060"/>
          </w:tcPr>
          <w:p>
            <w:r>
              <w:rPr>
                <w:color w:val="202020"/>
                <w:sz w:val="19"/>
              </w:rPr>
              <w:t>Graph rejects it loudly at connection registration, so the strict-green-then-crawl-fail invariant still holds.</w:t>
            </w:r>
          </w:p>
        </w:tc>
      </w:tr>
      <w:tr>
        <w:tc>
          <w:tcPr>
            <w:tcW w:type="dxa" w:w="1500"/>
            <w:shd w:val="clear" w:color="auto" w:fill="F7F9FC"/>
          </w:tcPr>
          <w:p>
            <w:r>
              <w:rPr>
                <w:color w:val="202020"/>
                <w:sz w:val="19"/>
              </w:rPr>
              <w:t>Hadoop</w:t>
            </w:r>
          </w:p>
        </w:tc>
        <w:tc>
          <w:tcPr>
            <w:tcW w:type="dxa" w:w="3800"/>
            <w:shd w:val="clear" w:color="auto" w:fill="F7F9FC"/>
          </w:tcPr>
          <w:p>
            <w:r>
              <w:rPr>
                <w:color w:val="202020"/>
                <w:sz w:val="19"/>
              </w:rPr>
              <w:t>Graph-schema enforcement is preflight-only — no crawl-time write-path guard</w:t>
            </w:r>
          </w:p>
        </w:tc>
        <w:tc>
          <w:tcPr>
            <w:tcW w:type="dxa" w:w="4060"/>
            <w:shd w:val="clear" w:color="auto" w:fill="F7F9FC"/>
          </w:tcPr>
          <w:p>
            <w:r>
              <w:rPr>
                <w:color w:val="202020"/>
                <w:sz w:val="19"/>
              </w:rPr>
              <w:t>A stamp added by future code without re-running preflight would reach Graph, which rejects the item at push. Clarizen's write-path abort was not ported.</w:t>
            </w:r>
          </w:p>
        </w:tc>
      </w:tr>
      <w:tr>
        <w:tc>
          <w:tcPr>
            <w:tcW w:type="dxa" w:w="1500"/>
          </w:tcPr>
          <w:p>
            <w:r>
              <w:rPr>
                <w:color w:val="202020"/>
                <w:sz w:val="19"/>
              </w:rPr>
              <w:t>Salesforce</w:t>
            </w:r>
          </w:p>
        </w:tc>
        <w:tc>
          <w:tcPr>
            <w:tcW w:type="dxa" w:w="3800"/>
          </w:tcPr>
          <w:p>
            <w:r>
              <w:rPr>
                <w:color w:val="202020"/>
                <w:sz w:val="19"/>
              </w:rPr>
              <w:t xml:space="preserve">FLS freshness is bounded by </w:t>
            </w:r>
            <w:r>
              <w:rPr>
                <w:rFonts w:ascii="Consolas" w:hAnsi="Consolas"/>
                <w:color w:val="202020"/>
                <w:sz w:val="19"/>
              </w:rPr>
              <w:t>FLS_CACHE_TTL_HOURS</w:t>
            </w:r>
            <w:r>
              <w:rPr>
                <w:color w:val="202020"/>
                <w:sz w:val="19"/>
              </w:rPr>
              <w:t xml:space="preserve"> (default 24)</w:t>
            </w:r>
          </w:p>
        </w:tc>
        <w:tc>
          <w:tcPr>
            <w:tcW w:type="dxa" w:w="4060"/>
          </w:tcPr>
          <w:p>
            <w:r>
              <w:rPr>
                <w:color w:val="202020"/>
                <w:sz w:val="19"/>
              </w:rPr>
              <w:t xml:space="preserve">A field restricted in Salesforce mid-window stays indexed until the next fetch — the same bounded-lag property as entitlement sync. Deliberate over-drops (non-address compounds, multi-hop paths, object-scoped principal unions) are listed in </w:t>
            </w:r>
            <w:r>
              <w:rPr>
                <w:rFonts w:ascii="Consolas" w:hAnsi="Consolas"/>
                <w:color w:val="202020"/>
                <w:sz w:val="19"/>
              </w:rPr>
              <w:t>docs/FLS.md</w:t>
            </w:r>
            <w:r>
              <w:rPr>
                <w:color w:val="202020"/>
                <w:sz w:val="19"/>
              </w:rPr>
              <w:t xml:space="preserve"> Known limits.</w:t>
            </w:r>
          </w:p>
        </w:tc>
      </w:tr>
      <w:tr>
        <w:tc>
          <w:tcPr>
            <w:tcW w:type="dxa" w:w="1500"/>
            <w:shd w:val="clear" w:color="auto" w:fill="F7F9FC"/>
          </w:tcPr>
          <w:p>
            <w:r>
              <w:rPr>
                <w:color w:val="202020"/>
                <w:sz w:val="19"/>
              </w:rPr>
              <w:t>Clarizen</w:t>
            </w:r>
          </w:p>
        </w:tc>
        <w:tc>
          <w:tcPr>
            <w:tcW w:type="dxa" w:w="3800"/>
            <w:shd w:val="clear" w:color="auto" w:fill="F7F9FC"/>
          </w:tcPr>
          <w:p>
            <w:r>
              <w:rPr>
                <w:color w:val="202020"/>
                <w:sz w:val="19"/>
              </w:rPr>
              <w:t xml:space="preserve">Content-gate residual false-positive shapes (e.g. a legitimate "send the invoice to https://…" matches </w:t>
            </w:r>
            <w:r>
              <w:rPr>
                <w:rFonts w:ascii="Consolas" w:hAnsi="Consolas"/>
                <w:color w:val="202020"/>
                <w:sz w:val="19"/>
              </w:rPr>
              <w:t>sendToUrl</w:t>
            </w:r>
            <w:r>
              <w:rPr>
                <w:color w:val="202020"/>
                <w:sz w:val="19"/>
              </w:rPr>
              <w:t>)</w:t>
            </w:r>
          </w:p>
        </w:tc>
        <w:tc>
          <w:tcPr>
            <w:tcW w:type="dxa" w:w="4060"/>
            <w:shd w:val="clear" w:color="auto" w:fill="F7F9FC"/>
          </w:tcPr>
          <w:p>
            <w:r>
              <w:rPr>
                <w:color w:val="202020"/>
                <w:sz w:val="19"/>
              </w:rPr>
              <w:t>Accepted because quarantine is re-drivable, not destructive. Text-half fail-open remains a deliberate, documented asymmetry (binary half fails closed).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864"/>
        </w:rPr>
        <w:t>2. Per-connector detail</w:t>
      </w:r>
    </w:p>
    <w:p>
      <w:pPr>
        <w:pStyle w:val="Heading2"/>
      </w:pPr>
      <w:r>
        <w:rPr>
          <w:color w:val="2E5496"/>
        </w:rPr>
        <w:t>2.1 Salesforce — 975 → 1,206 tests · verdict HOLDS</w:t>
      </w:r>
    </w:p>
    <w:p>
      <w:pPr>
        <w:pStyle w:val="Heading3"/>
      </w:pPr>
      <w:r>
        <w:rPr>
          <w:color w:val="2E5496"/>
        </w:rPr>
        <w:t>What changed</w:t>
      </w:r>
    </w:p>
    <w:p>
      <w:pPr>
        <w:pStyle w:val="ListBullet"/>
        <w:spacing w:after="40"/>
      </w:pPr>
      <w:r>
        <w:rPr>
          <w:rFonts w:ascii="Consolas" w:hAnsi="Consolas"/>
          <w:b/>
          <w:color w:val="202020"/>
          <w:sz w:val="19"/>
        </w:rPr>
        <w:t>CompoundFields</w:t>
      </w:r>
      <w:r>
        <w:rPr>
          <w:b/>
          <w:color w:val="202020"/>
        </w:rPr>
        <w:t xml:space="preserve"> removed as unsound by design.</w:t>
      </w:r>
      <w:r>
        <w:rPr>
          <w:color w:val="202020"/>
        </w:rPr>
        <w:t xml:space="preserve"> The feature derived compound membership from field names (</w:t>
      </w:r>
      <w:r>
        <w:rPr>
          <w:rFonts w:ascii="Consolas" w:hAnsi="Consolas"/>
          <w:color w:val="202020"/>
          <w:sz w:val="19"/>
        </w:rPr>
        <w:t>BillingAddress</w:t>
      </w:r>
      <w:r>
        <w:rPr>
          <w:color w:val="202020"/>
        </w:rPr>
        <w:t xml:space="preserve"> → </w:t>
      </w:r>
      <w:r>
        <w:rPr>
          <w:rFonts w:ascii="Consolas" w:hAnsi="Consolas"/>
          <w:color w:val="202020"/>
          <w:sz w:val="19"/>
        </w:rPr>
        <w:t>Billing</w:t>
      </w:r>
      <w:r>
        <w:rPr>
          <w:color w:val="202020"/>
        </w:rPr>
        <w:t>+</w:t>
      </w:r>
      <w:r>
        <w:rPr>
          <w:rFonts w:ascii="Consolas" w:hAnsi="Consolas"/>
          <w:color w:val="202020"/>
          <w:sz w:val="19"/>
        </w:rPr>
        <w:t>Street</w:t>
      </w:r>
      <w:r>
        <w:rPr>
          <w:color w:val="202020"/>
        </w:rPr>
        <w:t>/</w:t>
      </w:r>
      <w:r>
        <w:rPr>
          <w:rFonts w:ascii="Consolas" w:hAnsi="Consolas"/>
          <w:color w:val="202020"/>
          <w:sz w:val="19"/>
        </w:rPr>
        <w:t>City</w:t>
      </w:r>
      <w:r>
        <w:rPr>
          <w:color w:val="202020"/>
        </w:rPr>
        <w:t xml:space="preserve">/…; </w:t>
      </w:r>
      <w:r>
        <w:rPr>
          <w:rFonts w:ascii="Consolas" w:hAnsi="Consolas"/>
          <w:color w:val="202020"/>
          <w:sz w:val="19"/>
        </w:rPr>
        <w:t>Name</w:t>
      </w:r>
      <w:r>
        <w:rPr>
          <w:color w:val="202020"/>
        </w:rPr>
        <w:t xml:space="preserve"> → </w:t>
      </w:r>
      <w:r>
        <w:rPr>
          <w:rFonts w:ascii="Consolas" w:hAnsi="Consolas"/>
          <w:color w:val="202020"/>
          <w:sz w:val="19"/>
        </w:rPr>
        <w:t>Salutation</w:t>
      </w:r>
      <w:r>
        <w:rPr>
          <w:color w:val="202020"/>
        </w:rPr>
        <w:t>/</w:t>
      </w:r>
      <w:r>
        <w:rPr>
          <w:rFonts w:ascii="Consolas" w:hAnsi="Consolas"/>
          <w:color w:val="202020"/>
          <w:sz w:val="19"/>
        </w:rPr>
        <w:t>FirstName</w:t>
      </w:r>
      <w:r>
        <w:rPr>
          <w:color w:val="202020"/>
        </w:rPr>
        <w:t xml:space="preserve">/…) and propagated FLS drops in both directions. Two proven consequences: catastrophic data loss on a shipped configuration (Person-Accounts orgs: restricting one name component dropped </w:t>
      </w:r>
      <w:r>
        <w:rPr>
          <w:rFonts w:ascii="Consolas" w:hAnsi="Consolas"/>
          <w:color w:val="202020"/>
          <w:sz w:val="19"/>
        </w:rPr>
        <w:t>Account.Name</w:t>
      </w:r>
      <w:r>
        <w:rPr>
          <w:color w:val="202020"/>
        </w:rPr>
        <w:t xml:space="preserve"> for every account, business accounts included, from both the Graph properties and the searchable content body), and no delivered protection (the derivation early-returned on any dotted name, so it never applied to relationship sub-fields). Salesforce publishes compound membership authoritatively via describe metadata; name-guessing cannot be patched correct, so the feature was deleted rather than fixed a third time.</w:t>
      </w:r>
    </w:p>
    <w:p>
      <w:pPr>
        <w:pStyle w:val="ListBullet"/>
        <w:spacing w:after="40"/>
      </w:pPr>
      <w:r>
        <w:rPr>
          <w:b/>
          <w:color w:val="202020"/>
        </w:rPr>
        <w:t>Compounds are no longer queried at all.</w:t>
      </w:r>
      <w:r>
        <w:rPr>
          <w:color w:val="202020"/>
        </w:rPr>
        <w:t xml:space="preserve"> </w:t>
      </w:r>
      <w:r>
        <w:rPr>
          <w:rFonts w:ascii="Consolas" w:hAnsi="Consolas"/>
          <w:color w:val="202020"/>
          <w:sz w:val="19"/>
        </w:rPr>
        <w:t>config/schema.json</w:t>
      </w:r>
      <w:r>
        <w:rPr>
          <w:color w:val="202020"/>
        </w:rPr>
        <w:t xml:space="preserve"> now selects address components individually (</w:t>
      </w:r>
      <w:r>
        <w:rPr>
          <w:rFonts w:ascii="Consolas" w:hAnsi="Consolas"/>
          <w:color w:val="202020"/>
          <w:sz w:val="19"/>
        </w:rPr>
        <w:t>BillingStreet</w:t>
      </w:r>
      <w:r>
        <w:rPr>
          <w:color w:val="202020"/>
        </w:rPr>
        <w:t xml:space="preserve">, </w:t>
      </w:r>
      <w:r>
        <w:rPr>
          <w:rFonts w:ascii="Consolas" w:hAnsi="Consolas"/>
          <w:color w:val="202020"/>
          <w:sz w:val="19"/>
        </w:rPr>
        <w:t>BillingCity</w:t>
      </w:r>
      <w:r>
        <w:rPr>
          <w:color w:val="202020"/>
        </w:rPr>
        <w:t xml:space="preserve">, …) and declares reassembly in a per-object </w:t>
      </w:r>
      <w:r>
        <w:rPr>
          <w:rFonts w:ascii="Consolas" w:hAnsi="Consolas"/>
          <w:color w:val="202020"/>
          <w:sz w:val="19"/>
        </w:rPr>
        <w:t>addressFields</w:t>
      </w:r>
      <w:r>
        <w:rPr>
          <w:color w:val="202020"/>
        </w:rPr>
        <w:t xml:space="preserve"> map, so every selected field carries real </w:t>
      </w:r>
      <w:r>
        <w:rPr>
          <w:rFonts w:ascii="Consolas" w:hAnsi="Consolas"/>
          <w:color w:val="202020"/>
          <w:sz w:val="19"/>
        </w:rPr>
        <w:t>FieldPermissions</w:t>
      </w:r>
      <w:r>
        <w:rPr>
          <w:color w:val="202020"/>
        </w:rPr>
        <w:t xml:space="preserve"> evidence and is gated by </w:t>
      </w:r>
      <w:r>
        <w:rPr>
          <w:b/>
          <w:color w:val="202020"/>
        </w:rPr>
        <w:t>literal name</w:t>
      </w:r>
      <w:r>
        <w:rPr>
          <w:color w:val="202020"/>
        </w:rPr>
        <w:t xml:space="preserve"> — no inference anywhere. Anything still compound-shaped fails </w:t>
      </w:r>
      <w:r>
        <w:rPr>
          <w:b/>
          <w:color w:val="202020"/>
        </w:rPr>
        <w:t>closed</w:t>
      </w:r>
      <w:r>
        <w:rPr>
          <w:color w:val="202020"/>
        </w:rPr>
        <w:t xml:space="preserve">: indexed by no route, neither as a Graph property nor flattened into the body. </w:t>
      </w:r>
      <w:r>
        <w:rPr>
          <w:rFonts w:ascii="Consolas" w:hAnsi="Consolas"/>
          <w:color w:val="202020"/>
          <w:sz w:val="19"/>
        </w:rPr>
        <w:t>FlsCompoundNotIndexableTests</w:t>
      </w:r>
      <w:r>
        <w:rPr>
          <w:color w:val="202020"/>
        </w:rPr>
        <w:t xml:space="preserve"> sweeps all 32 restriction subsets of the five address components of one compound across both assembly routings — 64 cases; the five shipped compounds are covered by separate sentinel probes, which come back clean.</w:t>
      </w:r>
    </w:p>
    <w:p>
      <w:pPr>
        <w:pStyle w:val="ListBullet"/>
        <w:spacing w:after="40"/>
      </w:pPr>
      <w:r>
        <w:rPr>
          <w:b/>
          <w:color w:val="202020"/>
        </w:rPr>
        <w:t>Four earlier FLS fixes re-verified holding</w:t>
      </w:r>
      <w:r>
        <w:rPr>
          <w:color w:val="202020"/>
        </w:rPr>
        <w:t xml:space="preserve"> under the same hostile probes, and two adjacent closures landed: </w:t>
      </w:r>
      <w:r>
        <w:rPr>
          <w:rFonts w:ascii="Consolas" w:hAnsi="Consolas"/>
          <w:color w:val="202020"/>
          <w:sz w:val="19"/>
        </w:rPr>
        <w:t>__System.*</w:t>
      </w:r>
      <w:r>
        <w:rPr>
          <w:color w:val="202020"/>
        </w:rPr>
        <w:t xml:space="preserve"> drops now gate a field's whole alias closure (every property the field feeds, in every direction), and </w:t>
      </w:r>
      <w:r>
        <w:rPr>
          <w:rFonts w:ascii="Consolas" w:hAnsi="Consolas"/>
          <w:color w:val="202020"/>
          <w:sz w:val="19"/>
        </w:rPr>
        <w:t>flsFields</w:t>
      </w:r>
      <w:r>
        <w:rPr>
          <w:color w:val="202020"/>
        </w:rPr>
        <w:t xml:space="preserve"> matching is case-insensitive with a startup warning — a hand-typed casing difference is no longer a silent no-op, and a non-property entry no longer mints an undeclared null Graph property.</w:t>
      </w:r>
    </w:p>
    <w:p>
      <w:pPr>
        <w:pStyle w:val="ListBullet"/>
        <w:spacing w:after="40"/>
      </w:pPr>
      <w:r>
        <w:rPr>
          <w:rFonts w:ascii="Consolas" w:hAnsi="Consolas"/>
          <w:b/>
          <w:color w:val="202020"/>
          <w:sz w:val="19"/>
        </w:rPr>
        <w:t>docs/FLS.md</w:t>
      </w:r>
      <w:r>
        <w:rPr>
          <w:b/>
          <w:color w:val="202020"/>
        </w:rPr>
        <w:t xml:space="preserve"> rewritten</w:t>
      </w:r>
      <w:r>
        <w:rPr>
          <w:color w:val="202020"/>
        </w:rPr>
        <w:t xml:space="preserve"> to match: the old "accepted limitation" wording is struck through and marked CLOSED, and the Known-limits section states the deliberate over-drops plainly.</w:t>
      </w:r>
    </w:p>
    <w:p>
      <w:pPr>
        <w:pStyle w:val="Heading3"/>
      </w:pPr>
      <w:r>
        <w:rPr>
          <w:color w:val="2E5496"/>
        </w:rPr>
        <w:t>What is open</w:t>
      </w:r>
    </w:p>
    <w:p>
      <w:pPr>
        <w:pStyle w:val="ListBullet"/>
        <w:spacing w:after="40"/>
      </w:pPr>
      <w:r>
        <w:rPr>
          <w:color w:val="202020"/>
        </w:rPr>
        <w:t xml:space="preserve">Deliberate over-drops, documented in </w:t>
      </w:r>
      <w:r>
        <w:rPr>
          <w:rFonts w:ascii="Consolas" w:hAnsi="Consolas"/>
          <w:color w:val="202020"/>
          <w:sz w:val="19"/>
        </w:rPr>
        <w:t>docs/FLS.md</w:t>
      </w:r>
      <w:r>
        <w:rPr>
          <w:color w:val="202020"/>
        </w:rPr>
        <w:t>: non-address compounds are suppressed rather than reassembled; multi-hop relationship paths fail closed; the principal union is scoped to the object, not the item's ACL, which over-drops on narrowly shared records.</w:t>
      </w:r>
    </w:p>
    <w:p>
      <w:pPr>
        <w:pStyle w:val="ListBullet"/>
        <w:spacing w:after="40"/>
      </w:pPr>
      <w:r>
        <w:rPr>
          <w:color w:val="202020"/>
        </w:rPr>
        <w:t xml:space="preserve">FLS freshness lag bounded by </w:t>
      </w:r>
      <w:r>
        <w:rPr>
          <w:rFonts w:ascii="Consolas" w:hAnsi="Consolas"/>
          <w:color w:val="202020"/>
          <w:sz w:val="19"/>
        </w:rPr>
        <w:t>FLS_CACHE_TTL_HOURS</w:t>
      </w:r>
      <w:r>
        <w:rPr>
          <w:color w:val="202020"/>
        </w:rPr>
        <w:t xml:space="preserve"> (default 24 hours).</w:t>
      </w:r>
    </w:p>
    <w:p>
      <w:pPr>
        <w:pStyle w:val="Heading2"/>
      </w:pPr>
      <w:r>
        <w:rPr>
          <w:color w:val="2E5496"/>
        </w:rPr>
        <w:t>2.2 Clarizen — 654 → 877 tests · verdict HOLDS</w:t>
      </w:r>
    </w:p>
    <w:p>
      <w:pPr>
        <w:pStyle w:val="Heading3"/>
      </w:pPr>
      <w:r>
        <w:rPr>
          <w:color w:val="2E5496"/>
        </w:rPr>
        <w:t>What changed</w:t>
      </w:r>
    </w:p>
    <w:p>
      <w:pPr>
        <w:pStyle w:val="ListBullet"/>
        <w:spacing w:after="40"/>
      </w:pPr>
      <w:r>
        <w:rPr>
          <w:b/>
          <w:color w:val="202020"/>
        </w:rPr>
        <w:t>Content-gate incomplete verdicts stamp through the whole pipeline.</w:t>
      </w:r>
      <w:r>
        <w:rPr>
          <w:color w:val="202020"/>
        </w:rPr>
        <w:t xml:space="preserve"> Unscannable BINARY content is no longer stamped </w:t>
      </w:r>
      <w:r>
        <w:rPr>
          <w:rFonts w:ascii="Consolas" w:hAnsi="Consolas"/>
          <w:color w:val="202020"/>
          <w:sz w:val="19"/>
        </w:rPr>
        <w:t>clean</w:t>
      </w:r>
      <w:r>
        <w:rPr>
          <w:color w:val="202020"/>
        </w:rPr>
        <w:t xml:space="preserve">: it carries </w:t>
      </w:r>
      <w:r>
        <w:rPr>
          <w:rFonts w:ascii="Consolas" w:hAnsi="Consolas"/>
          <w:color w:val="202020"/>
          <w:sz w:val="19"/>
        </w:rPr>
        <w:t>ContentGateStatus=incomplete:malware-unscannable</w:t>
      </w:r>
      <w:r>
        <w:rPr>
          <w:color w:val="202020"/>
        </w:rPr>
        <w:t>, and a second incomplete reason no longer replaces the first (categories are concatenated and de-duplicated). Absence of evidence is no longer presented as evidence of absence.</w:t>
      </w:r>
    </w:p>
    <w:p>
      <w:pPr>
        <w:pStyle w:val="ListBullet"/>
        <w:spacing w:after="40"/>
      </w:pPr>
      <w:r>
        <w:rPr>
          <w:rFonts w:ascii="Consolas" w:hAnsi="Consolas"/>
          <w:b/>
          <w:color w:val="202020"/>
          <w:sz w:val="19"/>
        </w:rPr>
        <w:t>ContentGateStatus</w:t>
      </w:r>
      <w:r>
        <w:rPr>
          <w:b/>
          <w:color w:val="202020"/>
        </w:rPr>
        <w:t xml:space="preserve"> is now declared in </w:t>
      </w:r>
      <w:r>
        <w:rPr>
          <w:rFonts w:ascii="Consolas" w:hAnsi="Consolas"/>
          <w:b/>
          <w:color w:val="202020"/>
          <w:sz w:val="19"/>
        </w:rPr>
        <w:t>config/graph-schema.json</w:t>
      </w:r>
      <w:r>
        <w:rPr>
          <w:color w:val="202020"/>
        </w:rPr>
        <w:t xml:space="preserve"> — the v1.0 blocker that made the gate undeployable. The declaration carries the full value vocabulary (</w:t>
      </w:r>
      <w:r>
        <w:rPr>
          <w:rFonts w:ascii="Consolas" w:hAnsi="Consolas"/>
          <w:color w:val="202020"/>
          <w:sz w:val="19"/>
        </w:rPr>
        <w:t>clean</w:t>
      </w:r>
      <w:r>
        <w:rPr>
          <w:color w:val="202020"/>
        </w:rPr>
        <w:t xml:space="preserve"> / </w:t>
      </w:r>
      <w:r>
        <w:rPr>
          <w:rFonts w:ascii="Consolas" w:hAnsi="Consolas"/>
          <w:color w:val="202020"/>
          <w:sz w:val="19"/>
        </w:rPr>
        <w:t>incomplete:&lt;category&gt;</w:t>
      </w:r>
      <w:r>
        <w:rPr>
          <w:color w:val="202020"/>
        </w:rPr>
        <w:t xml:space="preserve"> / </w:t>
      </w:r>
      <w:r>
        <w:rPr>
          <w:rFonts w:ascii="Consolas" w:hAnsi="Consolas"/>
          <w:color w:val="202020"/>
          <w:sz w:val="19"/>
        </w:rPr>
        <w:t>blocked:&lt;category&gt;</w:t>
      </w:r>
      <w:r>
        <w:rPr>
          <w:color w:val="202020"/>
        </w:rPr>
        <w:t>).</w:t>
      </w:r>
    </w:p>
    <w:p>
      <w:pPr>
        <w:pStyle w:val="ListBullet"/>
        <w:spacing w:after="40"/>
      </w:pPr>
      <w:r>
        <w:rPr>
          <w:b/>
          <w:color w:val="202020"/>
        </w:rPr>
        <w:t>Undeclared or blank Graph property stamps are now FATAL at the write path.</w:t>
      </w:r>
      <w:r>
        <w:rPr>
          <w:color w:val="202020"/>
        </w:rPr>
        <w:t xml:space="preserve"> Two successive registration-list guards each had a hole of the same shape, so enforcement moved to the one place every stamp must pass. A crawl that stamps an undeclared or blank property now </w:t>
      </w:r>
      <w:r>
        <w:rPr>
          <w:b/>
          <w:color w:val="202020"/>
        </w:rPr>
        <w:t xml:space="preserve">aborts naming the property — zero PUTs, nothing dead-lettered, </w:t>
      </w:r>
      <w:r>
        <w:rPr>
          <w:rFonts w:ascii="Consolas" w:hAnsi="Consolas"/>
          <w:b/>
          <w:color w:val="202020"/>
          <w:sz w:val="19"/>
        </w:rPr>
        <w:t>lastSync</w:t>
      </w:r>
      <w:r>
        <w:rPr>
          <w:b/>
          <w:color w:val="202020"/>
        </w:rPr>
        <w:t xml:space="preserve"> unwritten</w:t>
      </w:r>
      <w:r>
        <w:rPr>
          <w:color w:val="202020"/>
        </w:rPr>
        <w:t xml:space="preserve"> — where it previously dead-lettered 100% of records, advanced the sync cursor, and closed as a completed run with an empty index. Proven by mutation: an injected rogue stamp gave </w:t>
      </w:r>
      <w:r>
        <w:rPr>
          <w:rFonts w:ascii="Consolas" w:hAnsi="Consolas"/>
          <w:color w:val="202020"/>
          <w:sz w:val="19"/>
        </w:rPr>
        <w:t>ingested=0 failed=1 puts=0 deadletter=1</w:t>
      </w:r>
      <w:r>
        <w:rPr>
          <w:color w:val="202020"/>
        </w:rPr>
        <w:t xml:space="preserve"> with the drift probes green before the fix; the separate blank-property repro over 4 records gave </w:t>
      </w:r>
      <w:r>
        <w:rPr>
          <w:rFonts w:ascii="Consolas" w:hAnsi="Consolas"/>
          <w:color w:val="202020"/>
          <w:sz w:val="19"/>
        </w:rPr>
        <w:t>ingested=0 failed=4</w:t>
      </w:r>
      <w:r>
        <w:rPr>
          <w:color w:val="202020"/>
        </w:rPr>
        <w:t xml:space="preserve"> with </w:t>
      </w:r>
      <w:r>
        <w:rPr>
          <w:rFonts w:ascii="Consolas" w:hAnsi="Consolas"/>
          <w:color w:val="202020"/>
          <w:sz w:val="19"/>
        </w:rPr>
        <w:t>lastSync</w:t>
      </w:r>
      <w:r>
        <w:rPr>
          <w:color w:val="202020"/>
        </w:rPr>
        <w:t xml:space="preserve"> written.</w:t>
      </w:r>
    </w:p>
    <w:p>
      <w:pPr>
        <w:pStyle w:val="ListBullet"/>
        <w:spacing w:after="40"/>
      </w:pPr>
      <w:r>
        <w:rPr>
          <w:b/>
          <w:color w:val="202020"/>
        </w:rPr>
        <w:t xml:space="preserve">A degenerate </w:t>
      </w:r>
      <w:r>
        <w:rPr>
          <w:rFonts w:ascii="Consolas" w:hAnsi="Consolas"/>
          <w:b/>
          <w:color w:val="202020"/>
          <w:sz w:val="19"/>
        </w:rPr>
        <w:t>graph-schema.json</w:t>
      </w:r>
      <w:r>
        <w:rPr>
          <w:b/>
          <w:color w:val="202020"/>
        </w:rPr>
        <w:t xml:space="preserve"> is a preflight ERROR, not silence.</w:t>
      </w:r>
      <w:r>
        <w:rPr>
          <w:color w:val="202020"/>
        </w:rPr>
        <w:t xml:space="preserve"> A blanket </w:t>
      </w:r>
      <w:r>
        <w:rPr>
          <w:rFonts w:ascii="Consolas" w:hAnsi="Consolas"/>
          <w:color w:val="202020"/>
          <w:sz w:val="19"/>
        </w:rPr>
        <w:t>catch</w:t>
      </w:r>
      <w:r>
        <w:rPr>
          <w:color w:val="202020"/>
        </w:rPr>
        <w:t xml:space="preserve"> in the drift check swallowed the load failure for </w:t>
      </w:r>
      <w:r>
        <w:rPr>
          <w:rFonts w:ascii="Consolas" w:hAnsi="Consolas"/>
          <w:color w:val="202020"/>
          <w:sz w:val="19"/>
        </w:rPr>
        <w:t>[]</w:t>
      </w:r>
      <w:r>
        <w:rPr>
          <w:color w:val="202020"/>
        </w:rPr>
        <w:t xml:space="preserve"> (or all-blank names), reporting </w:t>
      </w:r>
      <w:r>
        <w:rPr>
          <w:rFonts w:ascii="Consolas" w:hAnsi="Consolas"/>
          <w:color w:val="202020"/>
          <w:sz w:val="19"/>
        </w:rPr>
        <w:t>Ok(strict)=true</w:t>
      </w:r>
      <w:r>
        <w:rPr>
          <w:color w:val="202020"/>
        </w:rPr>
        <w:t xml:space="preserve"> for a file that would make the first stamp of the crawl throw. The drift check now verifies a finding was actually recorded and records one itself when not — and it runs in </w:t>
      </w:r>
      <w:r>
        <w:rPr>
          <w:rFonts w:ascii="Consolas" w:hAnsi="Consolas"/>
          <w:color w:val="202020"/>
          <w:sz w:val="19"/>
        </w:rPr>
        <w:t>validate-config</w:t>
      </w:r>
      <w:r>
        <w:rPr>
          <w:color w:val="202020"/>
        </w:rPr>
        <w:t>, so the misconfiguration is caught before any crawl.</w:t>
      </w:r>
    </w:p>
    <w:p>
      <w:pPr>
        <w:pStyle w:val="Heading3"/>
      </w:pPr>
      <w:r>
        <w:rPr>
          <w:color w:val="2E5496"/>
        </w:rPr>
        <w:t>What is open</w:t>
      </w:r>
    </w:p>
    <w:p>
      <w:pPr>
        <w:pStyle w:val="ListBullet"/>
        <w:spacing w:after="40"/>
      </w:pPr>
      <w:r>
        <w:rPr>
          <w:color w:val="202020"/>
        </w:rPr>
        <w:t xml:space="preserve">Nothing found in rounds 7–10 remains open. Deliberate postures, documented in </w:t>
      </w:r>
      <w:r>
        <w:rPr>
          <w:rFonts w:ascii="Consolas" w:hAnsi="Consolas"/>
          <w:color w:val="202020"/>
          <w:sz w:val="19"/>
        </w:rPr>
        <w:t>docs/CONTENT_GATE.md</w:t>
      </w:r>
      <w:r>
        <w:rPr>
          <w:color w:val="202020"/>
        </w:rPr>
        <w:t>: the text half of the gate fails open (with a loud warning) while the binary half fails closed, and two residual false-positive shapes are accepted because quarantine is re-drivable.</w:t>
      </w:r>
    </w:p>
    <w:p>
      <w:pPr>
        <w:pStyle w:val="Heading2"/>
      </w:pPr>
      <w:r>
        <w:rPr>
          <w:color w:val="2E5496"/>
        </w:rPr>
        <w:t>2.3 Seismic — 541 → 1,017 tests · verdict HOLDS</w:t>
      </w:r>
    </w:p>
    <w:p>
      <w:pPr>
        <w:pStyle w:val="Heading3"/>
      </w:pPr>
      <w:r>
        <w:rPr>
          <w:color w:val="2E5496"/>
        </w:rPr>
        <w:t>What changed</w:t>
      </w:r>
    </w:p>
    <w:p>
      <w:pPr>
        <w:pStyle w:val="ListBullet"/>
        <w:spacing w:after="40"/>
      </w:pPr>
      <w:r>
        <w:rPr>
          <w:b/>
          <w:color w:val="202020"/>
        </w:rPr>
        <w:t>Decision-ledger crash damage closed as a CLASS, not shape-by-shape.</w:t>
      </w:r>
      <w:r>
        <w:rPr>
          <w:color w:val="202020"/>
        </w:rPr>
        <w:t xml:space="preserve"> Round 7 opened with a mangled (not merely lost) record separator silently truncating every acknowledged record behind it while </w:t>
      </w:r>
      <w:r>
        <w:rPr>
          <w:rFonts w:ascii="Consolas" w:hAnsi="Consolas"/>
          <w:color w:val="202020"/>
          <w:sz w:val="19"/>
        </w:rPr>
        <w:t>Verify()</w:t>
      </w:r>
      <w:r>
        <w:rPr>
          <w:color w:val="202020"/>
        </w:rPr>
        <w:t xml:space="preserve"> reported </w:t>
      </w:r>
      <w:r>
        <w:rPr>
          <w:rFonts w:ascii="Consolas" w:hAnsi="Consolas"/>
          <w:color w:val="202020"/>
          <w:sz w:val="19"/>
        </w:rPr>
        <w:t>Valid=True</w:t>
      </w:r>
      <w:r>
        <w:rPr>
          <w:color w:val="202020"/>
        </w:rPr>
        <w:t xml:space="preserve"> — in the probe, 7 records and 1,636 bytes destroyed and their seqs re-issued. The fix is </w:t>
      </w:r>
      <w:r>
        <w:rPr>
          <w:b/>
          <w:color w:val="202020"/>
        </w:rPr>
        <w:t>resynchronisation</w:t>
      </w:r>
      <w:r>
        <w:rPr>
          <w:color w:val="202020"/>
        </w:rPr>
        <w:t>: a parse failure inside a line no longer ends the scan; the reader steps to the next record and keeps going, so interior damage costs only the record it landed in and surfaces as a seq gap.</w:t>
      </w:r>
    </w:p>
    <w:p>
      <w:pPr>
        <w:pStyle w:val="ListBullet"/>
        <w:spacing w:after="40"/>
      </w:pPr>
      <w:r>
        <w:rPr>
          <w:b/>
          <w:color w:val="202020"/>
        </w:rPr>
        <w:t>The write-prefix rule.</w:t>
      </w:r>
      <w:r>
        <w:rPr>
          <w:color w:val="202020"/>
        </w:rPr>
        <w:t xml:space="preserve"> A single </w:t>
      </w:r>
      <w:r>
        <w:rPr>
          <w:rFonts w:ascii="Consolas" w:hAnsi="Consolas"/>
          <w:color w:val="202020"/>
          <w:sz w:val="19"/>
        </w:rPr>
        <w:t>0x5c</w:t>
      </w:r>
      <w:r>
        <w:rPr>
          <w:color w:val="202020"/>
        </w:rPr>
        <w:t xml:space="preserve"> backslash landing in the final record's </w:t>
      </w:r>
      <w:r>
        <w:rPr>
          <w:rFonts w:ascii="Consolas" w:hAnsi="Consolas"/>
          <w:color w:val="202020"/>
          <w:sz w:val="19"/>
        </w:rPr>
        <w:t>Hash</w:t>
      </w:r>
      <w:r>
        <w:rPr>
          <w:color w:val="202020"/>
        </w:rPr>
        <w:t xml:space="preserve"> value opened a JSON escape that made altered bytes look like a torn write. Closed at the class: an interrupted write can only stop early, never alter a byte — so torn residue is discarded only when it is a </w:t>
      </w:r>
      <w:r>
        <w:rPr>
          <w:b/>
          <w:color w:val="202020"/>
        </w:rPr>
        <w:t>byte-for-byte prefix of what the writer could have emitted</w:t>
      </w:r>
      <w:r>
        <w:rPr>
          <w:color w:val="202020"/>
        </w:rPr>
        <w:t xml:space="preserve">. Anything else is evidence: the bytes stay in the file and </w:t>
      </w:r>
      <w:r>
        <w:rPr>
          <w:rFonts w:ascii="Consolas" w:hAnsi="Consolas"/>
          <w:color w:val="202020"/>
          <w:sz w:val="19"/>
        </w:rPr>
        <w:t>ReadFile()</w:t>
      </w:r>
      <w:r>
        <w:rPr>
          <w:color w:val="202020"/>
        </w:rPr>
        <w:t xml:space="preserve"> refuses it.</w:t>
      </w:r>
    </w:p>
    <w:p>
      <w:pPr>
        <w:pStyle w:val="ListBullet"/>
        <w:spacing w:after="40"/>
      </w:pPr>
      <w:r>
        <w:rPr>
          <w:b/>
          <w:color w:val="202020"/>
        </w:rPr>
        <w:t>Damage is surfaced, not swallowed:</w:t>
      </w:r>
      <w:r>
        <w:rPr>
          <w:color w:val="202020"/>
        </w:rPr>
        <w:t xml:space="preserve"> </w:t>
      </w:r>
      <w:r>
        <w:rPr>
          <w:rFonts w:ascii="Consolas" w:hAnsi="Consolas"/>
          <w:color w:val="202020"/>
          <w:sz w:val="19"/>
        </w:rPr>
        <w:t>DecisionLedger.ReadFile(path, out LedgerFileDamage)</w:t>
      </w:r>
      <w:r>
        <w:rPr>
          <w:color w:val="202020"/>
        </w:rPr>
        <w:t xml:space="preserve"> reports resynchronised regions and damaged tails. A seq overflow guard now also enforces the bound at the point of issue (</w:t>
      </w:r>
      <w:r>
        <w:rPr>
          <w:rFonts w:ascii="Consolas" w:hAnsi="Consolas"/>
          <w:color w:val="202020"/>
          <w:sz w:val="19"/>
        </w:rPr>
        <w:t>MaxSeq = long.MaxValue - 1</w:t>
      </w:r>
      <w:r>
        <w:rPr>
          <w:color w:val="202020"/>
        </w:rPr>
        <w:t>), closing a negative-seq wraparound.</w:t>
      </w:r>
    </w:p>
    <w:p>
      <w:pPr>
        <w:pStyle w:val="ListBullet"/>
        <w:spacing w:after="40"/>
      </w:pPr>
      <w:r>
        <w:rPr>
          <w:b/>
          <w:color w:val="202020"/>
        </w:rPr>
        <w:t xml:space="preserve">The guarantee, stated in </w:t>
      </w:r>
      <w:r>
        <w:rPr>
          <w:rFonts w:ascii="Consolas" w:hAnsi="Consolas"/>
          <w:b/>
          <w:color w:val="202020"/>
          <w:sz w:val="19"/>
        </w:rPr>
        <w:t>docs/EXCLUSIONS.md</w:t>
      </w:r>
      <w:r>
        <w:rPr>
          <w:b/>
          <w:color w:val="202020"/>
        </w:rPr>
        <w:t>:</w:t>
      </w:r>
      <w:r>
        <w:rPr>
          <w:color w:val="202020"/>
        </w:rPr>
        <w:t xml:space="preserve"> "The guarantee is not that nothing is ever lost; it is that nothing is ever lost quietly" — with the exhaustive measurement behind it: all 256 replacement bytes at all 265 offsets of a real final record, plus delete/insert/truncate sweeps — 136,466 combinations, 5 quiet drops, all confined to one byte (see 2.3 open item and §3).</w:t>
      </w:r>
    </w:p>
    <w:p>
      <w:pPr>
        <w:pStyle w:val="Heading3"/>
      </w:pPr>
      <w:r>
        <w:rPr>
          <w:color w:val="2E5496"/>
        </w:rPr>
        <w:t>What is open</w:t>
      </w:r>
    </w:p>
    <w:p>
      <w:pPr>
        <w:pStyle w:val="ListBullet"/>
        <w:spacing w:after="40"/>
      </w:pPr>
      <w:r>
        <w:rPr>
          <w:b/>
          <w:color w:val="202020"/>
        </w:rPr>
        <w:t>One quiet-loss shape remains:</w:t>
      </w:r>
      <w:r>
        <w:rPr>
          <w:color w:val="202020"/>
        </w:rPr>
        <w:t xml:space="preserve"> the final record's closing brace overwritten by one of the four JSON whitespace bytes (</w:t>
      </w:r>
      <w:r>
        <w:rPr>
          <w:rFonts w:ascii="Consolas" w:hAnsi="Consolas"/>
          <w:color w:val="202020"/>
          <w:sz w:val="19"/>
        </w:rPr>
        <w:t>0x09</w:t>
      </w:r>
      <w:r>
        <w:rPr>
          <w:color w:val="202020"/>
        </w:rPr>
        <w:t xml:space="preserve">, </w:t>
      </w:r>
      <w:r>
        <w:rPr>
          <w:rFonts w:ascii="Consolas" w:hAnsi="Consolas"/>
          <w:color w:val="202020"/>
          <w:sz w:val="19"/>
        </w:rPr>
        <w:t>0x0a</w:t>
      </w:r>
      <w:r>
        <w:rPr>
          <w:color w:val="202020"/>
        </w:rPr>
        <w:t xml:space="preserve">, </w:t>
      </w:r>
      <w:r>
        <w:rPr>
          <w:rFonts w:ascii="Consolas" w:hAnsi="Consolas"/>
          <w:color w:val="202020"/>
          <w:sz w:val="19"/>
        </w:rPr>
        <w:t>0x0d</w:t>
      </w:r>
      <w:r>
        <w:rPr>
          <w:color w:val="202020"/>
        </w:rPr>
        <w:t xml:space="preserve">, </w:t>
      </w:r>
      <w:r>
        <w:rPr>
          <w:rFonts w:ascii="Consolas" w:hAnsi="Consolas"/>
          <w:color w:val="202020"/>
          <w:sz w:val="19"/>
        </w:rPr>
        <w:t>0x20</w:t>
      </w:r>
      <w:r>
        <w:rPr>
          <w:color w:val="202020"/>
        </w:rPr>
        <w:t xml:space="preserve">) or deleted outright. After the trailing-whitespace trimming the format performs anyway, that residue is indistinguishable from a write that stopped one byte short, so the record is dropped quietly. </w:t>
      </w:r>
      <w:r>
        <w:rPr>
          <w:rFonts w:ascii="Consolas" w:hAnsi="Consolas"/>
          <w:color w:val="202020"/>
          <w:sz w:val="19"/>
        </w:rPr>
        <w:t>docs/THREAT_MODEL.md</w:t>
      </w:r>
      <w:r>
        <w:rPr>
          <w:color w:val="202020"/>
        </w:rPr>
        <w:t xml:space="preserve"> states it as "One case is irreducible and is not covered"; </w:t>
      </w:r>
      <w:r>
        <w:rPr>
          <w:rFonts w:ascii="Consolas" w:hAnsi="Consolas"/>
          <w:color w:val="202020"/>
          <w:sz w:val="19"/>
        </w:rPr>
        <w:t>docs/EXCLUSIONS.md</w:t>
      </w:r>
      <w:r>
        <w:rPr>
          <w:color w:val="202020"/>
        </w:rPr>
        <w:t xml:space="preserve"> records it under "The single exception, stated plainly." The off-box/WORM ledger copy is the compensating control.</w:t>
      </w:r>
    </w:p>
    <w:p>
      <w:pPr>
        <w:pStyle w:val="Heading2"/>
      </w:pPr>
      <w:r>
        <w:rPr>
          <w:color w:val="2E5496"/>
        </w:rPr>
        <w:t>2.4 Altrata — 517 → 743 tests · verdict HOLDS (8/8 claims ruled TRUE)</w:t>
      </w:r>
    </w:p>
    <w:p>
      <w:pPr>
        <w:pStyle w:val="Heading3"/>
      </w:pPr>
      <w:r>
        <w:rPr>
          <w:color w:val="2E5496"/>
        </w:rPr>
        <w:t>The revert, stated plainly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BEDD6"/>
            <w:tcBorders>
              <w:top w:val="single" w:sz="4" w:space="0" w:color="C77700"/>
              <w:left w:val="single" w:sz="24" w:space="0" w:color="C77700"/>
              <w:bottom w:val="single" w:sz="4" w:space="0" w:color="C77700"/>
              <w:right w:val="single" w:sz="4" w:space="0" w:color="C77700"/>
            </w:tcBorders>
          </w:tcPr>
          <w:p>
            <w:r>
              <w:rPr>
                <w:b/>
                <w:color w:val="C77700"/>
              </w:rPr>
              <w:t xml:space="preserve">Important: </w:t>
            </w:r>
            <w:r>
              <w:rPr>
                <w:b/>
                <w:color w:val="202020"/>
                <w:sz w:val="20"/>
              </w:rPr>
              <w:t>A round-8 control was withdrawn because it made DSAR erasure worse than the bug it fixed.</w:t>
            </w:r>
            <w:r>
              <w:rPr>
                <w:color w:val="202020"/>
                <w:sz w:val="20"/>
              </w:rPr>
              <w:t xml:space="preserve"> The round-8 state-backend boundary validation canonicalised writes all-or-nothing, so one legacy out-of-domain record made the </w:t>
            </w:r>
            <w:r>
              <w:rPr>
                <w:rFonts w:ascii="Consolas" w:hAnsi="Consolas"/>
                <w:color w:val="202020"/>
                <w:sz w:val="19"/>
              </w:rPr>
              <w:t>forget-subject</w:t>
            </w:r>
            <w:r>
              <w:rPr>
                <w:color w:val="202020"/>
                <w:sz w:val="20"/>
              </w:rPr>
              <w:t xml:space="preserve"> dead-letter scrub </w:t>
            </w:r>
            <w:r>
              <w:rPr>
                <w:b/>
                <w:color w:val="202020"/>
                <w:sz w:val="20"/>
              </w:rPr>
              <w:t>throw before writing anything</w:t>
            </w:r>
            <w:r>
              <w:rPr>
                <w:color w:val="202020"/>
                <w:sz w:val="20"/>
              </w:rPr>
              <w:t xml:space="preserve">: the erased subject's payload stayed on disk and the erasure was left half-applied. It was reverted in </w:t>
            </w:r>
            <w:r>
              <w:rPr>
                <w:rFonts w:ascii="Consolas" w:hAnsi="Consolas"/>
                <w:color w:val="202020"/>
                <w:sz w:val="19"/>
              </w:rPr>
              <w:t>d665d00</w:t>
            </w:r>
            <w:r>
              <w:rPr>
                <w:color w:val="202020"/>
                <w:sz w:val="20"/>
              </w:rPr>
              <w:t xml:space="preserve">. The two divergences it had targeted — an unpaired UTF-16 surrogate corrupting a subject id, and the </w:t>
            </w:r>
            <w:r>
              <w:rPr>
                <w:rFonts w:ascii="Consolas" w:hAnsi="Consolas"/>
                <w:color w:val="202020"/>
                <w:sz w:val="19"/>
              </w:rPr>
              <w:t>NVARCHAR(256)</w:t>
            </w:r>
            <w:r>
              <w:rPr>
                <w:color w:val="202020"/>
                <w:sz w:val="20"/>
              </w:rPr>
              <w:t xml:space="preserve"> length bound — were </w:t>
            </w:r>
            <w:r>
              <w:rPr>
                <w:b/>
                <w:color w:val="202020"/>
                <w:sz w:val="20"/>
              </w:rPr>
              <w:t>re-opened</w:t>
            </w:r>
            <w:r>
              <w:rPr>
                <w:color w:val="202020"/>
                <w:sz w:val="20"/>
              </w:rPr>
              <w:t xml:space="preserve"> and documented as OPEN in </w:t>
            </w:r>
            <w:r>
              <w:rPr>
                <w:rFonts w:ascii="Consolas" w:hAnsi="Consolas"/>
                <w:color w:val="202020"/>
                <w:sz w:val="19"/>
              </w:rPr>
              <w:t>docs/SQL_CONTRACT.md</w:t>
            </w:r>
            <w:r>
              <w:rPr>
                <w:color w:val="202020"/>
                <w:sz w:val="20"/>
              </w:rPr>
              <w:t xml:space="preserve"> and </w:t>
            </w:r>
            <w:r>
              <w:rPr>
                <w:rFonts w:ascii="Consolas" w:hAnsi="Consolas"/>
                <w:color w:val="202020"/>
                <w:sz w:val="19"/>
              </w:rPr>
              <w:t>docs/ERASURE.md</w:t>
            </w:r>
            <w:r>
              <w:rPr>
                <w:color w:val="202020"/>
                <w:sz w:val="20"/>
              </w:rPr>
              <w:t>, with tests pinning the then-defective behaviour so the docs stayed checkable.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2E5496"/>
        </w:rPr>
        <w:t>The replacement (fdd18d5)</w:t>
      </w:r>
    </w:p>
    <w:p>
      <w:pPr>
        <w:pStyle w:val="ListBullet"/>
        <w:spacing w:after="40"/>
      </w:pPr>
      <w:r>
        <w:rPr>
          <w:b/>
          <w:color w:val="202020"/>
        </w:rPr>
        <w:t>Subject-id validation moved to the erase-subject ENTRY POINT — the one correct place.</w:t>
      </w:r>
      <w:r>
        <w:rPr>
          <w:color w:val="202020"/>
        </w:rPr>
        <w:t xml:space="preserve"> </w:t>
      </w:r>
      <w:r>
        <w:rPr>
          <w:rFonts w:ascii="Consolas" w:hAnsi="Consolas"/>
          <w:color w:val="202020"/>
          <w:sz w:val="19"/>
        </w:rPr>
        <w:t>forget-subject</w:t>
      </w:r>
      <w:r>
        <w:rPr>
          <w:color w:val="202020"/>
        </w:rPr>
        <w:t xml:space="preserve"> refuses an ill-formed (unpaired-surrogate) or over-long </w:t>
      </w:r>
      <w:r>
        <w:rPr>
          <w:rFonts w:ascii="Consolas" w:hAnsi="Consolas"/>
          <w:color w:val="202020"/>
          <w:sz w:val="19"/>
        </w:rPr>
        <w:t>--id</w:t>
      </w:r>
      <w:r>
        <w:rPr>
          <w:color w:val="202020"/>
        </w:rPr>
        <w:t xml:space="preserve"> at the very start of the command, </w:t>
      </w:r>
      <w:r>
        <w:rPr>
          <w:b/>
          <w:color w:val="202020"/>
        </w:rPr>
        <w:t>before any mutation</w:t>
      </w:r>
      <w:r>
        <w:rPr>
          <w:color w:val="202020"/>
        </w:rPr>
        <w:t xml:space="preserve">: a rejected erasure leaves every store file byte-identical, and </w:t>
      </w:r>
      <w:r>
        <w:rPr>
          <w:rFonts w:ascii="Consolas" w:hAnsi="Consolas"/>
          <w:color w:val="202020"/>
          <w:sz w:val="19"/>
        </w:rPr>
        <w:t>--dry-run</w:t>
      </w:r>
      <w:r>
        <w:rPr>
          <w:color w:val="202020"/>
        </w:rPr>
        <w:t xml:space="preserve"> refuses identically. The caller audit showed the store receives a mix of operator input and stored crosswalk ids — which is why validating in the store (round 8's placement) re-created the wedge, and entry-point validation does not.</w:t>
      </w:r>
    </w:p>
    <w:p>
      <w:pPr>
        <w:pStyle w:val="ListBullet"/>
        <w:spacing w:after="40"/>
      </w:pPr>
      <w:r>
        <w:rPr>
          <w:b/>
          <w:color w:val="202020"/>
        </w:rPr>
        <w:t>The length bound is parsed from the shipped DDL at runtime</w:t>
      </w:r>
      <w:r>
        <w:rPr>
          <w:color w:val="202020"/>
        </w:rPr>
        <w:t>, not a second constant that could drift. A 256-unit emoji id is accepted; only genuine corruption refuses. Refusal messages cap the rendered id at 64 units on both branches — the hostile verifier's 100,001-unit probe previously came back echoed whole.</w:t>
      </w:r>
    </w:p>
    <w:p>
      <w:pPr>
        <w:pStyle w:val="ListBullet"/>
        <w:spacing w:after="40"/>
      </w:pPr>
      <w:r>
        <w:rPr>
          <w:b/>
          <w:color w:val="202020"/>
        </w:rPr>
        <w:t>Replay, read and delete paths deliberately tolerate legacy data</w:t>
      </w:r>
      <w:r>
        <w:rPr>
          <w:color w:val="202020"/>
        </w:rPr>
        <w:t xml:space="preserve"> — erasure of already-stored subjects must keep working over records written before the rule existed.</w:t>
      </w:r>
    </w:p>
    <w:p>
      <w:pPr>
        <w:pStyle w:val="ListBullet"/>
        <w:spacing w:after="40"/>
      </w:pPr>
      <w:r>
        <w:rPr>
          <w:b/>
          <w:color w:val="202020"/>
        </w:rPr>
        <w:t>Kept from round 8 (not reverted):</w:t>
      </w:r>
      <w:r>
        <w:rPr>
          <w:color w:val="202020"/>
        </w:rPr>
        <w:t xml:space="preserve"> </w:t>
      </w:r>
      <w:r>
        <w:rPr>
          <w:rFonts w:ascii="Consolas" w:hAnsi="Consolas"/>
          <w:color w:val="202020"/>
          <w:sz w:val="19"/>
        </w:rPr>
        <w:t>DeadLetterRecord.CorrelationId</w:t>
      </w:r>
      <w:r>
        <w:rPr>
          <w:color w:val="202020"/>
        </w:rPr>
        <w:t xml:space="preserve"> is now persisted by the SQL backend (</w:t>
      </w:r>
      <w:r>
        <w:rPr>
          <w:rFonts w:ascii="Consolas" w:hAnsi="Consolas"/>
          <w:color w:val="202020"/>
          <w:sz w:val="19"/>
        </w:rPr>
        <w:t>correlation_id NVARCHAR(128) NULL</w:t>
      </w:r>
      <w:r>
        <w:rPr>
          <w:color w:val="202020"/>
        </w:rPr>
        <w:t xml:space="preserve">, guarded </w:t>
      </w:r>
      <w:r>
        <w:rPr>
          <w:rFonts w:ascii="Consolas" w:hAnsi="Consolas"/>
          <w:color w:val="202020"/>
          <w:sz w:val="19"/>
        </w:rPr>
        <w:t>ALTER</w:t>
      </w:r>
      <w:r>
        <w:rPr>
          <w:color w:val="202020"/>
        </w:rPr>
        <w:t xml:space="preserve"> for deployed tables), and every subject-id column compared by equality declares </w:t>
      </w:r>
      <w:r>
        <w:rPr>
          <w:rFonts w:ascii="Consolas" w:hAnsi="Consolas"/>
          <w:color w:val="202020"/>
          <w:sz w:val="19"/>
        </w:rPr>
        <w:t>Latin1_General_100_BIN2</w:t>
      </w:r>
      <w:r>
        <w:rPr>
          <w:color w:val="202020"/>
        </w:rPr>
        <w:t xml:space="preserve"> collation — equality-identical to </w:t>
      </w:r>
      <w:r>
        <w:rPr>
          <w:rFonts w:ascii="Consolas" w:hAnsi="Consolas"/>
          <w:color w:val="202020"/>
          <w:sz w:val="19"/>
        </w:rPr>
        <w:t>StringComparer.Ordinal</w:t>
      </w:r>
      <w:r>
        <w:rPr>
          <w:color w:val="202020"/>
        </w:rPr>
        <w:t>, closing the file-vs-SQL suppression-list divergence.</w:t>
      </w:r>
    </w:p>
    <w:p>
      <w:pPr>
        <w:pStyle w:val="ListBullet"/>
        <w:spacing w:after="40"/>
      </w:pPr>
      <w:r>
        <w:rPr>
          <w:color w:val="202020"/>
        </w:rPr>
        <w:t>15 mutants of the fix were killed across fixer and verifier suites; the independent verifier ruled all 8 of the fixer's claims TRUE.</w:t>
      </w:r>
    </w:p>
    <w:p>
      <w:pPr>
        <w:pStyle w:val="Heading3"/>
      </w:pPr>
      <w:r>
        <w:rPr>
          <w:color w:val="2E5496"/>
        </w:rPr>
        <w:t>What is open</w:t>
      </w:r>
    </w:p>
    <w:p>
      <w:pPr>
        <w:pStyle w:val="ListBullet"/>
        <w:spacing w:after="40"/>
      </w:pPr>
      <w:r>
        <w:rPr>
          <w:rFonts w:ascii="Consolas" w:hAnsi="Consolas"/>
          <w:color w:val="202020"/>
          <w:sz w:val="19"/>
        </w:rPr>
        <w:t>connectorId</w:t>
      </w:r>
      <w:r>
        <w:rPr>
          <w:color w:val="202020"/>
        </w:rPr>
        <w:t xml:space="preserve"> case/path divergence between backends (file: case-insensitive; SQL: </w:t>
      </w:r>
      <w:r>
        <w:rPr>
          <w:rFonts w:ascii="Consolas" w:hAnsi="Consolas"/>
          <w:color w:val="202020"/>
          <w:sz w:val="19"/>
        </w:rPr>
        <w:t>BIN2</w:t>
      </w:r>
      <w:r>
        <w:rPr>
          <w:color w:val="202020"/>
        </w:rPr>
        <w:t>); an id containing a path separator escapes the data directory.</w:t>
      </w:r>
    </w:p>
    <w:p>
      <w:pPr>
        <w:pStyle w:val="ListBullet"/>
        <w:spacing w:after="40"/>
      </w:pPr>
      <w:r>
        <w:rPr>
          <w:color w:val="202020"/>
        </w:rPr>
        <w:t xml:space="preserve">The rollback-after-commit guard is IL-scoped to </w:t>
      </w:r>
      <w:r>
        <w:rPr>
          <w:rFonts w:ascii="Consolas" w:hAnsi="Consolas"/>
          <w:color w:val="202020"/>
          <w:sz w:val="19"/>
        </w:rPr>
        <w:t>SqlStateStore</w:t>
      </w:r>
      <w:r>
        <w:rPr>
          <w:color w:val="202020"/>
        </w:rPr>
        <w:t xml:space="preserve"> — correct behaviour relocated to a helper class would evade the guard.</w:t>
      </w:r>
    </w:p>
    <w:p>
      <w:pPr>
        <w:pStyle w:val="ListBullet"/>
        <w:spacing w:after="40"/>
      </w:pPr>
      <w:r>
        <w:rPr>
          <w:color w:val="202020"/>
        </w:rPr>
        <w:t xml:space="preserve">An over-long subject id replayed from the crosswalk via </w:t>
      </w:r>
      <w:r>
        <w:rPr>
          <w:rFonts w:ascii="Consolas" w:hAnsi="Consolas"/>
          <w:color w:val="202020"/>
          <w:sz w:val="19"/>
        </w:rPr>
        <w:t>--email</w:t>
      </w:r>
      <w:r>
        <w:rPr>
          <w:color w:val="202020"/>
        </w:rPr>
        <w:t xml:space="preserve"> can still hit SQL error 8152 mid-erase; SQL's trailing-space folding on </w:t>
      </w:r>
      <w:r>
        <w:rPr>
          <w:rFonts w:ascii="Consolas" w:hAnsi="Consolas"/>
          <w:color w:val="202020"/>
          <w:sz w:val="19"/>
        </w:rPr>
        <w:t>=</w:t>
      </w:r>
      <w:r>
        <w:rPr>
          <w:color w:val="202020"/>
        </w:rPr>
        <w:t xml:space="preserve"> also remains open for values already in state. Both are stated in </w:t>
      </w:r>
      <w:r>
        <w:rPr>
          <w:rFonts w:ascii="Consolas" w:hAnsi="Consolas"/>
          <w:color w:val="202020"/>
          <w:sz w:val="19"/>
        </w:rPr>
        <w:t>docs/SQL_CONTRACT.md</w:t>
      </w:r>
      <w:r>
        <w:rPr>
          <w:color w:val="202020"/>
        </w:rPr>
        <w:t xml:space="preserve"> with their consequences.</w:t>
      </w:r>
    </w:p>
    <w:p>
      <w:pPr>
        <w:pStyle w:val="Heading2"/>
      </w:pPr>
      <w:r>
        <w:rPr>
          <w:color w:val="2E5496"/>
        </w:rPr>
        <w:t>2.5 Hadoop BDH — 702 → 981 tests · held under attack</w:t>
      </w:r>
    </w:p>
    <w:p>
      <w:pPr>
        <w:pStyle w:val="Heading3"/>
      </w:pPr>
      <w:r>
        <w:rPr>
          <w:color w:val="2E5496"/>
        </w:rPr>
        <w:t>What changed</w:t>
      </w:r>
    </w:p>
    <w:p>
      <w:pPr>
        <w:pStyle w:val="ListBullet"/>
        <w:spacing w:after="40"/>
      </w:pPr>
      <w:r>
        <w:rPr>
          <w:b/>
          <w:color w:val="202020"/>
        </w:rPr>
        <w:t xml:space="preserve">Preflight now validates every config file the connector reads — </w:t>
      </w:r>
      <w:r>
        <w:rPr>
          <w:rFonts w:ascii="Consolas" w:hAnsi="Consolas"/>
          <w:b/>
          <w:color w:val="202020"/>
          <w:sz w:val="19"/>
        </w:rPr>
        <w:t>classification.json</w:t>
      </w:r>
      <w:r>
        <w:rPr>
          <w:b/>
          <w:color w:val="202020"/>
        </w:rPr>
        <w:t xml:space="preserve"> included.</w:t>
      </w:r>
      <w:r>
        <w:rPr>
          <w:color w:val="202020"/>
        </w:rPr>
        <w:t xml:space="preserve"> The worst shape lived in </w:t>
      </w:r>
      <w:r>
        <w:rPr>
          <w:rFonts w:ascii="Consolas" w:hAnsi="Consolas"/>
          <w:color w:val="202020"/>
          <w:sz w:val="19"/>
        </w:rPr>
        <w:t>schema.json</w:t>
      </w:r>
      <w:r>
        <w:rPr>
          <w:color w:val="202020"/>
        </w:rPr>
        <w:t xml:space="preserve">: </w:t>
      </w:r>
      <w:r>
        <w:rPr>
          <w:rFonts w:ascii="Consolas" w:hAnsi="Consolas"/>
          <w:color w:val="202020"/>
          <w:sz w:val="19"/>
        </w:rPr>
        <w:t>"selectedFields": {"Comp__c": null}</w:t>
      </w:r>
      <w:r>
        <w:rPr>
          <w:color w:val="202020"/>
        </w:rPr>
        <w:t xml:space="preserve"> loaded cleanly, passed </w:t>
      </w:r>
      <w:r>
        <w:rPr>
          <w:rFonts w:ascii="Consolas" w:hAnsi="Consolas"/>
          <w:color w:val="202020"/>
          <w:sz w:val="19"/>
        </w:rPr>
        <w:t>validate-config --strict</w:t>
      </w:r>
      <w:r>
        <w:rPr>
          <w:color w:val="202020"/>
        </w:rPr>
        <w:t xml:space="preserve"> with zero errors, and conversion then threw on every record — a silent 100% dead-letter of the object (CHANGELOG). </w:t>
      </w:r>
      <w:r>
        <w:rPr>
          <w:rFonts w:ascii="Consolas" w:hAnsi="Consolas"/>
          <w:color w:val="202020"/>
          <w:sz w:val="19"/>
        </w:rPr>
        <w:t>null</w:t>
      </w:r>
      <w:r>
        <w:rPr>
          <w:color w:val="202020"/>
        </w:rPr>
        <w:t xml:space="preserve">s in </w:t>
      </w:r>
      <w:r>
        <w:rPr>
          <w:rFonts w:ascii="Consolas" w:hAnsi="Consolas"/>
          <w:color w:val="202020"/>
          <w:sz w:val="19"/>
        </w:rPr>
        <w:t>classification.json</w:t>
      </w:r>
      <w:r>
        <w:rPr>
          <w:color w:val="202020"/>
        </w:rPr>
        <w:t xml:space="preserve"> failed differently: at crawl start, with a raw stack trace at config load (</w:t>
      </w:r>
      <w:r>
        <w:rPr>
          <w:rFonts w:ascii="Consolas" w:hAnsi="Consolas"/>
          <w:color w:val="202020"/>
          <w:sz w:val="19"/>
        </w:rPr>
        <w:t>docs/CONFIG_NULL_SEMANTICS.md</w:t>
      </w:r>
      <w:r>
        <w:rPr>
          <w:color w:val="202020"/>
        </w:rPr>
        <w:t xml:space="preserve">). The invariant now enforced: no config, in any file, may pass </w:t>
      </w:r>
      <w:r>
        <w:rPr>
          <w:rFonts w:ascii="Consolas" w:hAnsi="Consolas"/>
          <w:color w:val="202020"/>
          <w:sz w:val="19"/>
        </w:rPr>
        <w:t>--strict</w:t>
      </w:r>
      <w:r>
        <w:rPr>
          <w:color w:val="202020"/>
        </w:rPr>
        <w:t xml:space="preserve"> green and fail at crawl. A reflective null-normaliser (</w:t>
      </w:r>
      <w:r>
        <w:rPr>
          <w:rFonts w:ascii="Consolas" w:hAnsi="Consolas"/>
          <w:color w:val="202020"/>
          <w:sz w:val="19"/>
        </w:rPr>
        <w:t>Config/ConfigNullNormalizer.cs</w:t>
      </w:r>
      <w:r>
        <w:rPr>
          <w:color w:val="202020"/>
        </w:rPr>
        <w:t>) walks the whole deserialized model, so a member added later is covered the day it is added — no property list to forget.</w:t>
      </w:r>
    </w:p>
    <w:p>
      <w:pPr>
        <w:pStyle w:val="ListBullet"/>
        <w:spacing w:after="40"/>
      </w:pPr>
      <w:r>
        <w:rPr>
          <w:b/>
          <w:color w:val="202020"/>
        </w:rPr>
        <w:t>The always-emitted property set was five; it is SEVEN</w:t>
      </w:r>
      <w:r>
        <w:rPr>
          <w:color w:val="202020"/>
        </w:rPr>
        <w:t xml:space="preserve"> (</w:t>
      </w:r>
      <w:r>
        <w:rPr>
          <w:rFonts w:ascii="Consolas" w:hAnsi="Consolas"/>
          <w:color w:val="202020"/>
          <w:sz w:val="19"/>
        </w:rPr>
        <w:t>ObjectName</w:t>
      </w:r>
      <w:r>
        <w:rPr>
          <w:color w:val="202020"/>
        </w:rPr>
        <w:t xml:space="preserve">, </w:t>
      </w:r>
      <w:r>
        <w:rPr>
          <w:rFonts w:ascii="Consolas" w:hAnsi="Consolas"/>
          <w:color w:val="202020"/>
          <w:sz w:val="19"/>
        </w:rPr>
        <w:t>Url</w:t>
      </w:r>
      <w:r>
        <w:rPr>
          <w:color w:val="202020"/>
        </w:rPr>
        <w:t xml:space="preserve">, </w:t>
      </w:r>
      <w:r>
        <w:rPr>
          <w:rFonts w:ascii="Consolas" w:hAnsi="Consolas"/>
          <w:color w:val="202020"/>
          <w:sz w:val="19"/>
        </w:rPr>
        <w:t>IconUrl</w:t>
      </w:r>
      <w:r>
        <w:rPr>
          <w:color w:val="202020"/>
        </w:rPr>
        <w:t xml:space="preserve">, </w:t>
      </w:r>
      <w:r>
        <w:rPr>
          <w:rFonts w:ascii="Consolas" w:hAnsi="Consolas"/>
          <w:color w:val="202020"/>
          <w:sz w:val="19"/>
        </w:rPr>
        <w:t>SourceSystem</w:t>
      </w:r>
      <w:r>
        <w:rPr>
          <w:color w:val="202020"/>
        </w:rPr>
        <w:t xml:space="preserve">, </w:t>
      </w:r>
      <w:r>
        <w:rPr>
          <w:rFonts w:ascii="Consolas" w:hAnsi="Consolas"/>
          <w:color w:val="202020"/>
          <w:sz w:val="19"/>
        </w:rPr>
        <w:t>DataAsOf</w:t>
      </w:r>
      <w:r>
        <w:rPr>
          <w:color w:val="202020"/>
        </w:rPr>
        <w:t xml:space="preserve">, </w:t>
      </w:r>
      <w:r>
        <w:rPr>
          <w:rFonts w:ascii="Consolas" w:hAnsi="Consolas"/>
          <w:color w:val="202020"/>
          <w:sz w:val="19"/>
        </w:rPr>
        <w:t>SensitivityLabel</w:t>
      </w:r>
      <w:r>
        <w:rPr>
          <w:color w:val="202020"/>
        </w:rPr>
        <w:t xml:space="preserve">, </w:t>
      </w:r>
      <w:r>
        <w:rPr>
          <w:rFonts w:ascii="Consolas" w:hAnsi="Consolas"/>
          <w:color w:val="202020"/>
          <w:sz w:val="19"/>
        </w:rPr>
        <w:t>DetectedCategories</w:t>
      </w:r>
      <w:r>
        <w:rPr>
          <w:color w:val="202020"/>
        </w:rPr>
        <w:t xml:space="preserve">) — </w:t>
      </w:r>
      <w:r>
        <w:rPr>
          <w:rFonts w:ascii="Consolas" w:hAnsi="Consolas"/>
          <w:color w:val="202020"/>
          <w:sz w:val="19"/>
        </w:rPr>
        <w:t>SensitivityClassifier</w:t>
      </w:r>
      <w:r>
        <w:rPr>
          <w:color w:val="202020"/>
        </w:rPr>
        <w:t xml:space="preserve"> stamps two more after </w:t>
      </w:r>
      <w:r>
        <w:rPr>
          <w:rFonts w:ascii="Consolas" w:hAnsi="Consolas"/>
          <w:color w:val="202020"/>
          <w:sz w:val="19"/>
        </w:rPr>
        <w:t>Convert</w:t>
      </w:r>
      <w:r>
        <w:rPr>
          <w:color w:val="202020"/>
        </w:rPr>
        <w:t>, which no check knew about. The set is now sourced from one production symbol (</w:t>
      </w:r>
      <w:r>
        <w:rPr>
          <w:rFonts w:ascii="Consolas" w:hAnsi="Consolas"/>
          <w:color w:val="202020"/>
          <w:sz w:val="19"/>
        </w:rPr>
        <w:t>AlwaysEmittedProperties.Names</w:t>
      </w:r>
      <w:r>
        <w:rPr>
          <w:color w:val="202020"/>
        </w:rPr>
        <w:t xml:space="preserve">, contributed by the emitters themselves) and collision-checked in both directions against </w:t>
      </w:r>
      <w:r>
        <w:rPr>
          <w:rFonts w:ascii="Consolas" w:hAnsi="Consolas"/>
          <w:color w:val="202020"/>
          <w:sz w:val="19"/>
        </w:rPr>
        <w:t>selectedFields</w:t>
      </w:r>
      <w:r>
        <w:rPr>
          <w:color w:val="202020"/>
        </w:rPr>
        <w:t xml:space="preserve"> and </w:t>
      </w:r>
      <w:r>
        <w:rPr>
          <w:rFonts w:ascii="Consolas" w:hAnsi="Consolas"/>
          <w:color w:val="202020"/>
          <w:sz w:val="19"/>
        </w:rPr>
        <w:t>columnPolicies</w:t>
      </w:r>
      <w:r>
        <w:rPr>
          <w:color w:val="202020"/>
        </w:rPr>
        <w:t>.</w:t>
      </w:r>
    </w:p>
    <w:p>
      <w:pPr>
        <w:pStyle w:val="ListBullet"/>
        <w:spacing w:after="40"/>
      </w:pPr>
      <w:r>
        <w:rPr>
          <w:b/>
          <w:color w:val="202020"/>
        </w:rPr>
        <w:t xml:space="preserve">The </w:t>
      </w:r>
      <w:r>
        <w:rPr>
          <w:rFonts w:ascii="Consolas" w:hAnsi="Consolas"/>
          <w:b/>
          <w:color w:val="202020"/>
          <w:sz w:val="19"/>
        </w:rPr>
        <w:t>--strict</w:t>
      </w:r>
      <w:r>
        <w:rPr>
          <w:b/>
          <w:color w:val="202020"/>
        </w:rPr>
        <w:t xml:space="preserve"> verdict is flag-invariant for any file that exists.</w:t>
      </w:r>
      <w:r>
        <w:rPr>
          <w:color w:val="202020"/>
        </w:rPr>
        <w:t xml:space="preserve"> The empty-categories finding was gated on </w:t>
      </w:r>
      <w:r>
        <w:rPr>
          <w:rFonts w:ascii="Consolas" w:hAnsi="Consolas"/>
          <w:color w:val="202020"/>
          <w:sz w:val="19"/>
        </w:rPr>
        <w:t>CLASSIFICATION</w:t>
      </w:r>
      <w:r>
        <w:rPr>
          <w:color w:val="202020"/>
        </w:rPr>
        <w:t xml:space="preserve">, so </w:t>
      </w:r>
      <w:r>
        <w:rPr>
          <w:rFonts w:ascii="Consolas" w:hAnsi="Consolas"/>
          <w:color w:val="202020"/>
          <w:sz w:val="19"/>
        </w:rPr>
        <w:t>{"categories": []}</w:t>
      </w:r>
      <w:r>
        <w:rPr>
          <w:color w:val="202020"/>
        </w:rPr>
        <w:t xml:space="preserve"> was green with the flag unset and red with it set — a green change ticket converting into a silent-detection-gap deployment on flag-flip day. Every flag-conditional finding was audited and ruled: one made unconditional, four kept with stated reasons. The one deliberate flag-judged case is an </w:t>
      </w:r>
      <w:r>
        <w:rPr>
          <w:b/>
          <w:color w:val="202020"/>
        </w:rPr>
        <w:t>absent</w:t>
      </w:r>
      <w:r>
        <w:rPr>
          <w:color w:val="202020"/>
        </w:rPr>
        <w:t xml:space="preserve"> </w:t>
      </w:r>
      <w:r>
        <w:rPr>
          <w:rFonts w:ascii="Consolas" w:hAnsi="Consolas"/>
          <w:color w:val="202020"/>
          <w:sz w:val="19"/>
        </w:rPr>
        <w:t>classification.json</w:t>
      </w:r>
      <w:r>
        <w:rPr>
          <w:color w:val="202020"/>
        </w:rPr>
        <w:t xml:space="preserve"> with the flag off — nothing exists to validate, and enabling the feature means authoring the file in the same change.</w:t>
      </w:r>
    </w:p>
    <w:p>
      <w:pPr>
        <w:pStyle w:val="ListBullet"/>
        <w:spacing w:after="40"/>
      </w:pPr>
      <w:r>
        <w:rPr>
          <w:b/>
          <w:color w:val="202020"/>
        </w:rPr>
        <w:t>New graph-schema cross-check, derived by EXECUTING the converter.</w:t>
      </w:r>
      <w:r>
        <w:rPr>
          <w:color w:val="202020"/>
        </w:rPr>
        <w:t xml:space="preserve"> </w:t>
      </w:r>
      <w:r>
        <w:rPr>
          <w:rFonts w:ascii="Consolas" w:hAnsi="Consolas"/>
          <w:color w:val="202020"/>
          <w:sz w:val="19"/>
        </w:rPr>
        <w:t>validate-config</w:t>
      </w:r>
      <w:r>
        <w:rPr>
          <w:color w:val="202020"/>
        </w:rPr>
        <w:t xml:space="preserve"> runs </w:t>
      </w:r>
      <w:r>
        <w:rPr>
          <w:rFonts w:ascii="Consolas" w:hAnsi="Consolas"/>
          <w:color w:val="202020"/>
          <w:sz w:val="19"/>
        </w:rPr>
        <w:t>ItemConverter.Convert</w:t>
      </w:r>
      <w:r>
        <w:rPr>
          <w:color w:val="202020"/>
        </w:rPr>
        <w:t xml:space="preserve"> over a synthetic record per object (dropped columns exempt, masked columns required, </w:t>
      </w:r>
      <w:r>
        <w:rPr>
          <w:rFonts w:ascii="Consolas" w:hAnsi="Consolas"/>
          <w:color w:val="202020"/>
          <w:sz w:val="19"/>
        </w:rPr>
        <w:t>_bdh_</w:t>
      </w:r>
      <w:r>
        <w:rPr>
          <w:color w:val="202020"/>
        </w:rPr>
        <w:t xml:space="preserve"> placeholders exempt), unions the seven always-emitted names unconditionally, and ERRORs on any </w:t>
      </w:r>
      <w:r>
        <w:rPr>
          <w:b/>
          <w:color w:val="202020"/>
        </w:rPr>
        <w:t>produced-but-undeclared</w:t>
      </w:r>
      <w:r>
        <w:rPr>
          <w:color w:val="202020"/>
        </w:rPr>
        <w:t xml:space="preserve"> Graph property. Declared-but-unproduced is a non-gating notice. A failure to compute the produced set is itself an error, never silence — the blanket-catch defect that shipped on Clarizen was deliberately not imported. The shipped config pair has zero drift in either direction: produced == declared, 36 names.</w:t>
      </w:r>
    </w:p>
    <w:p>
      <w:pPr>
        <w:pStyle w:val="Heading3"/>
      </w:pPr>
      <w:r>
        <w:rPr>
          <w:color w:val="2E5496"/>
        </w:rPr>
        <w:t>What is open</w:t>
      </w:r>
    </w:p>
    <w:p>
      <w:pPr>
        <w:pStyle w:val="ListBullet"/>
        <w:spacing w:after="40"/>
      </w:pPr>
      <w:r>
        <w:rPr>
          <w:color w:val="202020"/>
        </w:rPr>
        <w:t>A property name padded identically on both sides of the config pair passes preflight; Graph rejects it loudly at connection registration, so the strict-green-then-crawl-fail invariant holds.</w:t>
      </w:r>
    </w:p>
    <w:p>
      <w:pPr>
        <w:pStyle w:val="ListBullet"/>
        <w:spacing w:after="40"/>
      </w:pPr>
      <w:r>
        <w:rPr>
          <w:color w:val="202020"/>
        </w:rPr>
        <w:t>Enforcement is preflight-only: there is no crawl-time write-path guard, so a stamp added by future code without re-running preflight reaches Graph (which rejects the item at push). Clarizen's write-path abort has not been ported.</w:t>
      </w:r>
    </w:p>
    <w:p>
      <w:r>
        <w:br w:type="page"/>
      </w:r>
    </w:p>
    <w:p>
      <w:pPr>
        <w:pStyle w:val="Heading1"/>
      </w:pPr>
      <w:r>
        <w:rPr>
          <w:color w:val="1F3864"/>
        </w:rPr>
        <w:t>3. Programme-level observations</w:t>
      </w:r>
    </w:p>
    <w:p>
      <w:pPr>
        <w:pStyle w:val="Heading2"/>
      </w:pPr>
      <w:r>
        <w:rPr>
          <w:color w:val="2E5496"/>
        </w:rPr>
        <w:t>3.1 Method — for the auditor</w:t>
      </w:r>
    </w:p>
    <w:p>
      <w:pPr>
        <w:spacing w:after="120"/>
      </w:pPr>
      <w:r>
        <w:rPr>
          <w:color w:val="202020"/>
        </w:rPr>
        <w:t>The method evolved across the four rounds; the sequence below is what actually ran, stated without embellishment.</w:t>
      </w:r>
    </w:p>
    <w:p>
      <w:pPr>
        <w:pStyle w:val="ListBullet"/>
        <w:spacing w:after="40"/>
      </w:pPr>
      <w:r>
        <w:rPr>
          <w:b/>
          <w:color w:val="202020"/>
        </w:rPr>
        <w:t>Blind adversarial verification.</w:t>
      </w:r>
      <w:r>
        <w:rPr>
          <w:color w:val="202020"/>
        </w:rPr>
        <w:t xml:space="preserve"> Every fix was attacked by an independent hostile verifier that was never shown the fixer's reasoning — only the code and the claims. Verdicts were issued per connector per round; no round closed without one.</w:t>
      </w:r>
    </w:p>
    <w:p>
      <w:pPr>
        <w:pStyle w:val="ListBullet"/>
        <w:spacing w:after="40"/>
      </w:pPr>
      <w:r>
        <w:rPr>
          <w:b/>
          <w:color w:val="202020"/>
        </w:rPr>
        <w:t>Claim audits (from round 9).</w:t>
      </w:r>
      <w:r>
        <w:rPr>
          <w:color w:val="202020"/>
        </w:rPr>
        <w:t xml:space="preserve"> The verifier ruled on every claim the fixer made — TRUE, FALSE, or OVERSTATED — *before* probing the code. Altrata's final round closed at 8/8 TRUE. This step exists because the programme's worst defects were false claims in documents: a measured number copied instead of measured, a guarantee the code did not hold.</w:t>
      </w:r>
    </w:p>
    <w:p>
      <w:pPr>
        <w:pStyle w:val="ListBullet"/>
        <w:spacing w:after="40"/>
      </w:pPr>
      <w:r>
        <w:rPr>
          <w:b/>
          <w:color w:val="202020"/>
        </w:rPr>
        <w:t>Mutation testing by the fixer, survivors reported.</w:t>
      </w:r>
      <w:r>
        <w:rPr>
          <w:color w:val="202020"/>
        </w:rPr>
        <w:t xml:space="preserve"> Fixers mutated their own fixes and reported which mutants their tests failed to kill, rather than reporting only the kill count. The Altrata entry-point fix killed 15 mutants across fixer and verifier suites; Hadoop's flag-invariance fix is pinned by a formerly-surviving mutant (M16) now dying.</w:t>
      </w:r>
    </w:p>
    <w:p>
      <w:pPr>
        <w:pStyle w:val="ListBullet"/>
        <w:spacing w:after="40"/>
      </w:pPr>
      <w:r>
        <w:rPr>
          <w:b/>
          <w:color w:val="202020"/>
        </w:rPr>
        <w:t>Exhaustive sweeps replaced sampled ones.</w:t>
      </w:r>
      <w:r>
        <w:rPr>
          <w:color w:val="202020"/>
        </w:rPr>
        <w:t xml:space="preserve"> Seismic's ledger damage sweep originally used a five-value replacement alphabet; that narrow alphabet concealed a blocking defect (a </w:t>
      </w:r>
      <w:r>
        <w:rPr>
          <w:rFonts w:ascii="Consolas" w:hAnsi="Consolas"/>
          <w:color w:val="202020"/>
          <w:sz w:val="19"/>
        </w:rPr>
        <w:t>0x5c</w:t>
      </w:r>
      <w:r>
        <w:rPr>
          <w:color w:val="202020"/>
        </w:rPr>
        <w:t xml:space="preserve"> byte opening a JSON escape) for a full round, and the earlier published limit ("2 of 265 offsets") was wrong in both directions. The post-fix sweep is exhaustive: all 256 byte values at all 265 offsets of a real final record, plus delete, insert and truncate at every position — 136,466 combinations, 5 quiet drops, all at one byte.</w:t>
      </w:r>
    </w:p>
    <w:p>
      <w:pPr>
        <w:pStyle w:val="ListBullet"/>
        <w:spacing w:after="40"/>
      </w:pPr>
      <w:r>
        <w:rPr>
          <w:b/>
          <w:color w:val="202020"/>
        </w:rPr>
        <w:t>The honest baseline:</w:t>
      </w:r>
      <w:r>
        <w:rPr>
          <w:color w:val="202020"/>
        </w:rPr>
        <w:t xml:space="preserve"> across the two early adversarial passes, defects were found in ten of ten connector-controls examined — while every automated test passed and the build was clean. Author-written tests encode the author's model of a control; when the model is wrong, the test is wrong in the same way and passes. Nothing in rounds 7–10 changed that arithmetic; the rounds only changed who was doing the measuring.</w:t>
      </w:r>
    </w:p>
    <w:p>
      <w:pPr>
        <w:pStyle w:val="Heading2"/>
      </w:pPr>
      <w:r>
        <w:rPr>
          <w:color w:val="2E5496"/>
        </w:rPr>
        <w:t>3.2 The recurring lesson: subtraction beat addition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0FA"/>
            <w:tcBorders>
              <w:top w:val="single" w:sz="4" w:space="0" w:color="2E5496"/>
              <w:left w:val="single" w:sz="24" w:space="0" w:color="2E5496"/>
              <w:bottom w:val="single" w:sz="4" w:space="0" w:color="2E5496"/>
              <w:right w:val="single" w:sz="4" w:space="0" w:color="2E5496"/>
            </w:tcBorders>
          </w:tcPr>
          <w:p>
            <w:r>
              <w:rPr>
                <w:b/>
                <w:color w:val="2E5496"/>
              </w:rPr>
              <w:t xml:space="preserve">Note: </w:t>
            </w:r>
            <w:r>
              <w:rPr>
                <w:color w:val="202020"/>
                <w:sz w:val="20"/>
              </w:rPr>
              <w:t xml:space="preserve">Across all four rounds, fixes that </w:t>
            </w:r>
            <w:r>
              <w:rPr>
                <w:b/>
                <w:color w:val="202020"/>
                <w:sz w:val="20"/>
              </w:rPr>
              <w:t>added machinery kept yielding new defects</w:t>
            </w:r>
            <w:r>
              <w:rPr>
                <w:color w:val="202020"/>
                <w:sz w:val="20"/>
              </w:rPr>
              <w:t xml:space="preserve">: Clarizen's two successive registration-list guards each had a hole of the same shape; Altrata's round-8 write-side validation wedged DSAR erasure; Hadoop's flag-conditional finding sat one line below the comment explaining why flag-conditional validation is a time bomb. The cleanest closures came from </w:t>
            </w:r>
            <w:r>
              <w:rPr>
                <w:b/>
                <w:color w:val="202020"/>
                <w:sz w:val="20"/>
              </w:rPr>
              <w:t>removing an unsound feature</w:t>
            </w:r>
            <w:r>
              <w:rPr>
                <w:color w:val="202020"/>
                <w:sz w:val="20"/>
              </w:rPr>
              <w:t xml:space="preserve"> (Salesforce deleted </w:t>
            </w:r>
            <w:r>
              <w:rPr>
                <w:rFonts w:ascii="Consolas" w:hAnsi="Consolas"/>
                <w:color w:val="202020"/>
                <w:sz w:val="19"/>
              </w:rPr>
              <w:t>CompoundFields</w:t>
            </w:r>
            <w:r>
              <w:rPr>
                <w:color w:val="202020"/>
                <w:sz w:val="20"/>
              </w:rPr>
              <w:t xml:space="preserve"> instead of patching it a third time) or </w:t>
            </w:r>
            <w:r>
              <w:rPr>
                <w:b/>
                <w:color w:val="202020"/>
                <w:sz w:val="20"/>
              </w:rPr>
              <w:t>moving a check to the one correct place</w:t>
            </w:r>
            <w:r>
              <w:rPr>
                <w:color w:val="202020"/>
                <w:sz w:val="20"/>
              </w:rPr>
              <w:t xml:space="preserve"> (Altrata validates at the erase-subject entry point; Clarizen enforces at the write path every stamp must pass). When a fix grows, ask what could be removed instead.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2E5496"/>
        </w:rPr>
        <w:t>3.3 Commit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3"/>
          <w:left w:val="single" w:sz="4" w:space="0" w:color="C9D3E3"/>
          <w:bottom w:val="single" w:sz="4" w:space="0" w:color="C9D3E3"/>
          <w:right w:val="single" w:sz="4" w:space="0" w:color="C9D3E3"/>
          <w:insideH w:val="single" w:sz="4" w:space="0" w:color="C9D3E3"/>
          <w:insideV w:val="single" w:sz="4" w:space="0" w:color="C9D3E3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Commit</w:t>
            </w:r>
          </w:p>
        </w:tc>
        <w:tc>
          <w:tcPr>
            <w:tcW w:type="dxa" w:w="1200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6760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hAnsi="Consolas"/>
                <w:color w:val="202020"/>
                <w:sz w:val="19"/>
              </w:rPr>
              <w:t>726013d</w:t>
            </w:r>
          </w:p>
        </w:tc>
        <w:tc>
          <w:tcPr>
            <w:tcW w:type="dxa" w:w="1200"/>
          </w:tcPr>
          <w:p>
            <w:r>
              <w:rPr>
                <w:color w:val="202020"/>
                <w:sz w:val="19"/>
              </w:rPr>
              <w:t>18 Jul</w:t>
            </w:r>
          </w:p>
        </w:tc>
        <w:tc>
          <w:tcPr>
            <w:tcW w:type="dxa" w:w="6760"/>
          </w:tcPr>
          <w:p>
            <w:r>
              <w:rPr>
                <w:color w:val="202020"/>
                <w:sz w:val="19"/>
              </w:rPr>
              <w:t>Bank-grade hardening: 12 prioritized fixes across all 5 connectors + Seismic re-ACL lock</w:t>
            </w:r>
          </w:p>
        </w:tc>
      </w:tr>
      <w:tr>
        <w:tc>
          <w:tcPr>
            <w:tcW w:type="dxa" w:w="1400"/>
            <w:shd w:val="clear" w:color="auto" w:fill="F7F9FC"/>
          </w:tcPr>
          <w:p>
            <w:r>
              <w:rPr>
                <w:rFonts w:ascii="Consolas" w:hAnsi="Consolas"/>
                <w:color w:val="202020"/>
                <w:sz w:val="19"/>
              </w:rPr>
              <w:t>923910c</w:t>
            </w:r>
          </w:p>
        </w:tc>
        <w:tc>
          <w:tcPr>
            <w:tcW w:type="dxa" w:w="1200"/>
            <w:shd w:val="clear" w:color="auto" w:fill="F7F9FC"/>
          </w:tcPr>
          <w:p>
            <w:r>
              <w:rPr>
                <w:color w:val="202020"/>
                <w:sz w:val="19"/>
              </w:rPr>
              <w:t>18 Jul</w:t>
            </w:r>
          </w:p>
        </w:tc>
        <w:tc>
          <w:tcPr>
            <w:tcW w:type="dxa" w:w="6760"/>
            <w:shd w:val="clear" w:color="auto" w:fill="F7F9FC"/>
          </w:tcPr>
          <w:p>
            <w:r>
              <w:rPr>
                <w:color w:val="202020"/>
                <w:sz w:val="19"/>
              </w:rPr>
              <w:t>Docs: operator guides, quick-refs &amp; architecture SVG refreshed for the hardening release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hAnsi="Consolas"/>
                <w:color w:val="202020"/>
                <w:sz w:val="19"/>
              </w:rPr>
              <w:t>2db790f</w:t>
            </w:r>
          </w:p>
        </w:tc>
        <w:tc>
          <w:tcPr>
            <w:tcW w:type="dxa" w:w="1200"/>
          </w:tcPr>
          <w:p>
            <w:r>
              <w:rPr>
                <w:color w:val="202020"/>
                <w:sz w:val="19"/>
              </w:rPr>
              <w:t>18 Jul</w:t>
            </w:r>
          </w:p>
        </w:tc>
        <w:tc>
          <w:tcPr>
            <w:tcW w:type="dxa" w:w="6760"/>
          </w:tcPr>
          <w:p>
            <w:r>
              <w:rPr>
                <w:color w:val="202020"/>
                <w:sz w:val="19"/>
              </w:rPr>
              <w:t>Review + stress hardening: try/catch correctness, ledger/dead-letter crash-safety</w:t>
            </w:r>
          </w:p>
        </w:tc>
      </w:tr>
      <w:tr>
        <w:tc>
          <w:tcPr>
            <w:tcW w:type="dxa" w:w="1400"/>
            <w:shd w:val="clear" w:color="auto" w:fill="F7F9FC"/>
          </w:tcPr>
          <w:p>
            <w:r>
              <w:rPr>
                <w:rFonts w:ascii="Consolas" w:hAnsi="Consolas"/>
                <w:color w:val="202020"/>
                <w:sz w:val="19"/>
              </w:rPr>
              <w:t>84f198f</w:t>
            </w:r>
          </w:p>
        </w:tc>
        <w:tc>
          <w:tcPr>
            <w:tcW w:type="dxa" w:w="1200"/>
            <w:shd w:val="clear" w:color="auto" w:fill="F7F9FC"/>
          </w:tcPr>
          <w:p>
            <w:r>
              <w:rPr>
                <w:color w:val="202020"/>
                <w:sz w:val="19"/>
              </w:rPr>
              <w:t>18 Jul</w:t>
            </w:r>
          </w:p>
        </w:tc>
        <w:tc>
          <w:tcPr>
            <w:tcW w:type="dxa" w:w="6760"/>
            <w:shd w:val="clear" w:color="auto" w:fill="F7F9FC"/>
          </w:tcPr>
          <w:p>
            <w:r>
              <w:rPr>
                <w:color w:val="202020"/>
                <w:sz w:val="19"/>
              </w:rPr>
              <w:t xml:space="preserve">Docs: final test counts (3,389) + operations deck — </w:t>
            </w:r>
            <w:r>
              <w:rPr>
                <w:b/>
                <w:color w:val="202020"/>
                <w:sz w:val="19"/>
              </w:rPr>
              <w:t>coverage boundary of the previous edition (v1.0)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hAnsi="Consolas"/>
                <w:color w:val="202020"/>
                <w:sz w:val="19"/>
              </w:rPr>
              <w:t>d665d00</w:t>
            </w:r>
          </w:p>
        </w:tc>
        <w:tc>
          <w:tcPr>
            <w:tcW w:type="dxa" w:w="1200"/>
          </w:tcPr>
          <w:p>
            <w:r>
              <w:rPr>
                <w:color w:val="202020"/>
                <w:sz w:val="19"/>
              </w:rPr>
              <w:t>20 Jul</w:t>
            </w:r>
          </w:p>
        </w:tc>
        <w:tc>
          <w:tcPr>
            <w:tcW w:type="dxa" w:w="6760"/>
          </w:tcPr>
          <w:p>
            <w:r>
              <w:rPr>
                <w:color w:val="202020"/>
                <w:sz w:val="19"/>
              </w:rPr>
              <w:t>Adversarial hardening rounds 7–10: FLS, ledger, config and state defects closed; fleet 4,760</w:t>
            </w:r>
          </w:p>
        </w:tc>
      </w:tr>
      <w:tr>
        <w:tc>
          <w:tcPr>
            <w:tcW w:type="dxa" w:w="1400"/>
            <w:shd w:val="clear" w:color="auto" w:fill="F7F9FC"/>
          </w:tcPr>
          <w:p>
            <w:r>
              <w:rPr>
                <w:rFonts w:ascii="Consolas" w:hAnsi="Consolas"/>
                <w:color w:val="202020"/>
                <w:sz w:val="19"/>
              </w:rPr>
              <w:t>fdd18d5</w:t>
            </w:r>
          </w:p>
        </w:tc>
        <w:tc>
          <w:tcPr>
            <w:tcW w:type="dxa" w:w="1200"/>
            <w:shd w:val="clear" w:color="auto" w:fill="F7F9FC"/>
          </w:tcPr>
          <w:p>
            <w:r>
              <w:rPr>
                <w:color w:val="202020"/>
                <w:sz w:val="19"/>
              </w:rPr>
              <w:t>20 Jul</w:t>
            </w:r>
          </w:p>
        </w:tc>
        <w:tc>
          <w:tcPr>
            <w:tcW w:type="dxa" w:w="6760"/>
            <w:shd w:val="clear" w:color="auto" w:fill="F7F9FC"/>
          </w:tcPr>
          <w:p>
            <w:r>
              <w:rPr>
                <w:color w:val="202020"/>
                <w:sz w:val="19"/>
              </w:rPr>
              <w:t xml:space="preserve">Altrata entry-point subject-id validation; Hadoop flag-invariant preflight + graph-schema cross-check; fleet 4,824 — </w:t>
            </w:r>
            <w:r>
              <w:rPr>
                <w:b/>
                <w:color w:val="202020"/>
                <w:sz w:val="19"/>
              </w:rPr>
              <w:t>this edition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2E5496"/>
        </w:rPr>
        <w:t>3.4 Unchanged by this release</w:t>
      </w:r>
    </w:p>
    <w:p>
      <w:pPr>
        <w:spacing w:after="120"/>
      </w:pPr>
      <w:r>
        <w:rPr>
          <w:color w:val="202020"/>
        </w:rPr>
        <w:t xml:space="preserve">The four externally-blocked work packages recorded in v1.0 — Purview label/DLP enforcement (R1, Microsoft), Hadoop Kerberos/SPNEGO (R2, Hadoop platform team), Apache Ranger integration, and immutable (WORM) audit anchoring — were not touched by </w:t>
      </w:r>
      <w:r>
        <w:rPr>
          <w:rFonts w:ascii="Consolas" w:hAnsi="Consolas"/>
          <w:color w:val="202020"/>
          <w:sz w:val="19"/>
        </w:rPr>
        <w:t>d665d00</w:t>
      </w:r>
      <w:r>
        <w:rPr>
          <w:color w:val="202020"/>
        </w:rPr>
        <w:t xml:space="preserve"> or </w:t>
      </w:r>
      <w:r>
        <w:rPr>
          <w:rFonts w:ascii="Consolas" w:hAnsi="Consolas"/>
          <w:color w:val="202020"/>
          <w:sz w:val="19"/>
        </w:rPr>
        <w:t>fdd18d5</w:t>
      </w:r>
      <w:r>
        <w:rPr>
          <w:color w:val="202020"/>
        </w:rPr>
        <w:t xml:space="preserve"> and remain blocked on the same external answers (CONN-DOC-REQ-01). WORM anchoring is also the control that would cover Seismic's one remaining quiet-loss byte and the undetectable cleanly-removed-tail case inherent to any unanchored hash chain.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color w:val="595959"/>
        <w:sz w:val="16"/>
      </w:rPr>
      <w:t>Confidential — for internal deployment, monitoring &amp; support use</w:t>
    </w:r>
    <w:r>
      <w:rPr>
        <w:color w:val="595959"/>
        <w:sz w:val="16"/>
      </w:rPr>
      <w:tab/>
    </w:r>
    <w:r>
      <w:rPr>
        <w:color w:val="595959"/>
        <w:sz w:val="16"/>
      </w:rPr>
      <w:t xml:space="preserve">Page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2E5496"/>
      </w:pBdr>
    </w:pPr>
    <w:r>
      <w:rPr>
        <w:color w:val="595959"/>
        <w:sz w:val="16"/>
      </w:rPr>
      <w:t>Release Notes — Hardening Programme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2E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86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