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left"/>
      </w:pPr>
      <w:r>
        <w:rPr>
          <w:rFonts w:ascii="Consolas" w:hAnsi="Consolas"/>
          <w:color w:val="595959"/>
          <w:sz w:val="20"/>
        </w:rPr>
        <w:t>CONN-DOC-GAP-01</w:t>
      </w:r>
    </w:p>
    <w:p>
      <w:pPr>
        <w:jc w:val="left"/>
        <w:pBdr>
          <w:bottom w:val="single" w:sz="18" w:space="4" w:color="2E5496"/>
        </w:pBdr>
      </w:pPr>
      <w:r>
        <w:rPr>
          <w:b/>
          <w:color w:val="1F3864"/>
          <w:sz w:val="60"/>
        </w:rPr>
        <w:t>Connector Platform — Gap Analysis</w:t>
      </w:r>
    </w:p>
    <w:p>
      <w:pPr>
        <w:spacing w:after="480"/>
      </w:pPr>
      <w:r>
        <w:rPr>
          <w:color w:val="2E5496"/>
          <w:sz w:val="28"/>
        </w:rPr>
        <w:t>Feature Catalog target state vs. the delivered platform, with a prioritised closure plan</w:t>
      </w:r>
    </w:p>
    <w:tbl>
      <w:tblPr>
        <w:tblW w:type="auto" w:w="0"/>
        <w:tblLayout w:type="fixed"/>
        <w:tblLook w:firstColumn="1" w:firstRow="1" w:lastColumn="0" w:lastRow="0" w:noHBand="0" w:noVBand="1" w:val="04A0"/>
        <w:tblBorders>
          <w:top w:val="single" w:sz="4" w:space="0" w:color="D6DEEC"/>
          <w:left w:val="single" w:sz="4" w:space="0" w:color="D6DEEC"/>
          <w:bottom w:val="single" w:sz="4" w:space="0" w:color="D6DEEC"/>
          <w:right w:val="single" w:sz="4" w:space="0" w:color="D6DEEC"/>
          <w:insideH w:val="single" w:sz="4" w:space="0" w:color="D6DEEC"/>
          <w:insideV w:val="single" w:sz="4" w:space="0" w:color="D6DEEC"/>
        </w:tblBorders>
      </w:tblPr>
      <w:tblGrid>
        <w:gridCol w:w="2600"/>
        <w:gridCol w:w="6760"/>
      </w:tblGrid>
      <w:tr>
        <w:tc>
          <w:tcPr>
            <w:tcW w:type="dxa" w:w="2600"/>
            <w:shd w:val="clear" w:color="auto" w:fill="EEF2F8"/>
          </w:tcPr>
          <w:p>
            <w:r>
              <w:rPr>
                <w:b/>
                <w:color w:val="1F3864"/>
                <w:sz w:val="20"/>
              </w:rPr>
              <w:t>Document owner</w:t>
            </w:r>
          </w:p>
        </w:tc>
        <w:tc>
          <w:tcPr>
            <w:tcW w:type="dxa" w:w="6760"/>
          </w:tcPr>
          <w:p>
            <w:r>
              <w:rPr>
                <w:color w:val="202020"/>
                <w:sz w:val="20"/>
              </w:rPr>
              <w:t>Lead Architect &amp; Platform Owner</w:t>
            </w:r>
          </w:p>
        </w:tc>
      </w:tr>
      <w:tr>
        <w:tc>
          <w:tcPr>
            <w:tcW w:type="dxa" w:w="2600"/>
            <w:shd w:val="clear" w:color="auto" w:fill="EEF2F8"/>
          </w:tcPr>
          <w:p>
            <w:r>
              <w:rPr>
                <w:b/>
                <w:color w:val="1F3864"/>
                <w:sz w:val="20"/>
              </w:rPr>
              <w:t>Prepared for</w:t>
            </w:r>
          </w:p>
        </w:tc>
        <w:tc>
          <w:tcPr>
            <w:tcW w:type="dxa" w:w="6760"/>
          </w:tcPr>
          <w:p>
            <w:r>
              <w:rPr>
                <w:color w:val="202020"/>
                <w:sz w:val="20"/>
              </w:rPr>
              <w:t>Programme sponsor, InfoSec, Architecture Review Board</w:t>
            </w:r>
          </w:p>
        </w:tc>
      </w:tr>
      <w:tr>
        <w:tc>
          <w:tcPr>
            <w:tcW w:type="dxa" w:w="2600"/>
            <w:shd w:val="clear" w:color="auto" w:fill="EEF2F8"/>
          </w:tcPr>
          <w:p>
            <w:r>
              <w:rPr>
                <w:b/>
                <w:color w:val="1F3864"/>
                <w:sz w:val="20"/>
              </w:rPr>
              <w:t>Assessed against</w:t>
            </w:r>
          </w:p>
        </w:tc>
        <w:tc>
          <w:tcPr>
            <w:tcW w:type="dxa" w:w="6760"/>
          </w:tcPr>
          <w:p>
            <w:r>
              <w:rPr>
                <w:color w:val="202020"/>
                <w:sz w:val="20"/>
              </w:rPr>
              <w:t>Connector Platform Feature Catalog (Clouds Connected Ltd., 15 slides)</w:t>
            </w:r>
          </w:p>
        </w:tc>
      </w:tr>
      <w:tr>
        <w:tc>
          <w:tcPr>
            <w:tcW w:type="dxa" w:w="2600"/>
            <w:shd w:val="clear" w:color="auto" w:fill="EEF2F8"/>
          </w:tcPr>
          <w:p>
            <w:r>
              <w:rPr>
                <w:b/>
                <w:color w:val="1F3864"/>
                <w:sz w:val="20"/>
              </w:rPr>
              <w:t>Assessed platform</w:t>
            </w:r>
          </w:p>
        </w:tc>
        <w:tc>
          <w:tcPr>
            <w:tcW w:type="dxa" w:w="6760"/>
          </w:tcPr>
          <w:p>
            <w:r>
              <w:rPr>
                <w:color w:val="202020"/>
                <w:sz w:val="20"/>
              </w:rPr>
              <w:t>5 connectors on one shared Connector.Chassis 1.18.0 · 350 C# files · 94,940 lines of production source · 5,445 tests green · 67 declared divergences</w:t>
            </w:r>
          </w:p>
        </w:tc>
      </w:tr>
      <w:tr>
        <w:tc>
          <w:tcPr>
            <w:tcW w:type="dxa" w:w="2600"/>
            <w:shd w:val="clear" w:color="auto" w:fill="EEF2F8"/>
          </w:tcPr>
          <w:p>
            <w:r>
              <w:rPr>
                <w:b/>
                <w:color w:val="1F3864"/>
                <w:sz w:val="20"/>
              </w:rPr>
              <w:t>Version</w:t>
            </w:r>
          </w:p>
        </w:tc>
        <w:tc>
          <w:tcPr>
            <w:tcW w:type="dxa" w:w="6760"/>
          </w:tcPr>
          <w:p>
            <w:r>
              <w:rPr>
                <w:color w:val="202020"/>
                <w:sz w:val="20"/>
              </w:rPr>
              <w:t>1.0</w:t>
            </w:r>
          </w:p>
        </w:tc>
      </w:tr>
      <w:tr>
        <w:tc>
          <w:tcPr>
            <w:tcW w:type="dxa" w:w="2600"/>
            <w:shd w:val="clear" w:color="auto" w:fill="EEF2F8"/>
          </w:tcPr>
          <w:p>
            <w:r>
              <w:rPr>
                <w:b/>
                <w:color w:val="1F3864"/>
                <w:sz w:val="20"/>
              </w:rPr>
              <w:t>Date</w:t>
            </w:r>
          </w:p>
        </w:tc>
        <w:tc>
          <w:tcPr>
            <w:tcW w:type="dxa" w:w="6760"/>
          </w:tcPr>
          <w:p>
            <w:r>
              <w:rPr>
                <w:color w:val="202020"/>
                <w:sz w:val="20"/>
              </w:rPr>
              <w:t>19 July 2026</w:t>
            </w:r>
          </w:p>
        </w:tc>
      </w:tr>
      <w:tr>
        <w:tc>
          <w:tcPr>
            <w:tcW w:type="dxa" w:w="2600"/>
            <w:shd w:val="clear" w:color="auto" w:fill="EEF2F8"/>
          </w:tcPr>
          <w:p>
            <w:r>
              <w:rPr>
                <w:b/>
                <w:color w:val="1F3864"/>
                <w:sz w:val="20"/>
              </w:rPr>
              <w:t>Method</w:t>
            </w:r>
          </w:p>
        </w:tc>
        <w:tc>
          <w:tcPr>
            <w:tcW w:type="dxa" w:w="6760"/>
          </w:tcPr>
          <w:p>
            <w:r>
              <w:rPr>
                <w:color w:val="202020"/>
                <w:sz w:val="20"/>
              </w:rPr>
              <w:t>Capability-by-capability verification against source code, not questionnaire</w:t>
            </w:r>
          </w:p>
        </w:tc>
      </w:tr>
    </w:tbl>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8A5200"/>
              </w:rPr>
              <w:t xml:space="preserve">Confidential — internal use. </w:t>
            </w:r>
            <w:r>
              <w:rPr>
                <w:color w:val="202020"/>
                <w:sz w:val="19"/>
              </w:rPr>
              <w:t>This document describes internal systems and their operation. Handle per your organisation's information-classification policy. Do not distribute outside the teams responsible for deploying, monitoring, or supporting this connector.</w:t>
            </w:r>
          </w:p>
        </w:tc>
      </w:tr>
    </w:tbl>
    <w:p>
      <w:pPr>
        <w:sectPr>
          <w:pgSz w:w="12240" w:h="15840"/>
          <w:pgMar w:top="1440" w:right="1440" w:bottom="1440" w:left="1440" w:header="720" w:footer="720" w:gutter="0"/>
          <w:cols w:space="720"/>
          <w:docGrid w:linePitch="360"/>
        </w:sectPr>
      </w:pPr>
    </w:p>
    <w:p>
      <w:pPr>
        <w:spacing w:after="120"/>
      </w:pPr>
      <w:r>
        <w:rPr>
          <w:b/>
          <w:color w:val="1F3864"/>
          <w:sz w:val="32"/>
        </w:rPr>
        <w:t>Contents</w:t>
      </w:r>
    </w:p>
    <w:p>
      <w:r>
        <w:rPr>
          <w:color w:val="595959"/>
        </w:rPr>
        <w:fldChar w:fldCharType="begin"/>
      </w:r>
      <w:r>
        <w:rPr>
          <w:color w:val="595959"/>
        </w:rPr>
        <w:instrText xml:space="preserve"> TOC \o "1-3" \h \z \u </w:instrText>
      </w:r>
      <w:r>
        <w:rPr>
          <w:color w:val="595959"/>
        </w:rPr>
        <w:fldChar w:fldCharType="separate"/>
      </w:r>
      <w:r>
        <w:rPr>
          <w:color w:val="595959"/>
        </w:rPr>
        <w:t>Right-click here and choose “Update Field” to build the table of contents.</w:t>
      </w:r>
      <w:r>
        <w:rPr>
          <w:color w:val="595959"/>
        </w:rPr>
        <w:fldChar w:fldCharType="end"/>
      </w:r>
    </w:p>
    <w:p>
      <w:r>
        <w:br w:type="page"/>
      </w:r>
    </w:p>
    <w:p>
      <w:pPr>
        <w:pStyle w:val="Heading1"/>
      </w:pPr>
      <w:r>
        <w:rPr>
          <w:color w:val="1F3864"/>
        </w:rPr>
        <w:t>1. Purpose, scope and method</w:t>
      </w:r>
    </w:p>
    <w:p>
      <w:pPr>
        <w:spacing w:after="200"/>
      </w:pPr>
      <w:r>
        <w:rPr>
          <w:color w:val="595959"/>
          <w:sz w:val="23"/>
        </w:rPr>
        <w:t>This document compares the target capability set defined in the Connector Platform Feature Catalog against the platform as actually built, identifies every material gap, ranks the gaps by risk, and states — for each one — what must be implemented, which connectors it applies to, and the assumption behind the judgement. Where a catalogued capability is deliberately not being built, the justification is recorded rather than left silent.</w:t>
      </w:r>
    </w:p>
    <w:p>
      <w:pPr>
        <w:pStyle w:val="Heading3"/>
      </w:pPr>
      <w:r>
        <w:rPr>
          <w:color w:val="2E5496"/>
        </w:rPr>
        <w:t>What was assessed</w:t>
      </w:r>
    </w:p>
    <w:p>
      <w:pPr>
        <w:pStyle w:val="ListBullet"/>
        <w:spacing w:after="40"/>
      </w:pPr>
      <w:r>
        <w:rPr>
          <w:b/>
          <w:color w:val="202020"/>
        </w:rPr>
        <w:t>Target state:</w:t>
      </w:r>
      <w:r>
        <w:rPr>
          <w:color w:val="202020"/>
        </w:rPr>
        <w:t xml:space="preserve"> the Feature Catalog — reference architecture, seven ingestion modes, the six-stage connector pipeline, per-source requirements for Hadoop, Salesforce, Clarizen, Altrata and Seismic, Graph/Copilot integration, identity, data protection, compliance, availability, resilience, observability, and operations.</w:t>
      </w:r>
    </w:p>
    <w:p>
      <w:pPr>
        <w:pStyle w:val="ListBullet"/>
        <w:spacing w:after="40"/>
      </w:pPr>
      <w:r>
        <w:rPr>
          <w:b/>
          <w:color w:val="202020"/>
        </w:rPr>
        <w:t>Delivered state:</w:t>
      </w:r>
      <w:r>
        <w:rPr>
          <w:color w:val="202020"/>
        </w:rPr>
        <w:t xml:space="preserve"> the five production connectors (Salesforce, Clarizen, Seismic, Altrata, Hadoop BDH), built on one shared Connector.Chassis project (1.18.0) that all five reference directly — 350 C# files and 94,940 lines of production source across the chassis and the five connectors (647 files and 204,654 lines including tests and tooling), and 5,445 automated tests green, identically on Windows and Linux. One shared chassis does not mean everything is shared: 9 of its 23 modules are fully shared, and 67 per-connector divergences remain, each declared in a register that CI fails on.</w:t>
      </w:r>
    </w:p>
    <w:p>
      <w:pPr>
        <w:pStyle w:val="Heading3"/>
      </w:pPr>
      <w:r>
        <w:rPr>
          <w:color w:val="2E5496"/>
        </w:rPr>
        <w:t>How it was verified</w:t>
      </w:r>
    </w:p>
    <w:p>
      <w:pPr>
        <w:spacing w:after="120"/>
      </w:pPr>
      <w:r>
        <w:rPr>
          <w:color w:val="202020"/>
        </w:rPr>
        <w:t>Each catalogued capability was checked against the source tree — configuration schemas, connector code and tests — rather than assessed from documentation or recollection. Two findings materially changed the conclusions and are called out because they cut in opposite directions:</w:t>
      </w:r>
    </w:p>
    <w:p>
      <w:pPr>
        <w:pStyle w:val="ListBullet"/>
        <w:spacing w:after="40"/>
      </w:pPr>
      <w:r>
        <w:rPr>
          <w:b/>
          <w:color w:val="202020"/>
        </w:rPr>
        <w:t>Graph semantic labels are already populated</w:t>
      </w:r>
      <w:r>
        <w:rPr>
          <w:color w:val="202020"/>
        </w:rPr>
        <w:t xml:space="preserve"> and were wrongly assumed missing on first reading: Salesforce carries 15 labelled properties, Clarizen 6, Seismic 3, Altrata 2, Hadoop 3. This is </w:t>
      </w:r>
      <w:r>
        <w:rPr>
          <w:b/>
          <w:color w:val="202020"/>
        </w:rPr>
        <w:t>not</w:t>
      </w:r>
      <w:r>
        <w:rPr>
          <w:color w:val="202020"/>
        </w:rPr>
        <w:t xml:space="preserve"> a gap.</w:t>
      </w:r>
    </w:p>
    <w:p>
      <w:pPr>
        <w:pStyle w:val="ListBullet"/>
        <w:spacing w:after="40"/>
      </w:pPr>
      <w:r>
        <w:rPr>
          <w:b/>
          <w:color w:val="202020"/>
        </w:rPr>
        <w:t>Apache Ranger is genuinely absent.</w:t>
      </w:r>
      <w:r>
        <w:rPr>
          <w:color w:val="202020"/>
        </w:rPr>
        <w:t xml:space="preserve"> Early text matches were the word "st</w:t>
      </w:r>
      <w:r>
        <w:rPr>
          <w:rFonts w:ascii="Consolas" w:hAnsi="Consolas"/>
          <w:color w:val="202020"/>
          <w:sz w:val="19"/>
        </w:rPr>
        <w:t>ranger</w:t>
      </w:r>
      <w:r>
        <w:rPr>
          <w:color w:val="202020"/>
        </w:rPr>
        <w:t xml:space="preserve">" inside certificate-validation tests, not Ranger integration. The Hadoop authorisation model is confirmed as </w:t>
      </w:r>
      <w:r>
        <w:rPr>
          <w:rFonts w:ascii="Consolas" w:hAnsi="Consolas"/>
          <w:color w:val="202020"/>
          <w:sz w:val="19"/>
        </w:rPr>
        <w:t>owner</w:t>
      </w:r>
      <w:r>
        <w:rPr>
          <w:color w:val="202020"/>
        </w:rPr>
        <w:t xml:space="preserve"> / </w:t>
      </w:r>
      <w:r>
        <w:rPr>
          <w:rFonts w:ascii="Consolas" w:hAnsi="Consolas"/>
          <w:color w:val="202020"/>
          <w:sz w:val="19"/>
        </w:rPr>
        <w:t>group</w:t>
      </w:r>
      <w:r>
        <w:rPr>
          <w:color w:val="202020"/>
        </w:rPr>
        <w:t xml:space="preserve"> / </w:t>
      </w:r>
      <w:r>
        <w:rPr>
          <w:rFonts w:ascii="Consolas" w:hAnsi="Consolas"/>
          <w:color w:val="202020"/>
          <w:sz w:val="19"/>
        </w:rPr>
        <w:t>public</w:t>
      </w:r>
      <w:r>
        <w:rPr>
          <w:color w:val="202020"/>
        </w:rPr>
        <w:t xml:space="preserve"> only.</w:t>
      </w: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color w:val="202020"/>
                <w:sz w:val="20"/>
              </w:rPr>
              <w:t xml:space="preserve">Two of the catalogue's requirements are </w:t>
            </w:r>
            <w:r>
              <w:rPr>
                <w:b/>
                <w:color w:val="202020"/>
                <w:sz w:val="20"/>
              </w:rPr>
              <w:t>not achievable inside a Graph connector</w:t>
            </w:r>
            <w:r>
              <w:rPr>
                <w:color w:val="202020"/>
                <w:sz w:val="20"/>
              </w:rPr>
              <w:t xml:space="preserve"> and are recorded as architectural constraints rather than implementation shortfalls: per-grounding-call entitlement re-evaluation (§4.3) and query-time content-access audit (§4.1). Both need the agent layer or the Microsoft 365 audit pipeline, not connector code.</w:t>
            </w:r>
          </w:p>
        </w:tc>
      </w:tr>
    </w:tbl>
    <w:p>
      <w:pPr>
        <w:spacing w:after="40"/>
      </w:pPr>
    </w:p>
    <w:p>
      <w:pPr>
        <w:pStyle w:val="Heading3"/>
      </w:pPr>
      <w:r>
        <w:rPr>
          <w:color w:val="2E5496"/>
        </w:rPr>
        <w:t>How to read the priorities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900"/>
        <w:gridCol w:w="5060"/>
        <w:gridCol w:w="3400"/>
      </w:tblGrid>
      <w:tr>
        <w:tc>
          <w:tcPr>
            <w:tcW w:type="dxa" w:w="900"/>
            <w:shd w:val="clear" w:color="auto" w:fill="2E5496"/>
          </w:tcPr>
          <w:p>
            <w:r>
              <w:rPr>
                <w:b/>
                <w:color w:val="FFFFFF"/>
                <w:sz w:val="19"/>
              </w:rPr>
              <w:t>Priority</w:t>
            </w:r>
          </w:p>
        </w:tc>
        <w:tc>
          <w:tcPr>
            <w:tcW w:type="dxa" w:w="5060"/>
            <w:shd w:val="clear" w:color="auto" w:fill="2E5496"/>
          </w:tcPr>
          <w:p>
            <w:r>
              <w:rPr>
                <w:b/>
                <w:color w:val="FFFFFF"/>
                <w:sz w:val="19"/>
              </w:rPr>
              <w:t>Meaning</w:t>
            </w:r>
          </w:p>
        </w:tc>
        <w:tc>
          <w:tcPr>
            <w:tcW w:type="dxa" w:w="3400"/>
            <w:shd w:val="clear" w:color="auto" w:fill="2E5496"/>
          </w:tcPr>
          <w:p>
            <w:r>
              <w:rPr>
                <w:b/>
                <w:color w:val="FFFFFF"/>
                <w:sz w:val="19"/>
              </w:rPr>
              <w:t>Treatment</w:t>
            </w:r>
          </w:p>
        </w:tc>
      </w:tr>
      <w:tr>
        <w:tc>
          <w:tcPr>
            <w:tcW w:type="dxa" w:w="900"/>
          </w:tcPr>
          <w:p>
            <w:r>
              <w:rPr>
                <w:b/>
                <w:color w:val="202020"/>
                <w:sz w:val="19"/>
              </w:rPr>
              <w:t>P0</w:t>
            </w:r>
          </w:p>
        </w:tc>
        <w:tc>
          <w:tcPr>
            <w:tcW w:type="dxa" w:w="5060"/>
          </w:tcPr>
          <w:p>
            <w:r>
              <w:rPr>
                <w:color w:val="202020"/>
                <w:sz w:val="19"/>
              </w:rPr>
              <w:t>Blocks a regulated go-live: an active over-sharing exposure, a new AI-specific risk class, or a hard deployment blocker</w:t>
            </w:r>
          </w:p>
        </w:tc>
        <w:tc>
          <w:tcPr>
            <w:tcW w:type="dxa" w:w="3400"/>
          </w:tcPr>
          <w:p>
            <w:r>
              <w:rPr>
                <w:color w:val="202020"/>
                <w:sz w:val="19"/>
              </w:rPr>
              <w:t>Close before production</w:t>
            </w:r>
          </w:p>
        </w:tc>
      </w:tr>
      <w:tr>
        <w:tc>
          <w:tcPr>
            <w:tcW w:type="dxa" w:w="900"/>
            <w:shd w:val="clear" w:color="auto" w:fill="F7F9FC"/>
          </w:tcPr>
          <w:p>
            <w:r>
              <w:rPr>
                <w:b/>
                <w:color w:val="202020"/>
                <w:sz w:val="19"/>
              </w:rPr>
              <w:t>P1</w:t>
            </w:r>
          </w:p>
        </w:tc>
        <w:tc>
          <w:tcPr>
            <w:tcW w:type="dxa" w:w="5060"/>
            <w:shd w:val="clear" w:color="auto" w:fill="F7F9FC"/>
          </w:tcPr>
          <w:p>
            <w:r>
              <w:rPr>
                <w:color w:val="202020"/>
                <w:sz w:val="19"/>
              </w:rPr>
              <w:t>Regulatory or operational commitment that will be tested by audit or an incident</w:t>
            </w:r>
          </w:p>
        </w:tc>
        <w:tc>
          <w:tcPr>
            <w:tcW w:type="dxa" w:w="3400"/>
            <w:shd w:val="clear" w:color="auto" w:fill="F7F9FC"/>
          </w:tcPr>
          <w:p>
            <w:r>
              <w:rPr>
                <w:color w:val="202020"/>
                <w:sz w:val="19"/>
              </w:rPr>
              <w:t>Close within the programme</w:t>
            </w:r>
          </w:p>
        </w:tc>
      </w:tr>
      <w:tr>
        <w:tc>
          <w:tcPr>
            <w:tcW w:type="dxa" w:w="900"/>
          </w:tcPr>
          <w:p>
            <w:r>
              <w:rPr>
                <w:b/>
                <w:color w:val="202020"/>
                <w:sz w:val="19"/>
              </w:rPr>
              <w:t>P2</w:t>
            </w:r>
          </w:p>
        </w:tc>
        <w:tc>
          <w:tcPr>
            <w:tcW w:type="dxa" w:w="5060"/>
          </w:tcPr>
          <w:p>
            <w:r>
              <w:rPr>
                <w:color w:val="202020"/>
                <w:sz w:val="19"/>
              </w:rPr>
              <w:t>Platform-engineering maturity; valuable but not gating the first go-lives</w:t>
            </w:r>
          </w:p>
        </w:tc>
        <w:tc>
          <w:tcPr>
            <w:tcW w:type="dxa" w:w="3400"/>
          </w:tcPr>
          <w:p>
            <w:r>
              <w:rPr>
                <w:color w:val="202020"/>
                <w:sz w:val="19"/>
              </w:rPr>
              <w:t>Schedule after pilot</w:t>
            </w:r>
          </w:p>
        </w:tc>
      </w:tr>
      <w:tr>
        <w:tc>
          <w:tcPr>
            <w:tcW w:type="dxa" w:w="900"/>
            <w:shd w:val="clear" w:color="auto" w:fill="F7F9FC"/>
          </w:tcPr>
          <w:p>
            <w:r>
              <w:rPr>
                <w:b/>
                <w:color w:val="202020"/>
                <w:sz w:val="19"/>
              </w:rPr>
              <w:t>None</w:t>
            </w:r>
          </w:p>
        </w:tc>
        <w:tc>
          <w:tcPr>
            <w:tcW w:type="dxa" w:w="5060"/>
            <w:shd w:val="clear" w:color="auto" w:fill="F7F9FC"/>
          </w:tcPr>
          <w:p>
            <w:r>
              <w:rPr>
                <w:color w:val="202020"/>
                <w:sz w:val="19"/>
              </w:rPr>
              <w:t>Catalogued but deliberately not built, or already delivered</w:t>
            </w:r>
          </w:p>
        </w:tc>
        <w:tc>
          <w:tcPr>
            <w:tcW w:type="dxa" w:w="3400"/>
            <w:shd w:val="clear" w:color="auto" w:fill="F7F9FC"/>
          </w:tcPr>
          <w:p>
            <w:r>
              <w:rPr>
                <w:color w:val="202020"/>
                <w:sz w:val="19"/>
              </w:rPr>
              <w:t>Record the justification</w:t>
            </w:r>
          </w:p>
        </w:tc>
      </w:tr>
    </w:tbl>
    <w:p>
      <w:pPr>
        <w:spacing w:after="40"/>
      </w:pPr>
    </w:p>
    <w:p>
      <w:r>
        <w:br w:type="page"/>
      </w:r>
    </w:p>
    <w:p>
      <w:pPr>
        <w:pStyle w:val="Heading1"/>
      </w:pPr>
      <w:r>
        <w:rPr>
          <w:color w:val="1F3864"/>
        </w:rPr>
        <w:t>2. Executive summary</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1300"/>
        <w:gridCol w:w="900"/>
        <w:gridCol w:w="7160"/>
      </w:tblGrid>
      <w:tr>
        <w:tc>
          <w:tcPr>
            <w:tcW w:type="dxa" w:w="1300"/>
            <w:shd w:val="clear" w:color="auto" w:fill="2E5496"/>
          </w:tcPr>
          <w:p>
            <w:r>
              <w:rPr>
                <w:b/>
                <w:color w:val="FFFFFF"/>
                <w:sz w:val="19"/>
              </w:rPr>
              <w:t>Priority</w:t>
            </w:r>
          </w:p>
        </w:tc>
        <w:tc>
          <w:tcPr>
            <w:tcW w:type="dxa" w:w="900"/>
            <w:shd w:val="clear" w:color="auto" w:fill="2E5496"/>
          </w:tcPr>
          <w:p>
            <w:r>
              <w:rPr>
                <w:b/>
                <w:color w:val="FFFFFF"/>
                <w:sz w:val="19"/>
              </w:rPr>
              <w:t>Gaps</w:t>
            </w:r>
          </w:p>
        </w:tc>
        <w:tc>
          <w:tcPr>
            <w:tcW w:type="dxa" w:w="7160"/>
            <w:shd w:val="clear" w:color="auto" w:fill="2E5496"/>
          </w:tcPr>
          <w:p>
            <w:r>
              <w:rPr>
                <w:b/>
                <w:color w:val="FFFFFF"/>
                <w:sz w:val="19"/>
              </w:rPr>
              <w:t>Dominant theme</w:t>
            </w:r>
          </w:p>
        </w:tc>
      </w:tr>
      <w:tr>
        <w:tc>
          <w:tcPr>
            <w:tcW w:type="dxa" w:w="1300"/>
          </w:tcPr>
          <w:p>
            <w:r>
              <w:rPr>
                <w:color w:val="202020"/>
                <w:sz w:val="19"/>
              </w:rPr>
              <w:t>P0</w:t>
            </w:r>
          </w:p>
        </w:tc>
        <w:tc>
          <w:tcPr>
            <w:tcW w:type="dxa" w:w="900"/>
          </w:tcPr>
          <w:p>
            <w:r>
              <w:rPr>
                <w:color w:val="202020"/>
                <w:sz w:val="19"/>
              </w:rPr>
              <w:t>5</w:t>
            </w:r>
          </w:p>
        </w:tc>
        <w:tc>
          <w:tcPr>
            <w:tcW w:type="dxa" w:w="7160"/>
          </w:tcPr>
          <w:p>
            <w:r>
              <w:rPr>
                <w:color w:val="202020"/>
                <w:sz w:val="19"/>
              </w:rPr>
              <w:t>Content-borne AI risk, and access-control fidelity at two sources</w:t>
            </w:r>
          </w:p>
        </w:tc>
      </w:tr>
      <w:tr>
        <w:tc>
          <w:tcPr>
            <w:tcW w:type="dxa" w:w="1300"/>
            <w:shd w:val="clear" w:color="auto" w:fill="F7F9FC"/>
          </w:tcPr>
          <w:p>
            <w:r>
              <w:rPr>
                <w:color w:val="202020"/>
                <w:sz w:val="19"/>
              </w:rPr>
              <w:t>P1</w:t>
            </w:r>
          </w:p>
        </w:tc>
        <w:tc>
          <w:tcPr>
            <w:tcW w:type="dxa" w:w="900"/>
            <w:shd w:val="clear" w:color="auto" w:fill="F7F9FC"/>
          </w:tcPr>
          <w:p>
            <w:r>
              <w:rPr>
                <w:color w:val="202020"/>
                <w:sz w:val="19"/>
              </w:rPr>
              <w:t>4</w:t>
            </w:r>
          </w:p>
        </w:tc>
        <w:tc>
          <w:tcPr>
            <w:tcW w:type="dxa" w:w="7160"/>
            <w:shd w:val="clear" w:color="auto" w:fill="F7F9FC"/>
          </w:tcPr>
          <w:p>
            <w:r>
              <w:rPr>
                <w:color w:val="202020"/>
                <w:sz w:val="19"/>
              </w:rPr>
              <w:t>Evidence integrity, cryptographic posture, licensing enforcement, DR tier</w:t>
            </w:r>
          </w:p>
        </w:tc>
      </w:tr>
      <w:tr>
        <w:tc>
          <w:tcPr>
            <w:tcW w:type="dxa" w:w="1300"/>
          </w:tcPr>
          <w:p>
            <w:r>
              <w:rPr>
                <w:color w:val="202020"/>
                <w:sz w:val="19"/>
              </w:rPr>
              <w:t>P2</w:t>
            </w:r>
          </w:p>
        </w:tc>
        <w:tc>
          <w:tcPr>
            <w:tcW w:type="dxa" w:w="900"/>
          </w:tcPr>
          <w:p>
            <w:r>
              <w:rPr>
                <w:color w:val="202020"/>
                <w:sz w:val="19"/>
              </w:rPr>
              <w:t>7</w:t>
            </w:r>
          </w:p>
        </w:tc>
        <w:tc>
          <w:tcPr>
            <w:tcW w:type="dxa" w:w="7160"/>
          </w:tcPr>
          <w:p>
            <w:r>
              <w:rPr>
                <w:color w:val="202020"/>
                <w:sz w:val="19"/>
              </w:rPr>
              <w:t>Platform engineering: IaC, chaos, scaling, lineage, source-API depth</w:t>
            </w:r>
          </w:p>
        </w:tc>
      </w:tr>
      <w:tr>
        <w:tc>
          <w:tcPr>
            <w:tcW w:type="dxa" w:w="1300"/>
            <w:shd w:val="clear" w:color="auto" w:fill="F7F9FC"/>
          </w:tcPr>
          <w:p>
            <w:r>
              <w:rPr>
                <w:color w:val="202020"/>
                <w:sz w:val="19"/>
              </w:rPr>
              <w:t>Not needed</w:t>
            </w:r>
          </w:p>
        </w:tc>
        <w:tc>
          <w:tcPr>
            <w:tcW w:type="dxa" w:w="900"/>
            <w:shd w:val="clear" w:color="auto" w:fill="F7F9FC"/>
          </w:tcPr>
          <w:p>
            <w:r>
              <w:rPr>
                <w:color w:val="202020"/>
                <w:sz w:val="19"/>
              </w:rPr>
              <w:t>3 groups</w:t>
            </w:r>
          </w:p>
        </w:tc>
        <w:tc>
          <w:tcPr>
            <w:tcW w:type="dxa" w:w="7160"/>
            <w:shd w:val="clear" w:color="auto" w:fill="F7F9FC"/>
          </w:tcPr>
          <w:p>
            <w:r>
              <w:rPr>
                <w:color w:val="202020"/>
                <w:sz w:val="19"/>
              </w:rPr>
              <w:t>Identity/IGA controls owned by the bank; no service mesh; hashing over tokenisation</w:t>
            </w:r>
          </w:p>
        </w:tc>
      </w:tr>
      <w:tr>
        <w:tc>
          <w:tcPr>
            <w:tcW w:type="dxa" w:w="1300"/>
          </w:tcPr>
          <w:p>
            <w:r>
              <w:rPr>
                <w:color w:val="202020"/>
                <w:sz w:val="19"/>
              </w:rPr>
              <w:t>Already met</w:t>
            </w:r>
          </w:p>
        </w:tc>
        <w:tc>
          <w:tcPr>
            <w:tcW w:type="dxa" w:w="900"/>
          </w:tcPr>
          <w:p>
            <w:r>
              <w:rPr>
                <w:color w:val="202020"/>
                <w:sz w:val="19"/>
              </w:rPr>
              <w:t>10 capabilities</w:t>
            </w:r>
          </w:p>
        </w:tc>
        <w:tc>
          <w:tcPr>
            <w:tcW w:type="dxa" w:w="7160"/>
          </w:tcPr>
          <w:p>
            <w:r>
              <w:rPr>
                <w:color w:val="202020"/>
                <w:sz w:val="19"/>
              </w:rPr>
              <w:t>Pipeline, resilience and observability controls; supply-chain signing is designed but never run</w:t>
            </w:r>
          </w:p>
        </w:tc>
      </w:tr>
    </w:tbl>
    <w:p>
      <w:pPr>
        <w:spacing w:after="40"/>
      </w:pPr>
    </w:p>
    <w:p>
      <w:pPr>
        <w:pStyle w:val="Heading3"/>
      </w:pPr>
      <w:r>
        <w:rPr>
          <w:color w:val="2E5496"/>
        </w:rPr>
        <w:t>The three that matter most</w:t>
      </w:r>
    </w:p>
    <w:p>
      <w:pPr>
        <w:pStyle w:val="ListNumber"/>
        <w:spacing w:after="40"/>
      </w:pPr>
      <w:r>
        <w:rPr>
          <w:b/>
          <w:color w:val="202020"/>
        </w:rPr>
        <w:t>Prompt-injection and malware scanning (G1).</w:t>
      </w:r>
      <w:r>
        <w:rPr>
          <w:color w:val="202020"/>
        </w:rPr>
        <w:t xml:space="preserve"> The one genuinely new risk class this platform introduces. Ingested documents become Copilot grounding context, so a malicious file is an attack on every user who asks a related question. Three of the five connectors — Clarizen, Seismic and Altrata — now ship a ContentGate stage, but it is inert unless CONTENT_GATE is set, and Salesforce and Hadoop BDH have no content inspection at all.</w:t>
      </w:r>
    </w:p>
    <w:p>
      <w:pPr>
        <w:pStyle w:val="ListNumber"/>
        <w:spacing w:after="40"/>
      </w:pPr>
      <w:r>
        <w:rPr>
          <w:b/>
          <w:color w:val="202020"/>
        </w:rPr>
        <w:t>Access-control fidelity at Salesforce and Hadoop (G2, G3).</w:t>
      </w:r>
      <w:r>
        <w:rPr>
          <w:color w:val="202020"/>
        </w:rPr>
        <w:t xml:space="preserve"> Salesforce field-level security is now fetched and enforced by default, with residual limits recorded in the connector's own documentation; the Hadoop BDH mirror of the same records restricts no columns, and Hadoop authorisation remains coarse. What is left is still a live over-sharing exposure — the exact failure mode the platform's design principle promises to prevent.</w:t>
      </w:r>
    </w:p>
    <w:p>
      <w:pPr>
        <w:pStyle w:val="ListNumber"/>
        <w:spacing w:after="40"/>
      </w:pPr>
      <w:r>
        <w:rPr>
          <w:b/>
          <w:color w:val="202020"/>
        </w:rPr>
        <w:t>Hadoop Kerberos (G4).</w:t>
      </w:r>
      <w:r>
        <w:rPr>
          <w:color w:val="202020"/>
        </w:rPr>
        <w:t xml:space="preserve"> Not a refinement: most regulated Hadoop estates will not accept the current simple-auth/delegation-token model, so this blocks deployment outright.</w:t>
      </w: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color w:val="202020"/>
                <w:sz w:val="20"/>
              </w:rPr>
              <w:t xml:space="preserve">The platform's foundations are strong: ACL trimming, semantic labels, dead-letter and retry, circuit breakers, OpenTelemetry and idempotent replay are all delivered and tested, on one shared chassis. The gaps concentrate in </w:t>
            </w:r>
            <w:r>
              <w:rPr>
                <w:b/>
                <w:color w:val="202020"/>
                <w:sz w:val="20"/>
              </w:rPr>
              <w:t>content-borne risk</w:t>
            </w:r>
            <w:r>
              <w:rPr>
                <w:color w:val="202020"/>
                <w:sz w:val="20"/>
              </w:rPr>
              <w:t xml:space="preserve">, </w:t>
            </w:r>
            <w:r>
              <w:rPr>
                <w:b/>
                <w:color w:val="202020"/>
                <w:sz w:val="20"/>
              </w:rPr>
              <w:t>source-side authorisation depth</w:t>
            </w:r>
            <w:r>
              <w:rPr>
                <w:color w:val="202020"/>
                <w:sz w:val="20"/>
              </w:rPr>
              <w:t xml:space="preserve">, and </w:t>
            </w:r>
            <w:r>
              <w:rPr>
                <w:b/>
                <w:color w:val="202020"/>
                <w:sz w:val="20"/>
              </w:rPr>
              <w:t>enterprise platform engineering</w:t>
            </w:r>
            <w:r>
              <w:rPr>
                <w:color w:val="202020"/>
                <w:sz w:val="20"/>
              </w:rPr>
              <w:t xml:space="preserve"> — not in the ingestion core.</w:t>
            </w:r>
          </w:p>
        </w:tc>
      </w:tr>
    </w:tbl>
    <w:p>
      <w:pPr>
        <w:spacing w:after="40"/>
      </w:pPr>
    </w:p>
    <w:p>
      <w:r>
        <w:br w:type="page"/>
      </w:r>
    </w:p>
    <w:p>
      <w:pPr>
        <w:pStyle w:val="Heading1"/>
      </w:pPr>
      <w:r>
        <w:rPr>
          <w:color w:val="1F3864"/>
        </w:rPr>
        <w:t>3. P0 — blocks a regulated go-live</w:t>
      </w:r>
    </w:p>
    <w:p>
      <w:pPr>
        <w:pStyle w:val="Heading2"/>
      </w:pPr>
      <w:r>
        <w:rPr>
          <w:color w:val="2E5496"/>
        </w:rPr>
        <w:t>3.1 G1 — Prompt-injection and malware scanning of ingested content</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1900"/>
        <w:gridCol w:w="7460"/>
      </w:tblGrid>
      <w:tr>
        <w:tc>
          <w:tcPr>
            <w:tcW w:type="dxa" w:w="1900"/>
            <w:shd w:val="clear" w:color="auto" w:fill="2E5496"/>
          </w:tcPr>
          <w:p>
            <w:r>
              <w:rPr>
                <w:b/>
                <w:color w:val="FFFFFF"/>
                <w:sz w:val="19"/>
              </w:rPr>
              <w:t>Field</w:t>
            </w:r>
          </w:p>
        </w:tc>
        <w:tc>
          <w:tcPr>
            <w:tcW w:type="dxa" w:w="7460"/>
            <w:shd w:val="clear" w:color="auto" w:fill="2E5496"/>
          </w:tcPr>
          <w:p>
            <w:r>
              <w:rPr>
                <w:b/>
                <w:color w:val="FFFFFF"/>
                <w:sz w:val="19"/>
              </w:rPr>
              <w:t>Assessment</w:t>
            </w:r>
          </w:p>
        </w:tc>
      </w:tr>
      <w:tr>
        <w:tc>
          <w:tcPr>
            <w:tcW w:type="dxa" w:w="1900"/>
          </w:tcPr>
          <w:p>
            <w:r>
              <w:rPr>
                <w:color w:val="202020"/>
                <w:sz w:val="19"/>
              </w:rPr>
              <w:t>Applies to</w:t>
            </w:r>
          </w:p>
        </w:tc>
        <w:tc>
          <w:tcPr>
            <w:tcW w:type="dxa" w:w="7460"/>
          </w:tcPr>
          <w:p>
            <w:r>
              <w:rPr>
                <w:b/>
                <w:color w:val="202020"/>
                <w:sz w:val="19"/>
              </w:rPr>
              <w:t>All five connectors.</w:t>
            </w:r>
            <w:r>
              <w:rPr>
                <w:color w:val="202020"/>
                <w:sz w:val="19"/>
              </w:rPr>
              <w:t xml:space="preserve"> Most acute where free-form documents are ingested: Seismic (documents, pages, LiveDocs), Clarizen (attachments), Hadoop (free-text columns)</w:t>
            </w:r>
          </w:p>
        </w:tc>
      </w:tr>
      <w:tr>
        <w:tc>
          <w:tcPr>
            <w:tcW w:type="dxa" w:w="1900"/>
            <w:shd w:val="clear" w:color="auto" w:fill="F7F9FC"/>
          </w:tcPr>
          <w:p>
            <w:r>
              <w:rPr>
                <w:color w:val="202020"/>
                <w:sz w:val="19"/>
              </w:rPr>
              <w:t>Catalogue requirement</w:t>
            </w:r>
          </w:p>
        </w:tc>
        <w:tc>
          <w:tcPr>
            <w:tcW w:type="dxa" w:w="7460"/>
            <w:shd w:val="clear" w:color="auto" w:fill="F7F9FC"/>
          </w:tcPr>
          <w:p>
            <w:r>
              <w:rPr>
                <w:color w:val="202020"/>
                <w:sz w:val="19"/>
              </w:rPr>
              <w:t>"Ingested content inspected for embedded instructions and malicious payloads before indexing"</w:t>
            </w:r>
          </w:p>
        </w:tc>
      </w:tr>
      <w:tr>
        <w:tc>
          <w:tcPr>
            <w:tcW w:type="dxa" w:w="1900"/>
          </w:tcPr>
          <w:p>
            <w:r>
              <w:rPr>
                <w:color w:val="202020"/>
                <w:sz w:val="19"/>
              </w:rPr>
              <w:t>Current state</w:t>
            </w:r>
          </w:p>
        </w:tc>
        <w:tc>
          <w:tcPr>
            <w:tcW w:type="dxa" w:w="7460"/>
          </w:tcPr>
          <w:p>
            <w:r>
              <w:rPr>
                <w:b/>
                <w:color w:val="202020"/>
                <w:sz w:val="19"/>
              </w:rPr>
              <w:t>Partly implemented, and opt-in.</w:t>
            </w:r>
            <w:r>
              <w:rPr>
                <w:color w:val="202020"/>
                <w:sz w:val="19"/>
              </w:rPr>
              <w:t xml:space="preserve"> Clarizen, Seismic and Altrata each ship a ContentGate stage that screens the indexed text for injection patterns and routes a positive verdict to the existing dead-letter queue, with a decision-ledger entry, a metric and an alert. Clarizen and Seismic also carry an ICAP malware scanner on the binary path; Altrata deliberately carries none, because it ingests no binary content. The gate is off unless CONTENT_GATE is set, the binary channel is unwired unless CONTENT_GATE_ICAP_URL names a scanner, and the text channel fails open by default. Salesforce and Hadoop BDH have no scanning of any kind</w:t>
            </w:r>
          </w:p>
        </w:tc>
      </w:tr>
      <w:tr>
        <w:tc>
          <w:tcPr>
            <w:tcW w:type="dxa" w:w="1900"/>
            <w:shd w:val="clear" w:color="auto" w:fill="F7F9FC"/>
          </w:tcPr>
          <w:p>
            <w:r>
              <w:rPr>
                <w:color w:val="202020"/>
                <w:sz w:val="19"/>
              </w:rPr>
              <w:t>Risk</w:t>
            </w:r>
          </w:p>
        </w:tc>
        <w:tc>
          <w:tcPr>
            <w:tcW w:type="dxa" w:w="7460"/>
            <w:shd w:val="clear" w:color="auto" w:fill="F7F9FC"/>
          </w:tcPr>
          <w:p>
            <w:r>
              <w:rPr>
                <w:color w:val="202020"/>
                <w:sz w:val="19"/>
              </w:rPr>
              <w:t>Indirect prompt injection: a crafted document indexed into Copilot influences the answers given to every user whose query it grounds. Malware transits the connector host and the index</w:t>
            </w:r>
          </w:p>
        </w:tc>
      </w:tr>
    </w:tbl>
    <w:p>
      <w:pPr>
        <w:spacing w:after="40"/>
      </w:pPr>
    </w:p>
    <w:p>
      <w:pPr>
        <w:pStyle w:val="Heading3"/>
      </w:pPr>
      <w:r>
        <w:rPr>
          <w:color w:val="2E5496"/>
        </w:rPr>
        <w:t>What to implement</w:t>
      </w:r>
    </w:p>
    <w:p>
      <w:pPr>
        <w:pStyle w:val="ListBullet"/>
        <w:spacing w:after="40"/>
      </w:pPr>
      <w:r>
        <w:rPr>
          <w:color w:val="202020"/>
        </w:rPr>
        <w:t xml:space="preserve">A </w:t>
      </w:r>
      <w:r>
        <w:rPr>
          <w:b/>
          <w:color w:val="202020"/>
        </w:rPr>
        <w:t>content-inspection stage</w:t>
      </w:r>
      <w:r>
        <w:rPr>
          <w:color w:val="202020"/>
        </w:rPr>
        <w:t xml:space="preserve"> between content extraction and transformation, so nothing unscanned reaches the transform or the index.</w:t>
      </w:r>
    </w:p>
    <w:p>
      <w:pPr>
        <w:pStyle w:val="ListBullet"/>
        <w:spacing w:after="40"/>
      </w:pPr>
      <w:r>
        <w:rPr>
          <w:b/>
          <w:color w:val="202020"/>
        </w:rPr>
        <w:t>Instruction-pattern detection</w:t>
      </w:r>
      <w:r>
        <w:rPr>
          <w:color w:val="202020"/>
        </w:rPr>
        <w:t xml:space="preserve"> over extracted text (imperative override phrasing, role reassignment, exfiltration directives, hidden/zero-width and off-canvas text).</w:t>
      </w:r>
    </w:p>
    <w:p>
      <w:pPr>
        <w:pStyle w:val="ListBullet"/>
        <w:spacing w:after="40"/>
      </w:pPr>
      <w:r>
        <w:rPr>
          <w:b/>
          <w:color w:val="202020"/>
        </w:rPr>
        <w:t>Malware scanning</w:t>
      </w:r>
      <w:r>
        <w:rPr>
          <w:color w:val="202020"/>
        </w:rPr>
        <w:t xml:space="preserve"> by delegating to an enterprise scanner (ICAP endpoint or Microsoft Defender) — heuristics in managed code are not a substitute.</w:t>
      </w:r>
    </w:p>
    <w:p>
      <w:pPr>
        <w:pStyle w:val="ListBullet"/>
        <w:spacing w:after="40"/>
      </w:pPr>
      <w:r>
        <w:rPr>
          <w:b/>
          <w:color w:val="202020"/>
        </w:rPr>
        <w:t>Quarantine, not drop:</w:t>
      </w:r>
      <w:r>
        <w:rPr>
          <w:color w:val="202020"/>
        </w:rPr>
        <w:t xml:space="preserve"> route a positive detection to the existing dead-letter queue with its reason, emit a metric, and alert. This reuses machinery that already exists and is tested.</w:t>
      </w:r>
    </w:p>
    <w:tbl>
      <w:tblPr>
        <w:tblW w:type="auto" w:w="0"/>
        <w:tblLayout w:type="fixed"/>
        <w:tblLook w:firstColumn="1" w:firstRow="1" w:lastColumn="0" w:lastRow="0" w:noHBand="0" w:noVBand="1" w:val="04A0"/>
      </w:tblPr>
      <w:tblGrid>
        <w:gridCol w:w="9360"/>
      </w:tblGrid>
      <w:tr>
        <w:tc>
          <w:tcPr>
            <w:tcW w:type="dxa" w:w="9360"/>
            <w:shd w:val="clear" w:color="auto" w:fill="F0EAF7"/>
            <w:tcBorders>
              <w:top w:val="single" w:sz="4" w:space="0" w:color="6A3D9A"/>
              <w:left w:val="single" w:sz="24" w:space="0" w:color="6A3D9A"/>
              <w:bottom w:val="single" w:sz="4" w:space="0" w:color="6A3D9A"/>
              <w:right w:val="single" w:sz="4" w:space="0" w:color="6A3D9A"/>
            </w:tcBorders>
          </w:tcPr>
          <w:p>
            <w:r>
              <w:rPr>
                <w:b/>
                <w:color w:val="6A3D9A"/>
              </w:rPr>
              <w:t xml:space="preserve">Information to request: </w:t>
            </w:r>
            <w:r>
              <w:rPr>
                <w:color w:val="202020"/>
                <w:sz w:val="20"/>
              </w:rPr>
              <w:t>The bank's approved malware-scanning service and its integration contract (ICAP endpoint, Defender API, or an internal scanning gateway), plus the security team's position on whether a detection should quarantine the item or fail the whole crawl.</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E7F1E7"/>
            <w:tcBorders>
              <w:top w:val="single" w:sz="4" w:space="0" w:color="2E7D32"/>
              <w:left w:val="single" w:sz="24" w:space="0" w:color="2E7D32"/>
              <w:bottom w:val="single" w:sz="4" w:space="0" w:color="2E7D32"/>
              <w:right w:val="single" w:sz="4" w:space="0" w:color="2E7D32"/>
            </w:tcBorders>
          </w:tcPr>
          <w:p>
            <w:r>
              <w:rPr>
                <w:b/>
                <w:color w:val="2E7D32"/>
              </w:rPr>
              <w:t xml:space="preserve">Tip: </w:t>
            </w:r>
            <w:r>
              <w:rPr>
                <w:color w:val="202020"/>
                <w:sz w:val="20"/>
              </w:rPr>
              <w:t>Do not scope it as a sixth copy. There is one Connector.Chassis project and all five connectors reference it directly, so the cheapest honest route for the two that lack a gate — Salesforce and Hadoop BDH — is to lift the stage the other three already run into the chassis and consume it from there, retiring three divergences instead of adding two. The dead-letter, metrics and alerting paths it depends on are already built and hardened.</w:t>
            </w:r>
          </w:p>
        </w:tc>
      </w:tr>
    </w:tbl>
    <w:p>
      <w:pPr>
        <w:spacing w:after="40"/>
      </w:pPr>
    </w:p>
    <w:p>
      <w:pPr>
        <w:pStyle w:val="Heading2"/>
      </w:pPr>
      <w:r>
        <w:rPr>
          <w:color w:val="2E5496"/>
        </w:rPr>
        <w:t>3.2 G2 — Field-level security: enforced at Salesforce, open on the Hadoop mirror</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1900"/>
        <w:gridCol w:w="7460"/>
      </w:tblGrid>
      <w:tr>
        <w:tc>
          <w:tcPr>
            <w:tcW w:type="dxa" w:w="1900"/>
            <w:shd w:val="clear" w:color="auto" w:fill="2E5496"/>
          </w:tcPr>
          <w:p>
            <w:r>
              <w:rPr>
                <w:b/>
                <w:color w:val="FFFFFF"/>
                <w:sz w:val="19"/>
              </w:rPr>
              <w:t>Field</w:t>
            </w:r>
          </w:p>
        </w:tc>
        <w:tc>
          <w:tcPr>
            <w:tcW w:type="dxa" w:w="7460"/>
            <w:shd w:val="clear" w:color="auto" w:fill="2E5496"/>
          </w:tcPr>
          <w:p>
            <w:r>
              <w:rPr>
                <w:b/>
                <w:color w:val="FFFFFF"/>
                <w:sz w:val="19"/>
              </w:rPr>
              <w:t>Assessment</w:t>
            </w:r>
          </w:p>
        </w:tc>
      </w:tr>
      <w:tr>
        <w:tc>
          <w:tcPr>
            <w:tcW w:type="dxa" w:w="1900"/>
          </w:tcPr>
          <w:p>
            <w:r>
              <w:rPr>
                <w:color w:val="202020"/>
                <w:sz w:val="19"/>
              </w:rPr>
              <w:t>Applies to</w:t>
            </w:r>
          </w:p>
        </w:tc>
        <w:tc>
          <w:tcPr>
            <w:tcW w:type="dxa" w:w="7460"/>
          </w:tcPr>
          <w:p>
            <w:r>
              <w:rPr>
                <w:b/>
                <w:color w:val="202020"/>
                <w:sz w:val="19"/>
              </w:rPr>
              <w:t>Salesforce</w:t>
            </w:r>
            <w:r>
              <w:rPr>
                <w:color w:val="202020"/>
                <w:sz w:val="19"/>
              </w:rPr>
              <w:t xml:space="preserve"> directly; </w:t>
            </w:r>
            <w:r>
              <w:rPr>
                <w:b/>
                <w:color w:val="202020"/>
                <w:sz w:val="19"/>
              </w:rPr>
              <w:t>Hadoop BDH</w:t>
            </w:r>
            <w:r>
              <w:rPr>
                <w:color w:val="202020"/>
                <w:sz w:val="19"/>
              </w:rPr>
              <w:t xml:space="preserve"> by inheritance, because it mirrors Salesforce data under a coarser ACL model</w:t>
            </w:r>
          </w:p>
        </w:tc>
      </w:tr>
      <w:tr>
        <w:tc>
          <w:tcPr>
            <w:tcW w:type="dxa" w:w="1900"/>
            <w:shd w:val="clear" w:color="auto" w:fill="F7F9FC"/>
          </w:tcPr>
          <w:p>
            <w:r>
              <w:rPr>
                <w:color w:val="202020"/>
                <w:sz w:val="19"/>
              </w:rPr>
              <w:t>Catalogue requirement</w:t>
            </w:r>
          </w:p>
        </w:tc>
        <w:tc>
          <w:tcPr>
            <w:tcW w:type="dxa" w:w="7460"/>
            <w:shd w:val="clear" w:color="auto" w:fill="F7F9FC"/>
          </w:tcPr>
          <w:p>
            <w:r>
              <w:rPr>
                <w:color w:val="202020"/>
                <w:sz w:val="19"/>
              </w:rPr>
              <w:t>"Field-level security honored so restricted fields never reach the index"</w:t>
            </w:r>
          </w:p>
        </w:tc>
      </w:tr>
      <w:tr>
        <w:tc>
          <w:tcPr>
            <w:tcW w:type="dxa" w:w="1900"/>
          </w:tcPr>
          <w:p>
            <w:r>
              <w:rPr>
                <w:color w:val="202020"/>
                <w:sz w:val="19"/>
              </w:rPr>
              <w:t>Current state</w:t>
            </w:r>
          </w:p>
        </w:tc>
        <w:tc>
          <w:tcPr>
            <w:tcW w:type="dxa" w:w="7460"/>
          </w:tcPr>
          <w:p>
            <w:r>
              <w:rPr>
                <w:color w:val="202020"/>
                <w:sz w:val="19"/>
              </w:rPr>
              <w:t xml:space="preserve">Closed at Salesforce, open on the mirror. Record-level sharing is reproduced faithfully (org-wide defaults, role hierarchy, sharing rules, groups, queues), and field-level security is now read from FieldPermissions — with a describe fallback, a cached snapshot and an audit manifest per crawl — then applied at conversion time to the Graph properties and the searchable content body alike. FLS_ENFORCEMENT defaults on and FLS_MODE defaults to strict, the least-privilege union. Residual limits are documented rather than hidden (docs/FLS.md): the union is scoped per object rather than per item, non-address compounds are suppressed rather than assembled, multi-hop relationship paths are dropped, permissions are re-read only every FLS_CACHE_TTL_HOURS (24 by default), and a FieldPermissions query that returns no rows is flagged as a suspected fail-open rather than treated as a drop. On the Hadoop BDH mirror the gap is untouched: the connector has the enforcement mechanism (per-column drop / mask at conversion), but </w:t>
            </w:r>
            <w:r>
              <w:rPr>
                <w:b/>
                <w:color w:val="202020"/>
                <w:sz w:val="19"/>
              </w:rPr>
              <w:t>the policy data is hand-authored and the shipped configuration restricts no column</w:t>
            </w:r>
          </w:p>
        </w:tc>
      </w:tr>
      <w:tr>
        <w:tc>
          <w:tcPr>
            <w:tcW w:type="dxa" w:w="1900"/>
            <w:shd w:val="clear" w:color="auto" w:fill="F7F9FC"/>
          </w:tcPr>
          <w:p>
            <w:r>
              <w:rPr>
                <w:color w:val="202020"/>
                <w:sz w:val="19"/>
              </w:rPr>
              <w:t>Risk</w:t>
            </w:r>
          </w:p>
        </w:tc>
        <w:tc>
          <w:tcPr>
            <w:tcW w:type="dxa" w:w="7460"/>
            <w:shd w:val="clear" w:color="auto" w:fill="F7F9FC"/>
          </w:tcPr>
          <w:p>
            <w:r>
              <w:rPr>
                <w:color w:val="202020"/>
                <w:sz w:val="19"/>
              </w:rPr>
              <w:t xml:space="preserve">On Hadoop BDH, a user permitted to see a mirrored record sees </w:t>
            </w:r>
            <w:r>
              <w:rPr>
                <w:b/>
                <w:color w:val="202020"/>
                <w:sz w:val="19"/>
              </w:rPr>
              <w:t>every indexed column on it</w:t>
            </w:r>
            <w:r>
              <w:rPr>
                <w:color w:val="202020"/>
                <w:sz w:val="19"/>
              </w:rPr>
              <w:t>, including fields Salesforce itself would hide. Compensation, margin and similar restricted fields are the usual casualties. At Salesforce the same exposure is now closed by default, and re-opens only if an operator sets FLS_ENFORCEMENT=false or FLS_MODE=permissive</w:t>
            </w:r>
          </w:p>
        </w:tc>
      </w:tr>
    </w:tbl>
    <w:p>
      <w:pPr>
        <w:spacing w:after="40"/>
      </w:pPr>
    </w:p>
    <w:p>
      <w:pPr>
        <w:pStyle w:val="Heading3"/>
      </w:pPr>
      <w:r>
        <w:rPr>
          <w:color w:val="2E5496"/>
        </w:rPr>
        <w:t>What to implement</w:t>
      </w:r>
    </w:p>
    <w:p>
      <w:pPr>
        <w:pStyle w:val="ListBullet"/>
        <w:spacing w:after="40"/>
      </w:pPr>
      <w:r>
        <w:rPr>
          <w:color w:val="202020"/>
        </w:rPr>
        <w:t>Carry the Salesforce decisions onto the mirror: feed Hadoop BDH's per-column policies from the FLS manifest each Salesforce crawl already writes, instead of leaving them hand-authored and empty.</w:t>
      </w:r>
    </w:p>
    <w:p>
      <w:pPr>
        <w:pStyle w:val="ListBullet"/>
        <w:spacing w:after="40"/>
      </w:pPr>
      <w:r>
        <w:rPr>
          <w:color w:val="202020"/>
        </w:rPr>
        <w:t xml:space="preserve">Alert on the two documented fail-open signals rather than only logging them: the </w:t>
      </w:r>
      <w:r>
        <w:rPr>
          <w:b/>
          <w:color w:val="202020"/>
        </w:rPr>
        <w:t>suspectedFailOpen</w:t>
      </w:r>
      <w:r>
        <w:rPr>
          <w:color w:val="202020"/>
        </w:rPr>
        <w:t xml:space="preserve"> array in the FLS manifest, and the ingest-time error raised when FLS resolution throws and the crawl proceeds without the fetched restrictions.</w:t>
      </w:r>
    </w:p>
    <w:p>
      <w:pPr>
        <w:pStyle w:val="ListBullet"/>
        <w:spacing w:after="40"/>
      </w:pPr>
      <w:r>
        <w:rPr>
          <w:color w:val="202020"/>
        </w:rPr>
        <w:t>Hold FLS_ENFORCEMENT on and FLS_MODE at strict in every environment. Both escape hatches are documented, and both re-open the exposure: permissive can expose a field Salesforce would deny, so it should require named sign-off rather than a configuration change.</w:t>
      </w:r>
    </w:p>
    <w:p>
      <w:pPr>
        <w:pStyle w:val="ListBullet"/>
        <w:spacing w:after="40"/>
      </w:pPr>
      <w:r>
        <w:rPr>
          <w:color w:val="202020"/>
        </w:rPr>
        <w:t xml:space="preserve">Close or explicitly accept the residual limits recorded in docs/FLS.md. The sharpest operationally is the </w:t>
      </w:r>
      <w:r>
        <w:rPr>
          <w:b/>
          <w:color w:val="202020"/>
        </w:rPr>
        <w:t>24-hour</w:t>
      </w:r>
      <w:r>
        <w:rPr>
          <w:color w:val="202020"/>
        </w:rPr>
        <w:t xml:space="preserve"> permission cache: a field restricted in Salesforce mid-window stays indexed until the next fetch.</w:t>
      </w: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color w:val="202020"/>
                <w:sz w:val="20"/>
              </w:rPr>
              <w:t xml:space="preserve">What remains of this gap is live even though the Salesforce connector is deferred from deployment, and closing field-level security at Salesforce did not close it, because the Hadoop BDH connector indexes the same Salesforce records against </w:t>
            </w:r>
            <w:r>
              <w:rPr>
                <w:rFonts w:ascii="Consolas" w:hAnsi="Consolas"/>
                <w:color w:val="202020"/>
                <w:sz w:val="19"/>
              </w:rPr>
              <w:t>owner</w:t>
            </w:r>
            <w:r>
              <w:rPr>
                <w:color w:val="202020"/>
                <w:sz w:val="20"/>
              </w:rPr>
              <w:t xml:space="preserve"> / </w:t>
            </w:r>
            <w:r>
              <w:rPr>
                <w:rFonts w:ascii="Consolas" w:hAnsi="Consolas"/>
                <w:color w:val="202020"/>
                <w:sz w:val="19"/>
              </w:rPr>
              <w:t>group</w:t>
            </w:r>
            <w:r>
              <w:rPr>
                <w:color w:val="202020"/>
                <w:sz w:val="20"/>
              </w:rPr>
              <w:t xml:space="preserve"> / </w:t>
            </w:r>
            <w:r>
              <w:rPr>
                <w:rFonts w:ascii="Consolas" w:hAnsi="Consolas"/>
                <w:color w:val="202020"/>
                <w:sz w:val="19"/>
              </w:rPr>
              <w:t>public</w:t>
            </w:r>
            <w:r>
              <w:rPr>
                <w:color w:val="202020"/>
                <w:sz w:val="20"/>
              </w:rPr>
              <w:t xml:space="preserve"> ACLs. Deferring Salesforce does </w:t>
            </w:r>
            <w:r>
              <w:rPr>
                <w:b/>
                <w:color w:val="202020"/>
                <w:sz w:val="20"/>
              </w:rPr>
              <w:t>not</w:t>
            </w:r>
            <w:r>
              <w:rPr>
                <w:color w:val="202020"/>
                <w:sz w:val="20"/>
              </w:rPr>
              <w:t xml:space="preserve"> defer the exposure.</w:t>
            </w:r>
          </w:p>
        </w:tc>
      </w:tr>
    </w:tbl>
    <w:p>
      <w:pPr>
        <w:spacing w:after="40"/>
      </w:pPr>
    </w:p>
    <w:p>
      <w:pPr>
        <w:pStyle w:val="Heading2"/>
      </w:pPr>
      <w:r>
        <w:rPr>
          <w:color w:val="2E5496"/>
        </w:rPr>
        <w:t>3.3 G3 — Hadoop authorisation is coarse (Apache Ranger absent)</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1900"/>
        <w:gridCol w:w="7460"/>
      </w:tblGrid>
      <w:tr>
        <w:tc>
          <w:tcPr>
            <w:tcW w:type="dxa" w:w="1900"/>
            <w:shd w:val="clear" w:color="auto" w:fill="2E5496"/>
          </w:tcPr>
          <w:p>
            <w:r>
              <w:rPr>
                <w:b/>
                <w:color w:val="FFFFFF"/>
                <w:sz w:val="19"/>
              </w:rPr>
              <w:t>Field</w:t>
            </w:r>
          </w:p>
        </w:tc>
        <w:tc>
          <w:tcPr>
            <w:tcW w:type="dxa" w:w="7460"/>
            <w:shd w:val="clear" w:color="auto" w:fill="2E5496"/>
          </w:tcPr>
          <w:p>
            <w:r>
              <w:rPr>
                <w:b/>
                <w:color w:val="FFFFFF"/>
                <w:sz w:val="19"/>
              </w:rPr>
              <w:t>Assessment</w:t>
            </w:r>
          </w:p>
        </w:tc>
      </w:tr>
      <w:tr>
        <w:tc>
          <w:tcPr>
            <w:tcW w:type="dxa" w:w="1900"/>
          </w:tcPr>
          <w:p>
            <w:r>
              <w:rPr>
                <w:color w:val="202020"/>
                <w:sz w:val="19"/>
              </w:rPr>
              <w:t>Applies to</w:t>
            </w:r>
          </w:p>
        </w:tc>
        <w:tc>
          <w:tcPr>
            <w:tcW w:type="dxa" w:w="7460"/>
          </w:tcPr>
          <w:p>
            <w:r>
              <w:rPr>
                <w:b/>
                <w:color w:val="202020"/>
                <w:sz w:val="19"/>
              </w:rPr>
              <w:t>Hadoop BDH only</w:t>
            </w:r>
          </w:p>
        </w:tc>
      </w:tr>
      <w:tr>
        <w:tc>
          <w:tcPr>
            <w:tcW w:type="dxa" w:w="1900"/>
            <w:shd w:val="clear" w:color="auto" w:fill="F7F9FC"/>
          </w:tcPr>
          <w:p>
            <w:r>
              <w:rPr>
                <w:color w:val="202020"/>
                <w:sz w:val="19"/>
              </w:rPr>
              <w:t>Catalogue requirement</w:t>
            </w:r>
          </w:p>
        </w:tc>
        <w:tc>
          <w:tcPr>
            <w:tcW w:type="dxa" w:w="7460"/>
            <w:shd w:val="clear" w:color="auto" w:fill="F7F9FC"/>
          </w:tcPr>
          <w:p>
            <w:r>
              <w:rPr>
                <w:color w:val="202020"/>
                <w:sz w:val="19"/>
              </w:rPr>
              <w:t>"Apache Ranger policy read for row, column, and file-level authorization"</w:t>
            </w:r>
          </w:p>
        </w:tc>
      </w:tr>
      <w:tr>
        <w:tc>
          <w:tcPr>
            <w:tcW w:type="dxa" w:w="1900"/>
          </w:tcPr>
          <w:p>
            <w:r>
              <w:rPr>
                <w:color w:val="202020"/>
                <w:sz w:val="19"/>
              </w:rPr>
              <w:t>Current state</w:t>
            </w:r>
          </w:p>
        </w:tc>
        <w:tc>
          <w:tcPr>
            <w:tcW w:type="dxa" w:w="7460"/>
          </w:tcPr>
          <w:p>
            <w:r>
              <w:rPr>
                <w:color w:val="202020"/>
                <w:sz w:val="19"/>
              </w:rPr>
              <w:t xml:space="preserve">Confirmed </w:t>
            </w:r>
            <w:r>
              <w:rPr>
                <w:rFonts w:ascii="Consolas" w:hAnsi="Consolas"/>
                <w:color w:val="202020"/>
                <w:sz w:val="19"/>
              </w:rPr>
              <w:t>owner</w:t>
            </w:r>
            <w:r>
              <w:rPr>
                <w:color w:val="202020"/>
                <w:sz w:val="19"/>
              </w:rPr>
              <w:t xml:space="preserve"> / </w:t>
            </w:r>
            <w:r>
              <w:rPr>
                <w:rFonts w:ascii="Consolas" w:hAnsi="Consolas"/>
                <w:color w:val="202020"/>
                <w:sz w:val="19"/>
              </w:rPr>
              <w:t>group</w:t>
            </w:r>
            <w:r>
              <w:rPr>
                <w:color w:val="202020"/>
                <w:sz w:val="19"/>
              </w:rPr>
              <w:t xml:space="preserve"> / </w:t>
            </w:r>
            <w:r>
              <w:rPr>
                <w:rFonts w:ascii="Consolas" w:hAnsi="Consolas"/>
                <w:color w:val="202020"/>
                <w:sz w:val="19"/>
              </w:rPr>
              <w:t>public</w:t>
            </w:r>
            <w:r>
              <w:rPr>
                <w:color w:val="202020"/>
                <w:sz w:val="19"/>
              </w:rPr>
              <w:t xml:space="preserve"> only — a documented trade-off at build time. </w:t>
            </w:r>
            <w:r>
              <w:rPr>
                <w:b/>
                <w:color w:val="202020"/>
                <w:sz w:val="19"/>
              </w:rPr>
              <w:t>No Ranger integration exists</w:t>
            </w:r>
          </w:p>
        </w:tc>
      </w:tr>
      <w:tr>
        <w:tc>
          <w:tcPr>
            <w:tcW w:type="dxa" w:w="1900"/>
            <w:shd w:val="clear" w:color="auto" w:fill="F7F9FC"/>
          </w:tcPr>
          <w:p>
            <w:r>
              <w:rPr>
                <w:color w:val="202020"/>
                <w:sz w:val="19"/>
              </w:rPr>
              <w:t>Risk</w:t>
            </w:r>
          </w:p>
        </w:tc>
        <w:tc>
          <w:tcPr>
            <w:tcW w:type="dxa" w:w="7460"/>
            <w:shd w:val="clear" w:color="auto" w:fill="F7F9FC"/>
          </w:tcPr>
          <w:p>
            <w:r>
              <w:rPr>
                <w:color w:val="202020"/>
                <w:sz w:val="19"/>
              </w:rPr>
              <w:t>Over-sharing at scale: a mart holding 150M+ mirrored Salesforce rows, exposed under POSIX-style ACLs that cannot express the row and column restrictions the source enforces</w:t>
            </w:r>
          </w:p>
        </w:tc>
      </w:tr>
    </w:tbl>
    <w:p>
      <w:pPr>
        <w:spacing w:after="40"/>
      </w:pPr>
    </w:p>
    <w:p>
      <w:pPr>
        <w:pStyle w:val="Heading3"/>
      </w:pPr>
      <w:r>
        <w:rPr>
          <w:color w:val="2E5496"/>
        </w:rPr>
        <w:t>What to implement</w:t>
      </w:r>
    </w:p>
    <w:p>
      <w:pPr>
        <w:pStyle w:val="ListBullet"/>
        <w:spacing w:after="40"/>
      </w:pPr>
      <w:r>
        <w:rPr>
          <w:color w:val="202020"/>
        </w:rPr>
        <w:t>Read Ranger policies over its REST API and derive per-object, per-column and row-filter ACLs during the crawl.</w:t>
      </w:r>
    </w:p>
    <w:p>
      <w:pPr>
        <w:pStyle w:val="ListBullet"/>
        <w:spacing w:after="40"/>
      </w:pPr>
      <w:r>
        <w:rPr>
          <w:color w:val="202020"/>
        </w:rPr>
        <w:t>Map Ranger principals to Entra ID objects through the identity store the connector already maintains.</w:t>
      </w:r>
    </w:p>
    <w:p>
      <w:pPr>
        <w:pStyle w:val="ListBullet"/>
        <w:spacing w:after="40"/>
      </w:pPr>
      <w:r>
        <w:rPr>
          <w:b/>
          <w:color w:val="202020"/>
        </w:rPr>
        <w:t>Fail closed</w:t>
      </w:r>
      <w:r>
        <w:rPr>
          <w:color w:val="202020"/>
        </w:rPr>
        <w:t xml:space="preserve"> on an unreadable or stale policy set — consistent with the connector's existing full-scan guard, which already refuses to crawl rather than over-collect.</w:t>
      </w:r>
    </w:p>
    <w:p>
      <w:pPr>
        <w:pStyle w:val="ListBullet"/>
        <w:spacing w:after="40"/>
      </w:pPr>
      <w:r>
        <w:rPr>
          <w:b/>
          <w:color w:val="202020"/>
        </w:rPr>
        <w:t>Interim control if Ranger integration is deferred:</w:t>
      </w:r>
      <w:r>
        <w:rPr>
          <w:color w:val="202020"/>
        </w:rPr>
        <w:t xml:space="preserve"> constrain </w:t>
      </w:r>
      <w:r>
        <w:rPr>
          <w:rFonts w:ascii="Consolas" w:hAnsi="Consolas"/>
          <w:color w:val="202020"/>
          <w:sz w:val="19"/>
        </w:rPr>
        <w:t>filters.json</w:t>
      </w:r>
      <w:r>
        <w:rPr>
          <w:color w:val="202020"/>
        </w:rPr>
        <w:t xml:space="preserve"> to datasets where owner/group authorisation is demonstrably sufficient, and have the data owner attest to that in writing.</w:t>
      </w: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color w:val="202020"/>
                <w:sz w:val="20"/>
              </w:rPr>
              <w:t>Ranger integration pairs naturally with Hive metastore integration (G13): column-level policies are only meaningful when column metadata is available. Sequence them together.</w:t>
            </w:r>
          </w:p>
        </w:tc>
      </w:tr>
    </w:tbl>
    <w:p>
      <w:pPr>
        <w:spacing w:after="40"/>
      </w:pPr>
    </w:p>
    <w:p>
      <w:pPr>
        <w:pStyle w:val="Heading2"/>
      </w:pPr>
      <w:r>
        <w:rPr>
          <w:color w:val="2E5496"/>
        </w:rPr>
        <w:t>3.4 G4 — Hadoop Kerberos / SPNEGO and keytab lifecycle</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1900"/>
        <w:gridCol w:w="7460"/>
      </w:tblGrid>
      <w:tr>
        <w:tc>
          <w:tcPr>
            <w:tcW w:type="dxa" w:w="1900"/>
            <w:shd w:val="clear" w:color="auto" w:fill="2E5496"/>
          </w:tcPr>
          <w:p>
            <w:r>
              <w:rPr>
                <w:b/>
                <w:color w:val="FFFFFF"/>
                <w:sz w:val="19"/>
              </w:rPr>
              <w:t>Field</w:t>
            </w:r>
          </w:p>
        </w:tc>
        <w:tc>
          <w:tcPr>
            <w:tcW w:type="dxa" w:w="7460"/>
            <w:shd w:val="clear" w:color="auto" w:fill="2E5496"/>
          </w:tcPr>
          <w:p>
            <w:r>
              <w:rPr>
                <w:b/>
                <w:color w:val="FFFFFF"/>
                <w:sz w:val="19"/>
              </w:rPr>
              <w:t>Assessment</w:t>
            </w:r>
          </w:p>
        </w:tc>
      </w:tr>
      <w:tr>
        <w:tc>
          <w:tcPr>
            <w:tcW w:type="dxa" w:w="1900"/>
          </w:tcPr>
          <w:p>
            <w:r>
              <w:rPr>
                <w:color w:val="202020"/>
                <w:sz w:val="19"/>
              </w:rPr>
              <w:t>Applies to</w:t>
            </w:r>
          </w:p>
        </w:tc>
        <w:tc>
          <w:tcPr>
            <w:tcW w:type="dxa" w:w="7460"/>
          </w:tcPr>
          <w:p>
            <w:r>
              <w:rPr>
                <w:b/>
                <w:color w:val="202020"/>
                <w:sz w:val="19"/>
              </w:rPr>
              <w:t>Hadoop BDH only</w:t>
            </w:r>
          </w:p>
        </w:tc>
      </w:tr>
      <w:tr>
        <w:tc>
          <w:tcPr>
            <w:tcW w:type="dxa" w:w="1900"/>
            <w:shd w:val="clear" w:color="auto" w:fill="F7F9FC"/>
          </w:tcPr>
          <w:p>
            <w:r>
              <w:rPr>
                <w:color w:val="202020"/>
                <w:sz w:val="19"/>
              </w:rPr>
              <w:t>Catalogue requirement</w:t>
            </w:r>
          </w:p>
        </w:tc>
        <w:tc>
          <w:tcPr>
            <w:tcW w:type="dxa" w:w="7460"/>
            <w:shd w:val="clear" w:color="auto" w:fill="F7F9FC"/>
          </w:tcPr>
          <w:p>
            <w:r>
              <w:rPr>
                <w:color w:val="202020"/>
                <w:sz w:val="19"/>
              </w:rPr>
              <w:t>"Kerberos authentication with keytab lifecycle management"</w:t>
            </w:r>
          </w:p>
        </w:tc>
      </w:tr>
      <w:tr>
        <w:tc>
          <w:tcPr>
            <w:tcW w:type="dxa" w:w="1900"/>
          </w:tcPr>
          <w:p>
            <w:r>
              <w:rPr>
                <w:color w:val="202020"/>
                <w:sz w:val="19"/>
              </w:rPr>
              <w:t>Current state</w:t>
            </w:r>
          </w:p>
        </w:tc>
        <w:tc>
          <w:tcPr>
            <w:tcW w:type="dxa" w:w="7460"/>
          </w:tcPr>
          <w:p>
            <w:r>
              <w:rPr>
                <w:color w:val="202020"/>
                <w:sz w:val="19"/>
              </w:rPr>
              <w:t>The code states it plainly: *Kerberos/SPNEGO itself is out of scope*. Authentication is simple auth (</w:t>
            </w:r>
            <w:r>
              <w:rPr>
                <w:rFonts w:ascii="Consolas" w:hAnsi="Consolas"/>
                <w:color w:val="202020"/>
                <w:sz w:val="19"/>
              </w:rPr>
              <w:t>?user.name=</w:t>
            </w:r>
            <w:r>
              <w:rPr>
                <w:color w:val="202020"/>
                <w:sz w:val="19"/>
              </w:rPr>
              <w:t>) with an optional delegation token (</w:t>
            </w:r>
            <w:r>
              <w:rPr>
                <w:rFonts w:ascii="Consolas" w:hAnsi="Consolas"/>
                <w:color w:val="202020"/>
                <w:sz w:val="19"/>
              </w:rPr>
              <w:t>SECRET_HDFS_DELEGATION_TOKEN</w:t>
            </w:r>
            <w:r>
              <w:rPr>
                <w:color w:val="202020"/>
                <w:sz w:val="19"/>
              </w:rPr>
              <w:t>)</w:t>
            </w:r>
          </w:p>
        </w:tc>
      </w:tr>
      <w:tr>
        <w:tc>
          <w:tcPr>
            <w:tcW w:type="dxa" w:w="1900"/>
            <w:shd w:val="clear" w:color="auto" w:fill="F7F9FC"/>
          </w:tcPr>
          <w:p>
            <w:r>
              <w:rPr>
                <w:color w:val="202020"/>
                <w:sz w:val="19"/>
              </w:rPr>
              <w:t>Risk</w:t>
            </w:r>
          </w:p>
        </w:tc>
        <w:tc>
          <w:tcPr>
            <w:tcW w:type="dxa" w:w="7460"/>
            <w:shd w:val="clear" w:color="auto" w:fill="F7F9FC"/>
          </w:tcPr>
          <w:p>
            <w:r>
              <w:rPr>
                <w:b/>
                <w:color w:val="202020"/>
                <w:sz w:val="19"/>
              </w:rPr>
              <w:t>Deployment blocker.</w:t>
            </w:r>
            <w:r>
              <w:rPr>
                <w:color w:val="202020"/>
                <w:sz w:val="19"/>
              </w:rPr>
              <w:t xml:space="preserve"> A regulated Hadoop estate will normally refuse simple auth outright, so the connector cannot be onboarded at all</w:t>
            </w:r>
          </w:p>
        </w:tc>
      </w:tr>
    </w:tbl>
    <w:p>
      <w:pPr>
        <w:spacing w:after="40"/>
      </w:pPr>
    </w:p>
    <w:p>
      <w:pPr>
        <w:pStyle w:val="Heading3"/>
      </w:pPr>
      <w:r>
        <w:rPr>
          <w:color w:val="2E5496"/>
        </w:rPr>
        <w:t>What to implement</w:t>
      </w:r>
    </w:p>
    <w:p>
      <w:pPr>
        <w:pStyle w:val="ListBullet"/>
        <w:spacing w:after="40"/>
      </w:pPr>
      <w:r>
        <w:rPr>
          <w:color w:val="202020"/>
        </w:rPr>
        <w:t>SPNEGO negotiation on the WebHDFS client, with keytab-based ticket acquisition and automatic renewal.</w:t>
      </w:r>
    </w:p>
    <w:p>
      <w:pPr>
        <w:pStyle w:val="ListBullet"/>
        <w:spacing w:after="40"/>
      </w:pPr>
      <w:r>
        <w:rPr>
          <w:color w:val="202020"/>
        </w:rPr>
        <w:t>Keytab held in Key Vault and rotated through the existing secret-rotation runbook.</w:t>
      </w:r>
    </w:p>
    <w:p>
      <w:pPr>
        <w:pStyle w:val="ListBullet"/>
        <w:spacing w:after="40"/>
      </w:pPr>
      <w:r>
        <w:rPr>
          <w:b/>
          <w:color w:val="202020"/>
        </w:rPr>
        <w:t>Cheaper alternative to confirm first:</w:t>
      </w:r>
      <w:r>
        <w:rPr>
          <w:color w:val="202020"/>
        </w:rPr>
        <w:t xml:space="preserve"> if a Knox gateway fronts the cluster, it can terminate Kerberos and the existing token path may suffice — the code already notes Knox works identically. Confirm before building.</w:t>
      </w:r>
    </w:p>
    <w:tbl>
      <w:tblPr>
        <w:tblW w:type="auto" w:w="0"/>
        <w:tblLayout w:type="fixed"/>
        <w:tblLook w:firstColumn="1" w:firstRow="1" w:lastColumn="0" w:lastRow="0" w:noHBand="0" w:noVBand="1" w:val="04A0"/>
      </w:tblPr>
      <w:tblGrid>
        <w:gridCol w:w="9360"/>
      </w:tblGrid>
      <w:tr>
        <w:tc>
          <w:tcPr>
            <w:tcW w:type="dxa" w:w="9360"/>
            <w:shd w:val="clear" w:color="auto" w:fill="F0EAF7"/>
            <w:tcBorders>
              <w:top w:val="single" w:sz="4" w:space="0" w:color="6A3D9A"/>
              <w:left w:val="single" w:sz="24" w:space="0" w:color="6A3D9A"/>
              <w:bottom w:val="single" w:sz="4" w:space="0" w:color="6A3D9A"/>
              <w:right w:val="single" w:sz="4" w:space="0" w:color="6A3D9A"/>
            </w:tcBorders>
          </w:tcPr>
          <w:p>
            <w:r>
              <w:rPr>
                <w:b/>
                <w:color w:val="6A3D9A"/>
              </w:rPr>
              <w:t xml:space="preserve">Information to request: </w:t>
            </w:r>
            <w:r>
              <w:rPr>
                <w:color w:val="202020"/>
                <w:sz w:val="20"/>
              </w:rPr>
              <w:t>Whether the cluster is fronted by Knox, and if not, the Kerberos realm, KDC endpoints, service principal name and keytab issuance/rotation process from the Hadoop platform team.</w:t>
            </w:r>
          </w:p>
        </w:tc>
      </w:tr>
    </w:tbl>
    <w:p>
      <w:pPr>
        <w:spacing w:after="40"/>
      </w:pPr>
    </w:p>
    <w:p>
      <w:pPr>
        <w:pStyle w:val="Heading2"/>
      </w:pPr>
      <w:r>
        <w:rPr>
          <w:color w:val="2E5496"/>
        </w:rPr>
        <w:t>3.5 G5 — Purview sensitivity labels and DLP are advisory only</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1900"/>
        <w:gridCol w:w="7460"/>
      </w:tblGrid>
      <w:tr>
        <w:tc>
          <w:tcPr>
            <w:tcW w:type="dxa" w:w="1900"/>
            <w:shd w:val="clear" w:color="auto" w:fill="2E5496"/>
          </w:tcPr>
          <w:p>
            <w:r>
              <w:rPr>
                <w:b/>
                <w:color w:val="FFFFFF"/>
                <w:sz w:val="19"/>
              </w:rPr>
              <w:t>Field</w:t>
            </w:r>
          </w:p>
        </w:tc>
        <w:tc>
          <w:tcPr>
            <w:tcW w:type="dxa" w:w="7460"/>
            <w:shd w:val="clear" w:color="auto" w:fill="2E5496"/>
          </w:tcPr>
          <w:p>
            <w:r>
              <w:rPr>
                <w:b/>
                <w:color w:val="FFFFFF"/>
                <w:sz w:val="19"/>
              </w:rPr>
              <w:t>Assessment</w:t>
            </w:r>
          </w:p>
        </w:tc>
      </w:tr>
      <w:tr>
        <w:tc>
          <w:tcPr>
            <w:tcW w:type="dxa" w:w="1900"/>
          </w:tcPr>
          <w:p>
            <w:r>
              <w:rPr>
                <w:color w:val="202020"/>
                <w:sz w:val="19"/>
              </w:rPr>
              <w:t>Applies to</w:t>
            </w:r>
          </w:p>
        </w:tc>
        <w:tc>
          <w:tcPr>
            <w:tcW w:type="dxa" w:w="7460"/>
          </w:tcPr>
          <w:p>
            <w:r>
              <w:rPr>
                <w:b/>
                <w:color w:val="202020"/>
                <w:sz w:val="19"/>
              </w:rPr>
              <w:t>All five connectors</w:t>
            </w:r>
          </w:p>
        </w:tc>
      </w:tr>
      <w:tr>
        <w:tc>
          <w:tcPr>
            <w:tcW w:type="dxa" w:w="1900"/>
            <w:shd w:val="clear" w:color="auto" w:fill="F7F9FC"/>
          </w:tcPr>
          <w:p>
            <w:r>
              <w:rPr>
                <w:color w:val="202020"/>
                <w:sz w:val="19"/>
              </w:rPr>
              <w:t>Catalogue requirement</w:t>
            </w:r>
          </w:p>
        </w:tc>
        <w:tc>
          <w:tcPr>
            <w:tcW w:type="dxa" w:w="7460"/>
            <w:shd w:val="clear" w:color="auto" w:fill="F7F9FC"/>
          </w:tcPr>
          <w:p>
            <w:r>
              <w:rPr>
                <w:color w:val="202020"/>
                <w:sz w:val="19"/>
              </w:rPr>
              <w:t>"Purview sensitivity labels … classification travels with the item and drives downstream protection and DLP policy"</w:t>
            </w:r>
          </w:p>
        </w:tc>
      </w:tr>
      <w:tr>
        <w:tc>
          <w:tcPr>
            <w:tcW w:type="dxa" w:w="1900"/>
          </w:tcPr>
          <w:p>
            <w:r>
              <w:rPr>
                <w:color w:val="202020"/>
                <w:sz w:val="19"/>
              </w:rPr>
              <w:t>Current state</w:t>
            </w:r>
          </w:p>
        </w:tc>
        <w:tc>
          <w:tcPr>
            <w:tcW w:type="dxa" w:w="7460"/>
          </w:tcPr>
          <w:p>
            <w:r>
              <w:rPr>
                <w:color w:val="202020"/>
                <w:sz w:val="19"/>
              </w:rPr>
              <w:t xml:space="preserve">A connector-applied </w:t>
            </w:r>
            <w:r>
              <w:rPr>
                <w:b/>
                <w:color w:val="202020"/>
                <w:sz w:val="19"/>
              </w:rPr>
              <w:t>advisory tag</w:t>
            </w:r>
            <w:r>
              <w:rPr>
                <w:color w:val="202020"/>
                <w:sz w:val="19"/>
              </w:rPr>
              <w:t>, honestly documented in code and guides as *not* a Purview-enforced label. Purview-aligned in naming only; no Information Protection API call exists</w:t>
            </w:r>
          </w:p>
        </w:tc>
      </w:tr>
      <w:tr>
        <w:tc>
          <w:tcPr>
            <w:tcW w:type="dxa" w:w="1900"/>
            <w:shd w:val="clear" w:color="auto" w:fill="F7F9FC"/>
          </w:tcPr>
          <w:p>
            <w:r>
              <w:rPr>
                <w:color w:val="202020"/>
                <w:sz w:val="19"/>
              </w:rPr>
              <w:t>Risk</w:t>
            </w:r>
          </w:p>
        </w:tc>
        <w:tc>
          <w:tcPr>
            <w:tcW w:type="dxa" w:w="7460"/>
            <w:shd w:val="clear" w:color="auto" w:fill="F7F9FC"/>
          </w:tcPr>
          <w:p>
            <w:r>
              <w:rPr>
                <w:color w:val="202020"/>
                <w:sz w:val="19"/>
              </w:rPr>
              <w:t>Classification that looks authoritative but enforces nothing. Purview DLP does not act on the tag, and downstream tooling may over-trust it</w:t>
            </w:r>
          </w:p>
        </w:tc>
      </w:tr>
    </w:tbl>
    <w:p>
      <w:pPr>
        <w:spacing w:after="40"/>
      </w:pPr>
    </w:p>
    <w:p>
      <w:pPr>
        <w:pStyle w:val="Heading3"/>
      </w:pPr>
      <w:r>
        <w:rPr>
          <w:color w:val="2E5496"/>
        </w:rPr>
        <w:t>What to implement</w:t>
      </w:r>
    </w:p>
    <w:p>
      <w:pPr>
        <w:pStyle w:val="ListBullet"/>
        <w:spacing w:after="40"/>
      </w:pPr>
      <w:r>
        <w:rPr>
          <w:color w:val="202020"/>
        </w:rPr>
        <w:t>Map the internal taxonomy to real Purview label GUIDs and apply them through the Information Protection API.</w:t>
      </w:r>
    </w:p>
    <w:p>
      <w:pPr>
        <w:pStyle w:val="ListBullet"/>
        <w:spacing w:after="40"/>
      </w:pPr>
      <w:r>
        <w:rPr>
          <w:color w:val="202020"/>
        </w:rPr>
        <w:t xml:space="preserve">Confirm DLP policy coverage for </w:t>
      </w:r>
      <w:r>
        <w:rPr>
          <w:b/>
          <w:color w:val="202020"/>
        </w:rPr>
        <w:t>agent responses</w:t>
      </w:r>
      <w:r>
        <w:rPr>
          <w:color w:val="202020"/>
        </w:rPr>
        <w:t>, not only for indexed items.</w:t>
      </w:r>
    </w:p>
    <w:p>
      <w:pPr>
        <w:pStyle w:val="ListBullet"/>
        <w:spacing w:after="40"/>
      </w:pPr>
      <w:r>
        <w:rPr>
          <w:color w:val="202020"/>
        </w:rPr>
        <w:t>Keep the advisory tag as a search refiner — it is useful independently of enforcement.</w:t>
      </w: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b/>
                <w:color w:val="202020"/>
                <w:sz w:val="20"/>
              </w:rPr>
              <w:t>Validate feasibility before committing effort.</w:t>
            </w:r>
            <w:r>
              <w:rPr>
                <w:color w:val="202020"/>
                <w:sz w:val="20"/>
              </w:rPr>
              <w:t xml:space="preserve"> Microsoft's support for Purview labelling and DLP over Graph </w:t>
            </w:r>
            <w:r>
              <w:rPr>
                <w:b/>
                <w:color w:val="202020"/>
                <w:sz w:val="20"/>
              </w:rPr>
              <w:t>external items</w:t>
            </w:r>
            <w:r>
              <w:rPr>
                <w:color w:val="202020"/>
                <w:sz w:val="20"/>
              </w:rPr>
              <w:t xml:space="preserve"> is materially narrower than for native Microsoft 365 content and has shifted between preview and general availability. Confirm the current tenant-level position with Microsoft first; if enforcement is unavailable, the honest interim is the already-shipped </w:t>
            </w:r>
            <w:r>
              <w:rPr>
                <w:rFonts w:ascii="Consolas" w:hAnsi="Consolas"/>
                <w:color w:val="202020"/>
                <w:sz w:val="19"/>
              </w:rPr>
              <w:t>CLASSIFICATION_ENFORCE_ACL</w:t>
            </w:r>
            <w:r>
              <w:rPr>
                <w:color w:val="202020"/>
                <w:sz w:val="20"/>
              </w:rPr>
              <w:t xml:space="preserve"> control, which converts the top classification tier into a real Graph ACL restriction to a named Entra group.</w:t>
            </w:r>
          </w:p>
        </w:tc>
      </w:tr>
    </w:tbl>
    <w:p>
      <w:pPr>
        <w:spacing w:after="40"/>
      </w:pPr>
    </w:p>
    <w:p>
      <w:r>
        <w:br w:type="page"/>
      </w:r>
    </w:p>
    <w:p>
      <w:pPr>
        <w:pStyle w:val="Heading1"/>
      </w:pPr>
      <w:r>
        <w:rPr>
          <w:color w:val="1F3864"/>
        </w:rPr>
        <w:t>4. P1 — regulatory and operational commitments</w:t>
      </w:r>
    </w:p>
    <w:p>
      <w:pPr>
        <w:pStyle w:val="Heading2"/>
      </w:pPr>
      <w:r>
        <w:rPr>
          <w:color w:val="2E5496"/>
        </w:rPr>
        <w:t>4.1 G6 — Immutable (WORM) audit storage</w:t>
      </w:r>
    </w:p>
    <w:p>
      <w:pPr>
        <w:spacing w:after="120"/>
      </w:pPr>
      <w:r>
        <w:rPr>
          <w:color w:val="202020"/>
        </w:rPr>
        <w:t xml:space="preserve">The platform produces </w:t>
      </w:r>
      <w:r>
        <w:rPr>
          <w:b/>
          <w:color w:val="202020"/>
        </w:rPr>
        <w:t>tamper-evident</w:t>
      </w:r>
      <w:r>
        <w:rPr>
          <w:color w:val="202020"/>
        </w:rPr>
        <w:t xml:space="preserve"> evidence: SHA-256 hash-chained decision and erasure ledgers that detect edits, reordering and interior deletion. The catalogue requires </w:t>
      </w:r>
      <w:r>
        <w:rPr>
          <w:b/>
          <w:color w:val="202020"/>
        </w:rPr>
        <w:t>tamper-proof</w:t>
      </w:r>
      <w:r>
        <w:rPr>
          <w:color w:val="202020"/>
        </w:rPr>
        <w:t xml:space="preserve"> storage — immutable, write-once, with retention locks.</w:t>
      </w:r>
    </w:p>
    <w:p>
      <w:pPr>
        <w:pStyle w:val="ListBullet"/>
        <w:spacing w:after="40"/>
      </w:pPr>
      <w:r>
        <w:rPr>
          <w:b/>
          <w:color w:val="202020"/>
        </w:rPr>
        <w:t>Implement:</w:t>
      </w:r>
      <w:r>
        <w:rPr>
          <w:color w:val="202020"/>
        </w:rPr>
        <w:t xml:space="preserve"> ship ledgers and audit records to write-once storage (Azure immutable blob with a time-based retention policy or legal hold), so evidence survives host compromise.</w:t>
      </w:r>
    </w:p>
    <w:p>
      <w:pPr>
        <w:pStyle w:val="ListBullet"/>
        <w:spacing w:after="40"/>
      </w:pPr>
      <w:r>
        <w:rPr>
          <w:b/>
          <w:color w:val="202020"/>
        </w:rPr>
        <w:t>Applies to:</w:t>
      </w:r>
      <w:r>
        <w:rPr>
          <w:color w:val="202020"/>
        </w:rPr>
        <w:t xml:space="preserve"> all five; the obligation is sharpest for Altrata, whose erasure ledger is the DSAR compliance record.</w:t>
      </w: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b/>
                <w:color w:val="202020"/>
                <w:sz w:val="20"/>
              </w:rPr>
              <w:t>Deliberately out of connector scope:</w:t>
            </w:r>
            <w:r>
              <w:rPr>
                <w:color w:val="202020"/>
                <w:sz w:val="20"/>
              </w:rPr>
              <w:t xml:space="preserve"> "every content access logged with user, item, and decision". A Graph connector cannot observe who queried Copilot or what was returned — that evidence comes from the Microsoft 365 unified audit log and Purview. Assign it to the M365 platform team and record the split in the control mapping, rather than attempting it here.</w:t>
            </w:r>
          </w:p>
        </w:tc>
      </w:tr>
    </w:tbl>
    <w:p>
      <w:pPr>
        <w:spacing w:after="40"/>
      </w:pPr>
    </w:p>
    <w:p>
      <w:pPr>
        <w:pStyle w:val="Heading2"/>
      </w:pPr>
      <w:r>
        <w:rPr>
          <w:color w:val="2E5496"/>
        </w:rPr>
        <w:t>4.2 G7 — FIPS 140-3 posture</w:t>
      </w:r>
    </w:p>
    <w:p>
      <w:pPr>
        <w:pStyle w:val="ListBullet"/>
        <w:spacing w:after="40"/>
      </w:pPr>
      <w:r>
        <w:rPr>
          <w:b/>
          <w:color w:val="202020"/>
        </w:rPr>
        <w:t>Applies to:</w:t>
      </w:r>
      <w:r>
        <w:rPr>
          <w:color w:val="202020"/>
        </w:rPr>
        <w:t xml:space="preserve"> Salesforce.</w:t>
      </w:r>
    </w:p>
    <w:p>
      <w:pPr>
        <w:pStyle w:val="ListBullet"/>
        <w:spacing w:after="40"/>
      </w:pPr>
      <w:r>
        <w:rPr>
          <w:b/>
          <w:color w:val="202020"/>
        </w:rPr>
        <w:t>Current state:</w:t>
      </w:r>
      <w:r>
        <w:rPr>
          <w:color w:val="202020"/>
        </w:rPr>
        <w:t xml:space="preserve"> a FIPS audit was completed; the fleet is clean </w:t>
      </w:r>
      <w:r>
        <w:rPr>
          <w:b/>
          <w:color w:val="202020"/>
        </w:rPr>
        <w:t>except</w:t>
      </w:r>
      <w:r>
        <w:rPr>
          <w:color w:val="202020"/>
        </w:rPr>
        <w:t xml:space="preserve"> two identity-critical MD5 uses in the Salesforce field-cache keys, retained for state compatibility with the original Python implementation and documented rather than changed.</w:t>
      </w:r>
    </w:p>
    <w:p>
      <w:pPr>
        <w:pStyle w:val="ListBullet"/>
        <w:spacing w:after="40"/>
      </w:pPr>
      <w:r>
        <w:rPr>
          <w:b/>
          <w:color w:val="202020"/>
        </w:rPr>
        <w:t>Implement:</w:t>
      </w:r>
      <w:r>
        <w:rPr>
          <w:color w:val="202020"/>
        </w:rPr>
        <w:t xml:space="preserve"> replace both with a FIPS-validated hash (accepting the one-off state rebuild), and enforce FIPS mode on the host .NET runtime.</w:t>
      </w:r>
    </w:p>
    <w:p>
      <w:pPr>
        <w:pStyle w:val="ListBullet"/>
        <w:spacing w:after="40"/>
      </w:pPr>
      <w:r>
        <w:rPr>
          <w:b/>
          <w:color w:val="202020"/>
        </w:rPr>
        <w:t>Why it matters:</w:t>
      </w:r>
      <w:r>
        <w:rPr>
          <w:color w:val="202020"/>
        </w:rPr>
        <w:t xml:space="preserve"> the catalogue makes validated cryptography *a precondition for regulated deployment*. Two documented exceptions are enough to fail that assertion, and the fix is small.</w:t>
      </w:r>
    </w:p>
    <w:p>
      <w:pPr>
        <w:pStyle w:val="Heading2"/>
      </w:pPr>
      <w:r>
        <w:rPr>
          <w:color w:val="2E5496"/>
        </w:rPr>
        <w:t>4.3 G8 — Altrata usage metering, redistribution and entitlement freshness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400"/>
        <w:gridCol w:w="5960"/>
      </w:tblGrid>
      <w:tr>
        <w:tc>
          <w:tcPr>
            <w:tcW w:type="dxa" w:w="3400"/>
            <w:shd w:val="clear" w:color="auto" w:fill="2E5496"/>
          </w:tcPr>
          <w:p>
            <w:r>
              <w:rPr>
                <w:b/>
                <w:color w:val="FFFFFF"/>
                <w:sz w:val="19"/>
              </w:rPr>
              <w:t>Catalogue requirement</w:t>
            </w:r>
          </w:p>
        </w:tc>
        <w:tc>
          <w:tcPr>
            <w:tcW w:type="dxa" w:w="5960"/>
            <w:shd w:val="clear" w:color="auto" w:fill="2E5496"/>
          </w:tcPr>
          <w:p>
            <w:r>
              <w:rPr>
                <w:b/>
                <w:color w:val="FFFFFF"/>
                <w:sz w:val="19"/>
              </w:rPr>
              <w:t>Position</w:t>
            </w:r>
          </w:p>
        </w:tc>
      </w:tr>
      <w:tr>
        <w:tc>
          <w:tcPr>
            <w:tcW w:type="dxa" w:w="3400"/>
          </w:tcPr>
          <w:p>
            <w:r>
              <w:rPr>
                <w:color w:val="202020"/>
                <w:sz w:val="19"/>
              </w:rPr>
              <w:t>Strict licensing at seat and entitlement level</w:t>
            </w:r>
          </w:p>
        </w:tc>
        <w:tc>
          <w:tcPr>
            <w:tcW w:type="dxa" w:w="5960"/>
          </w:tcPr>
          <w:p>
            <w:r>
              <w:rPr>
                <w:b/>
                <w:color w:val="202020"/>
                <w:sz w:val="19"/>
              </w:rPr>
              <w:t>Delivered.</w:t>
            </w:r>
            <w:r>
              <w:rPr>
                <w:color w:val="202020"/>
                <w:sz w:val="19"/>
              </w:rPr>
              <w:t xml:space="preserve"> Seat-only ACLs, 'everyone' forbidden, fails closed, seat-hash change triggers re-ACL</w:t>
            </w:r>
          </w:p>
        </w:tc>
      </w:tr>
      <w:tr>
        <w:tc>
          <w:tcPr>
            <w:tcW w:type="dxa" w:w="3400"/>
            <w:shd w:val="clear" w:color="auto" w:fill="F7F9FC"/>
          </w:tcPr>
          <w:p>
            <w:r>
              <w:rPr>
                <w:color w:val="202020"/>
                <w:sz w:val="19"/>
              </w:rPr>
              <w:t>Usage controls with query and volume metering</w:t>
            </w:r>
          </w:p>
        </w:tc>
        <w:tc>
          <w:tcPr>
            <w:tcW w:type="dxa" w:w="5960"/>
            <w:shd w:val="clear" w:color="auto" w:fill="F7F9FC"/>
          </w:tcPr>
          <w:p>
            <w:r>
              <w:rPr>
                <w:b/>
                <w:color w:val="202020"/>
                <w:sz w:val="19"/>
              </w:rPr>
              <w:t>Gap.</w:t>
            </w:r>
            <w:r>
              <w:rPr>
                <w:color w:val="202020"/>
                <w:sz w:val="19"/>
              </w:rPr>
              <w:t xml:space="preserve"> A billable-lookup counter exists; enforceable query/volume limits do not</w:t>
            </w:r>
          </w:p>
        </w:tc>
      </w:tr>
      <w:tr>
        <w:tc>
          <w:tcPr>
            <w:tcW w:type="dxa" w:w="3400"/>
          </w:tcPr>
          <w:p>
            <w:r>
              <w:rPr>
                <w:color w:val="202020"/>
                <w:sz w:val="19"/>
              </w:rPr>
              <w:t>Redistribution restrictions enforced in the index and at retrieval</w:t>
            </w:r>
          </w:p>
        </w:tc>
        <w:tc>
          <w:tcPr>
            <w:tcW w:type="dxa" w:w="5960"/>
          </w:tcPr>
          <w:p>
            <w:r>
              <w:rPr>
                <w:b/>
                <w:color w:val="202020"/>
                <w:sz w:val="19"/>
              </w:rPr>
              <w:t>Partial.</w:t>
            </w:r>
            <w:r>
              <w:rPr>
                <w:color w:val="202020"/>
                <w:sz w:val="19"/>
              </w:rPr>
              <w:t xml:space="preserve"> Index-side is enforced by seat-only ACLs; retrieval-side is not addressable from a connector</w:t>
            </w:r>
          </w:p>
        </w:tc>
      </w:tr>
      <w:tr>
        <w:tc>
          <w:tcPr>
            <w:tcW w:type="dxa" w:w="3400"/>
            <w:shd w:val="clear" w:color="auto" w:fill="F7F9FC"/>
          </w:tcPr>
          <w:p>
            <w:r>
              <w:rPr>
                <w:color w:val="202020"/>
                <w:sz w:val="19"/>
              </w:rPr>
              <w:t>Entitlement checks re-evaluated on every grounding call</w:t>
            </w:r>
          </w:p>
        </w:tc>
        <w:tc>
          <w:tcPr>
            <w:tcW w:type="dxa" w:w="5960"/>
            <w:shd w:val="clear" w:color="auto" w:fill="F7F9FC"/>
          </w:tcPr>
          <w:p>
            <w:r>
              <w:rPr>
                <w:b/>
                <w:color w:val="202020"/>
                <w:sz w:val="19"/>
              </w:rPr>
              <w:t>Not achievable in a connector</w:t>
            </w:r>
            <w:r>
              <w:rPr>
                <w:color w:val="202020"/>
                <w:sz w:val="19"/>
              </w:rPr>
              <w:t xml:space="preserve"> — see below</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b/>
                <w:color w:val="202020"/>
                <w:sz w:val="20"/>
              </w:rPr>
              <w:t>Architectural constraint, not an implementation shortfall.</w:t>
            </w:r>
            <w:r>
              <w:rPr>
                <w:color w:val="202020"/>
                <w:sz w:val="20"/>
              </w:rPr>
              <w:t xml:space="preserve"> Microsoft Graph trims results at query time against the ACL </w:t>
            </w:r>
            <w:r>
              <w:rPr>
                <w:b/>
                <w:color w:val="202020"/>
                <w:sz w:val="20"/>
              </w:rPr>
              <w:t>stored on the indexed item</w:t>
            </w:r>
            <w:r>
              <w:rPr>
                <w:color w:val="202020"/>
                <w:sz w:val="20"/>
              </w:rPr>
              <w:t xml:space="preserve">; there is no callback into Altrata during a grounding call. Per-call entitlement re-evaluation therefore cannot be delivered by any Graph connector. The two honest options are: (a) shorten the re-ACL cadence so a revoked seat is reflected within minutes, or (b) enforce entitlement in the </w:t>
            </w:r>
            <w:r>
              <w:rPr>
                <w:b/>
                <w:color w:val="202020"/>
                <w:sz w:val="20"/>
              </w:rPr>
              <w:t>agent layer</w:t>
            </w:r>
            <w:r>
              <w:rPr>
                <w:color w:val="202020"/>
                <w:sz w:val="20"/>
              </w:rPr>
              <w:t xml:space="preserve"> — Copilot Studio or an MCP middleware — where a live check is possible. This choice belongs to the licensing owner and should be made explicitly and recorded.</w:t>
            </w:r>
          </w:p>
        </w:tc>
      </w:tr>
    </w:tbl>
    <w:p>
      <w:pPr>
        <w:spacing w:after="40"/>
      </w:pPr>
    </w:p>
    <w:p>
      <w:pPr>
        <w:pStyle w:val="ListBullet"/>
        <w:spacing w:after="40"/>
      </w:pPr>
      <w:r>
        <w:rPr>
          <w:b/>
          <w:color w:val="202020"/>
        </w:rPr>
        <w:t>Implement (connector side):</w:t>
      </w:r>
      <w:r>
        <w:rPr>
          <w:color w:val="202020"/>
        </w:rPr>
        <w:t xml:space="preserve"> query and volume metering with configurable ceilings and a fail-closed stop, reusing the existing billable-lookup counter and purpose-of-use veto.</w:t>
      </w:r>
    </w:p>
    <w:p>
      <w:pPr>
        <w:pStyle w:val="ListBullet"/>
        <w:spacing w:after="40"/>
      </w:pPr>
      <w:r>
        <w:rPr>
          <w:b/>
          <w:color w:val="202020"/>
        </w:rPr>
        <w:t>Implement (agent side, if option b):</w:t>
      </w:r>
      <w:r>
        <w:rPr>
          <w:color w:val="202020"/>
        </w:rPr>
        <w:t xml:space="preserve"> an entitlement check in the agent middleware before an Altrata-grounded answer is returned.</w:t>
      </w:r>
    </w:p>
    <w:p>
      <w:pPr>
        <w:pStyle w:val="Heading2"/>
      </w:pPr>
      <w:r>
        <w:rPr>
          <w:color w:val="2E5496"/>
        </w:rPr>
        <w:t>4.4 G9 — Multi-region availability, RPO/RTO and backup assurance</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000"/>
        <w:gridCol w:w="3400"/>
        <w:gridCol w:w="2960"/>
      </w:tblGrid>
      <w:tr>
        <w:tc>
          <w:tcPr>
            <w:tcW w:type="dxa" w:w="3000"/>
            <w:shd w:val="clear" w:color="auto" w:fill="2E5496"/>
          </w:tcPr>
          <w:p>
            <w:r>
              <w:rPr>
                <w:b/>
                <w:color w:val="FFFFFF"/>
                <w:sz w:val="19"/>
              </w:rPr>
              <w:t>Catalogue target</w:t>
            </w:r>
          </w:p>
        </w:tc>
        <w:tc>
          <w:tcPr>
            <w:tcW w:type="dxa" w:w="3400"/>
            <w:shd w:val="clear" w:color="auto" w:fill="2E5496"/>
          </w:tcPr>
          <w:p>
            <w:r>
              <w:rPr>
                <w:b/>
                <w:color w:val="FFFFFF"/>
                <w:sz w:val="19"/>
              </w:rPr>
              <w:t>Delivered</w:t>
            </w:r>
          </w:p>
        </w:tc>
        <w:tc>
          <w:tcPr>
            <w:tcW w:type="dxa" w:w="2960"/>
            <w:shd w:val="clear" w:color="auto" w:fill="2E5496"/>
          </w:tcPr>
          <w:p>
            <w:r>
              <w:rPr>
                <w:b/>
                <w:color w:val="FFFFFF"/>
                <w:sz w:val="19"/>
              </w:rPr>
              <w:t>Gap</w:t>
            </w:r>
          </w:p>
        </w:tc>
      </w:tr>
      <w:tr>
        <w:tc>
          <w:tcPr>
            <w:tcW w:type="dxa" w:w="3000"/>
          </w:tcPr>
          <w:p>
            <w:r>
              <w:rPr>
                <w:color w:val="202020"/>
                <w:sz w:val="19"/>
              </w:rPr>
              <w:t>99.99% uptime, active-active multi-region</w:t>
            </w:r>
          </w:p>
        </w:tc>
        <w:tc>
          <w:tcPr>
            <w:tcW w:type="dxa" w:w="3400"/>
          </w:tcPr>
          <w:p>
            <w:r>
              <w:rPr>
                <w:color w:val="202020"/>
                <w:sz w:val="19"/>
              </w:rPr>
              <w:t xml:space="preserve">Active-active </w:t>
            </w:r>
            <w:r>
              <w:rPr>
                <w:b/>
                <w:color w:val="202020"/>
                <w:sz w:val="19"/>
              </w:rPr>
              <w:t>within one region</w:t>
            </w:r>
            <w:r>
              <w:rPr>
                <w:color w:val="202020"/>
                <w:sz w:val="19"/>
              </w:rPr>
              <w:t xml:space="preserve"> (SQL leases, stateless services, idempotent replay)</w:t>
            </w:r>
          </w:p>
        </w:tc>
        <w:tc>
          <w:tcPr>
            <w:tcW w:type="dxa" w:w="2960"/>
          </w:tcPr>
          <w:p>
            <w:r>
              <w:rPr>
                <w:color w:val="202020"/>
                <w:sz w:val="19"/>
              </w:rPr>
              <w:t>Second region, automated regional failover</w:t>
            </w:r>
          </w:p>
        </w:tc>
      </w:tr>
      <w:tr>
        <w:tc>
          <w:tcPr>
            <w:tcW w:type="dxa" w:w="3000"/>
            <w:shd w:val="clear" w:color="auto" w:fill="F7F9FC"/>
          </w:tcPr>
          <w:p>
            <w:r>
              <w:rPr>
                <w:color w:val="202020"/>
                <w:sz w:val="19"/>
              </w:rPr>
              <w:t>RPO &lt; 5 min / RTO &lt; 30 min</w:t>
            </w:r>
          </w:p>
        </w:tc>
        <w:tc>
          <w:tcPr>
            <w:tcW w:type="dxa" w:w="3400"/>
            <w:shd w:val="clear" w:color="auto" w:fill="F7F9FC"/>
          </w:tcPr>
          <w:p>
            <w:r>
              <w:rPr>
                <w:color w:val="202020"/>
                <w:sz w:val="19"/>
              </w:rPr>
              <w:t>DR plan documents objectives</w:t>
            </w:r>
          </w:p>
        </w:tc>
        <w:tc>
          <w:tcPr>
            <w:tcW w:type="dxa" w:w="2960"/>
            <w:shd w:val="clear" w:color="auto" w:fill="F7F9FC"/>
          </w:tcPr>
          <w:p>
            <w:r>
              <w:rPr>
                <w:color w:val="202020"/>
                <w:sz w:val="19"/>
              </w:rPr>
              <w:t>Not demonstrated by test</w:t>
            </w:r>
          </w:p>
        </w:tc>
      </w:tr>
      <w:tr>
        <w:tc>
          <w:tcPr>
            <w:tcW w:type="dxa" w:w="3000"/>
          </w:tcPr>
          <w:p>
            <w:r>
              <w:rPr>
                <w:color w:val="202020"/>
                <w:sz w:val="19"/>
              </w:rPr>
              <w:t>Immutable backups</w:t>
            </w:r>
          </w:p>
        </w:tc>
        <w:tc>
          <w:tcPr>
            <w:tcW w:type="dxa" w:w="3400"/>
          </w:tcPr>
          <w:p>
            <w:r>
              <w:rPr>
                <w:color w:val="202020"/>
                <w:sz w:val="19"/>
              </w:rPr>
              <w:t>Not implemented</w:t>
            </w:r>
          </w:p>
        </w:tc>
        <w:tc>
          <w:tcPr>
            <w:tcW w:type="dxa" w:w="2960"/>
          </w:tcPr>
          <w:p>
            <w:r>
              <w:rPr>
                <w:color w:val="202020"/>
                <w:sz w:val="19"/>
              </w:rPr>
              <w:t>Write-once backup copies</w:t>
            </w:r>
          </w:p>
        </w:tc>
      </w:tr>
      <w:tr>
        <w:tc>
          <w:tcPr>
            <w:tcW w:type="dxa" w:w="3000"/>
            <w:shd w:val="clear" w:color="auto" w:fill="F7F9FC"/>
          </w:tcPr>
          <w:p>
            <w:r>
              <w:rPr>
                <w:color w:val="202020"/>
                <w:sz w:val="19"/>
              </w:rPr>
              <w:t>Restore testing</w:t>
            </w:r>
          </w:p>
        </w:tc>
        <w:tc>
          <w:tcPr>
            <w:tcW w:type="dxa" w:w="3400"/>
            <w:shd w:val="clear" w:color="auto" w:fill="F7F9FC"/>
          </w:tcPr>
          <w:p>
            <w:r>
              <w:rPr>
                <w:color w:val="202020"/>
                <w:sz w:val="19"/>
              </w:rPr>
              <w:t>Not implemented</w:t>
            </w:r>
          </w:p>
        </w:tc>
        <w:tc>
          <w:tcPr>
            <w:tcW w:type="dxa" w:w="2960"/>
            <w:shd w:val="clear" w:color="auto" w:fill="F7F9FC"/>
          </w:tcPr>
          <w:p>
            <w:r>
              <w:rPr>
                <w:color w:val="202020"/>
                <w:sz w:val="19"/>
              </w:rPr>
              <w:t>Scheduled restore drills</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E7F1E7"/>
            <w:tcBorders>
              <w:top w:val="single" w:sz="4" w:space="0" w:color="2E7D32"/>
              <w:left w:val="single" w:sz="24" w:space="0" w:color="2E7D32"/>
              <w:bottom w:val="single" w:sz="4" w:space="0" w:color="2E7D32"/>
              <w:right w:val="single" w:sz="4" w:space="0" w:color="2E7D32"/>
            </w:tcBorders>
          </w:tcPr>
          <w:p>
            <w:r>
              <w:rPr>
                <w:b/>
                <w:color w:val="2E7D32"/>
              </w:rPr>
              <w:t xml:space="preserve">Tip: </w:t>
            </w:r>
            <w:r>
              <w:rPr>
                <w:b/>
                <w:color w:val="202020"/>
                <w:sz w:val="20"/>
              </w:rPr>
              <w:t>The expensive part is already done.</w:t>
            </w:r>
            <w:r>
              <w:rPr>
                <w:color w:val="202020"/>
                <w:sz w:val="20"/>
              </w:rPr>
              <w:t xml:space="preserve"> Stateless services, externalised state, active-active leases and idempotent replay — the properties that make multi-region *possible* — are delivered and tested. What remains is infrastructure and drill discipline, not connector re-engineering.</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b/>
                <w:color w:val="202020"/>
                <w:sz w:val="20"/>
              </w:rPr>
              <w:t>Justification for a deliberate deferral.</w:t>
            </w:r>
            <w:r>
              <w:rPr>
                <w:color w:val="202020"/>
                <w:sz w:val="20"/>
              </w:rPr>
              <w:t xml:space="preserve"> The catalogue's own next step is to cost 99.99% active-active against a single-region alternative. Almost all connector state is </w:t>
            </w:r>
            <w:r>
              <w:rPr>
                <w:b/>
                <w:color w:val="202020"/>
                <w:sz w:val="20"/>
              </w:rPr>
              <w:t>re-crawlable</w:t>
            </w:r>
            <w:r>
              <w:rPr>
                <w:color w:val="202020"/>
                <w:sz w:val="20"/>
              </w:rPr>
              <w:t>, so a lost region costs a rebuild, not data. The genuine RPO-0 assets are narrow: Altrata's suppression list and erasure ledger, which are not reconstructible from the source. A defensible position is to protect those two specifically with immutable backups and cross-region replication, and accept single-region with fast rebuild for everything else — provided that decision is taken explicitly at the Architecture Review Board rather than by omission.</w:t>
            </w:r>
          </w:p>
        </w:tc>
      </w:tr>
    </w:tbl>
    <w:p>
      <w:pPr>
        <w:spacing w:after="40"/>
      </w:pPr>
    </w:p>
    <w:p>
      <w:r>
        <w:br w:type="page"/>
      </w:r>
    </w:p>
    <w:p>
      <w:pPr>
        <w:pStyle w:val="Heading1"/>
      </w:pPr>
      <w:r>
        <w:rPr>
          <w:color w:val="1F3864"/>
        </w:rPr>
        <w:t>5. P2 — platform-engineering maturity</w:t>
      </w:r>
    </w:p>
    <w:p>
      <w:pPr>
        <w:spacing w:after="200"/>
      </w:pPr>
      <w:r>
        <w:rPr>
          <w:color w:val="595959"/>
          <w:sz w:val="23"/>
        </w:rPr>
        <w:t>Valuable, but none of these gate the first go-lives. Each is scheduled after the pilot proves the pipeline end to end.</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400"/>
        <w:gridCol w:w="1500"/>
        <w:gridCol w:w="5460"/>
      </w:tblGrid>
      <w:tr>
        <w:tc>
          <w:tcPr>
            <w:tcW w:type="dxa" w:w="2400"/>
            <w:shd w:val="clear" w:color="auto" w:fill="2E5496"/>
          </w:tcPr>
          <w:p>
            <w:r>
              <w:rPr>
                <w:b/>
                <w:color w:val="FFFFFF"/>
                <w:sz w:val="19"/>
              </w:rPr>
              <w:t>ID / Gap</w:t>
            </w:r>
          </w:p>
        </w:tc>
        <w:tc>
          <w:tcPr>
            <w:tcW w:type="dxa" w:w="1500"/>
            <w:shd w:val="clear" w:color="auto" w:fill="2E5496"/>
          </w:tcPr>
          <w:p>
            <w:r>
              <w:rPr>
                <w:b/>
                <w:color w:val="FFFFFF"/>
                <w:sz w:val="19"/>
              </w:rPr>
              <w:t>Applies to</w:t>
            </w:r>
          </w:p>
        </w:tc>
        <w:tc>
          <w:tcPr>
            <w:tcW w:type="dxa" w:w="5460"/>
            <w:shd w:val="clear" w:color="auto" w:fill="2E5496"/>
          </w:tcPr>
          <w:p>
            <w:r>
              <w:rPr>
                <w:b/>
                <w:color w:val="FFFFFF"/>
                <w:sz w:val="19"/>
              </w:rPr>
              <w:t>Current state and judgement</w:t>
            </w:r>
          </w:p>
        </w:tc>
      </w:tr>
      <w:tr>
        <w:tc>
          <w:tcPr>
            <w:tcW w:type="dxa" w:w="2400"/>
          </w:tcPr>
          <w:p>
            <w:r>
              <w:rPr>
                <w:b/>
                <w:color w:val="202020"/>
                <w:sz w:val="19"/>
              </w:rPr>
              <w:t>G10</w:t>
            </w:r>
            <w:r>
              <w:rPr>
                <w:color w:val="202020"/>
                <w:sz w:val="19"/>
              </w:rPr>
              <w:t xml:space="preserve"> Infrastructure as code</w:t>
            </w:r>
          </w:p>
        </w:tc>
        <w:tc>
          <w:tcPr>
            <w:tcW w:type="dxa" w:w="1500"/>
          </w:tcPr>
          <w:p>
            <w:r>
              <w:rPr>
                <w:color w:val="202020"/>
                <w:sz w:val="19"/>
              </w:rPr>
              <w:t>Platform</w:t>
            </w:r>
          </w:p>
        </w:tc>
        <w:tc>
          <w:tcPr>
            <w:tcW w:type="dxa" w:w="5460"/>
          </w:tcPr>
          <w:p>
            <w:r>
              <w:rPr>
                <w:color w:val="202020"/>
                <w:sz w:val="19"/>
              </w:rPr>
              <w:t>None. Delivery is MSI packaging plus install scripts and CI. The catalogue requires every environment reproducible from source control — implement in Terraform or Bicep alongside the existing CI/CD.</w:t>
            </w:r>
          </w:p>
        </w:tc>
      </w:tr>
      <w:tr>
        <w:tc>
          <w:tcPr>
            <w:tcW w:type="dxa" w:w="2400"/>
            <w:shd w:val="clear" w:color="auto" w:fill="F7F9FC"/>
          </w:tcPr>
          <w:p>
            <w:r>
              <w:rPr>
                <w:b/>
                <w:color w:val="202020"/>
                <w:sz w:val="19"/>
              </w:rPr>
              <w:t>G11</w:t>
            </w:r>
            <w:r>
              <w:rPr>
                <w:color w:val="202020"/>
                <w:sz w:val="19"/>
              </w:rPr>
              <w:t xml:space="preserve"> Chaos testing</w:t>
            </w:r>
          </w:p>
        </w:tc>
        <w:tc>
          <w:tcPr>
            <w:tcW w:type="dxa" w:w="1500"/>
            <w:shd w:val="clear" w:color="auto" w:fill="F7F9FC"/>
          </w:tcPr>
          <w:p>
            <w:r>
              <w:rPr>
                <w:color w:val="202020"/>
                <w:sz w:val="19"/>
              </w:rPr>
              <w:t>Platform</w:t>
            </w:r>
          </w:p>
        </w:tc>
        <w:tc>
          <w:tcPr>
            <w:tcW w:type="dxa" w:w="5460"/>
            <w:shd w:val="clear" w:color="auto" w:fill="F7F9FC"/>
          </w:tcPr>
          <w:p>
            <w:r>
              <w:rPr>
                <w:color w:val="202020"/>
                <w:sz w:val="19"/>
              </w:rPr>
              <w:t xml:space="preserve">Adversarial stress and fault-injection </w:t>
            </w:r>
            <w:r>
              <w:rPr>
                <w:b/>
                <w:color w:val="202020"/>
                <w:sz w:val="19"/>
              </w:rPr>
              <w:t>tests</w:t>
            </w:r>
            <w:r>
              <w:rPr>
                <w:color w:val="202020"/>
                <w:sz w:val="19"/>
              </w:rPr>
              <w:t xml:space="preserve"> exist and are extensive; deliberate failure injection against a </w:t>
            </w:r>
            <w:r>
              <w:rPr>
                <w:b/>
                <w:color w:val="202020"/>
                <w:sz w:val="19"/>
              </w:rPr>
              <w:t>running deployment</w:t>
            </w:r>
            <w:r>
              <w:rPr>
                <w:color w:val="202020"/>
                <w:sz w:val="19"/>
              </w:rPr>
              <w:t xml:space="preserve"> does not. Needed to validate the resilience claims before an incident does.</w:t>
            </w:r>
          </w:p>
        </w:tc>
      </w:tr>
      <w:tr>
        <w:tc>
          <w:tcPr>
            <w:tcW w:type="dxa" w:w="2400"/>
          </w:tcPr>
          <w:p>
            <w:r>
              <w:rPr>
                <w:b/>
                <w:color w:val="202020"/>
                <w:sz w:val="19"/>
              </w:rPr>
              <w:t>G12</w:t>
            </w:r>
            <w:r>
              <w:rPr>
                <w:color w:val="202020"/>
                <w:sz w:val="19"/>
              </w:rPr>
              <w:t xml:space="preserve"> Auto-scaling, load balancing, self-healing</w:t>
            </w:r>
          </w:p>
        </w:tc>
        <w:tc>
          <w:tcPr>
            <w:tcW w:type="dxa" w:w="1500"/>
          </w:tcPr>
          <w:p>
            <w:r>
              <w:rPr>
                <w:color w:val="202020"/>
                <w:sz w:val="19"/>
              </w:rPr>
              <w:t>Platform</w:t>
            </w:r>
          </w:p>
        </w:tc>
        <w:tc>
          <w:tcPr>
            <w:tcW w:type="dxa" w:w="5460"/>
          </w:tcPr>
          <w:p>
            <w:r>
              <w:rPr>
                <w:color w:val="202020"/>
                <w:sz w:val="19"/>
              </w:rPr>
              <w:t xml:space="preserve">Adaptive concurrency and HA leases only. </w:t>
            </w:r>
            <w:r>
              <w:rPr>
                <w:b/>
                <w:color w:val="202020"/>
                <w:sz w:val="19"/>
              </w:rPr>
              <w:t>Justification:</w:t>
            </w:r>
            <w:r>
              <w:rPr>
                <w:color w:val="202020"/>
                <w:sz w:val="19"/>
              </w:rPr>
              <w:t xml:space="preserve"> the Windows-service deployment model cannot autoscale — this is a deployment-model decision (containers, Kubernetes or VM scale sets), not a code defect. Raise it as an architecture choice, not a bug.</w:t>
            </w:r>
          </w:p>
        </w:tc>
      </w:tr>
      <w:tr>
        <w:tc>
          <w:tcPr>
            <w:tcW w:type="dxa" w:w="2400"/>
            <w:shd w:val="clear" w:color="auto" w:fill="F7F9FC"/>
          </w:tcPr>
          <w:p>
            <w:r>
              <w:rPr>
                <w:b/>
                <w:color w:val="202020"/>
                <w:sz w:val="19"/>
              </w:rPr>
              <w:t>G13</w:t>
            </w:r>
            <w:r>
              <w:rPr>
                <w:color w:val="202020"/>
                <w:sz w:val="19"/>
              </w:rPr>
              <w:t xml:space="preserve"> Hive metastore and Impala</w:t>
            </w:r>
          </w:p>
        </w:tc>
        <w:tc>
          <w:tcPr>
            <w:tcW w:type="dxa" w:w="1500"/>
            <w:shd w:val="clear" w:color="auto" w:fill="F7F9FC"/>
          </w:tcPr>
          <w:p>
            <w:r>
              <w:rPr>
                <w:color w:val="202020"/>
                <w:sz w:val="19"/>
              </w:rPr>
              <w:t>Hadoop</w:t>
            </w:r>
          </w:p>
        </w:tc>
        <w:tc>
          <w:tcPr>
            <w:tcW w:type="dxa" w:w="5460"/>
            <w:shd w:val="clear" w:color="auto" w:fill="F7F9FC"/>
          </w:tcPr>
          <w:p>
            <w:r>
              <w:rPr>
                <w:color w:val="202020"/>
                <w:sz w:val="19"/>
              </w:rPr>
              <w:t xml:space="preserve">Path-based traversal with partition pruning is delivered. Metastore integration adds table, partition and </w:t>
            </w:r>
            <w:r>
              <w:rPr>
                <w:b/>
                <w:color w:val="202020"/>
                <w:sz w:val="19"/>
              </w:rPr>
              <w:t>column</w:t>
            </w:r>
            <w:r>
              <w:rPr>
                <w:color w:val="202020"/>
                <w:sz w:val="19"/>
              </w:rPr>
              <w:t xml:space="preserve"> metadata — a prerequisite for Ranger column policies (G3). Impala is only justified if interactive extraction is genuinely required.</w:t>
            </w:r>
          </w:p>
        </w:tc>
      </w:tr>
      <w:tr>
        <w:tc>
          <w:tcPr>
            <w:tcW w:type="dxa" w:w="2400"/>
          </w:tcPr>
          <w:p>
            <w:r>
              <w:rPr>
                <w:b/>
                <w:color w:val="202020"/>
                <w:sz w:val="19"/>
              </w:rPr>
              <w:t>G14</w:t>
            </w:r>
            <w:r>
              <w:rPr>
                <w:color w:val="202020"/>
                <w:sz w:val="19"/>
              </w:rPr>
              <w:t xml:space="preserve"> Data lineage (Apache Atlas)</w:t>
            </w:r>
          </w:p>
        </w:tc>
        <w:tc>
          <w:tcPr>
            <w:tcW w:type="dxa" w:w="1500"/>
          </w:tcPr>
          <w:p>
            <w:r>
              <w:rPr>
                <w:color w:val="202020"/>
                <w:sz w:val="19"/>
              </w:rPr>
              <w:t>Hadoop, all</w:t>
            </w:r>
          </w:p>
        </w:tc>
        <w:tc>
          <w:tcPr>
            <w:tcW w:type="dxa" w:w="5460"/>
          </w:tcPr>
          <w:p>
            <w:r>
              <w:rPr>
                <w:color w:val="202020"/>
                <w:sz w:val="19"/>
              </w:rPr>
              <w:t>Correlation identifiers and source record ids are carried end to end; formal lineage tags and Atlas propagation are absent. Required for the catalogue's "Copilot answer traceable back to source record".</w:t>
            </w:r>
          </w:p>
        </w:tc>
      </w:tr>
      <w:tr>
        <w:tc>
          <w:tcPr>
            <w:tcW w:type="dxa" w:w="2400"/>
            <w:shd w:val="clear" w:color="auto" w:fill="F7F9FC"/>
          </w:tcPr>
          <w:p>
            <w:r>
              <w:rPr>
                <w:b/>
                <w:color w:val="202020"/>
                <w:sz w:val="19"/>
              </w:rPr>
              <w:t>G15</w:t>
            </w:r>
            <w:r>
              <w:rPr>
                <w:color w:val="202020"/>
                <w:sz w:val="19"/>
              </w:rPr>
              <w:t xml:space="preserve"> Salesforce Bulk API and Change Data Capture</w:t>
            </w:r>
          </w:p>
        </w:tc>
        <w:tc>
          <w:tcPr>
            <w:tcW w:type="dxa" w:w="1500"/>
            <w:shd w:val="clear" w:color="auto" w:fill="F7F9FC"/>
          </w:tcPr>
          <w:p>
            <w:r>
              <w:rPr>
                <w:color w:val="202020"/>
                <w:sz w:val="19"/>
              </w:rPr>
              <w:t>Salesforce</w:t>
            </w:r>
          </w:p>
        </w:tc>
        <w:tc>
          <w:tcPr>
            <w:tcW w:type="dxa" w:w="5460"/>
            <w:shd w:val="clear" w:color="auto" w:fill="F7F9FC"/>
          </w:tcPr>
          <w:p>
            <w:r>
              <w:rPr>
                <w:color w:val="202020"/>
                <w:sz w:val="19"/>
              </w:rPr>
              <w:t xml:space="preserve">Extraction is REST/SOQL only. </w:t>
            </w:r>
            <w:r>
              <w:rPr>
                <w:b/>
                <w:color w:val="202020"/>
                <w:sz w:val="19"/>
              </w:rPr>
              <w:t>Justified as not needed today:</w:t>
            </w:r>
            <w:r>
              <w:rPr>
                <w:color w:val="202020"/>
                <w:sz w:val="19"/>
              </w:rPr>
              <w:t xml:space="preserve"> the Salesforce connector is deferred from deployment and Hadoop BDH carries the same data at ~24h lag. Re-scope only if the Phase-4 checkpoint reinstates live Salesforce — at which point Bulk API (initial loads) and CDC (near-real-time) both become necessary.</w:t>
            </w:r>
          </w:p>
        </w:tc>
      </w:tr>
      <w:tr>
        <w:tc>
          <w:tcPr>
            <w:tcW w:type="dxa" w:w="2400"/>
          </w:tcPr>
          <w:p>
            <w:r>
              <w:rPr>
                <w:b/>
                <w:color w:val="202020"/>
                <w:sz w:val="19"/>
              </w:rPr>
              <w:t>G16</w:t>
            </w:r>
            <w:r>
              <w:rPr>
                <w:color w:val="202020"/>
                <w:sz w:val="19"/>
              </w:rPr>
              <w:t xml:space="preserve"> Clarizen dependency and relationship graph</w:t>
            </w:r>
          </w:p>
        </w:tc>
        <w:tc>
          <w:tcPr>
            <w:tcW w:type="dxa" w:w="1500"/>
          </w:tcPr>
          <w:p>
            <w:r>
              <w:rPr>
                <w:color w:val="202020"/>
                <w:sz w:val="19"/>
              </w:rPr>
              <w:t>Clarizen</w:t>
            </w:r>
          </w:p>
        </w:tc>
        <w:tc>
          <w:tcPr>
            <w:tcW w:type="dxa" w:w="5460"/>
          </w:tcPr>
          <w:p>
            <w:r>
              <w:rPr>
                <w:color w:val="202020"/>
                <w:sz w:val="19"/>
              </w:rPr>
              <w:t xml:space="preserve">Comments and Discussions </w:t>
            </w:r>
            <w:r>
              <w:rPr>
                <w:b/>
                <w:color w:val="202020"/>
                <w:sz w:val="19"/>
              </w:rPr>
              <w:t>are</w:t>
            </w:r>
            <w:r>
              <w:rPr>
                <w:color w:val="202020"/>
                <w:sz w:val="19"/>
              </w:rPr>
              <w:t xml:space="preserve"> ingested; project dependencies are not. Low grounding value relative to effort — schedule last or drop with the sponsor's agreement.</w:t>
            </w:r>
          </w:p>
        </w:tc>
      </w:tr>
    </w:tbl>
    <w:p>
      <w:pPr>
        <w:spacing w:after="40"/>
      </w:pPr>
    </w:p>
    <w:p>
      <w:r>
        <w:br w:type="page"/>
      </w:r>
    </w:p>
    <w:p>
      <w:pPr>
        <w:pStyle w:val="Heading1"/>
      </w:pPr>
      <w:r>
        <w:rPr>
          <w:color w:val="1F3864"/>
        </w:rPr>
        <w:t>6. Catalogued but deliberately not built</w:t>
      </w:r>
    </w:p>
    <w:p>
      <w:pPr>
        <w:spacing w:after="200"/>
      </w:pPr>
      <w:r>
        <w:rPr>
          <w:color w:val="595959"/>
          <w:sz w:val="23"/>
        </w:rPr>
        <w:t>These appear in the Feature Catalog but are not connector work. Each needs a named owner elsewhere in the bank — recording them here prevents them being assumed delivered.</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000"/>
        <w:gridCol w:w="6360"/>
      </w:tblGrid>
      <w:tr>
        <w:tc>
          <w:tcPr>
            <w:tcW w:type="dxa" w:w="3000"/>
            <w:shd w:val="clear" w:color="auto" w:fill="2E5496"/>
          </w:tcPr>
          <w:p>
            <w:r>
              <w:rPr>
                <w:b/>
                <w:color w:val="FFFFFF"/>
                <w:sz w:val="19"/>
              </w:rPr>
              <w:t>Catalogue item</w:t>
            </w:r>
          </w:p>
        </w:tc>
        <w:tc>
          <w:tcPr>
            <w:tcW w:type="dxa" w:w="6360"/>
            <w:shd w:val="clear" w:color="auto" w:fill="2E5496"/>
          </w:tcPr>
          <w:p>
            <w:r>
              <w:rPr>
                <w:b/>
                <w:color w:val="FFFFFF"/>
                <w:sz w:val="19"/>
              </w:rPr>
              <w:t>Justification and owner</w:t>
            </w:r>
          </w:p>
        </w:tc>
      </w:tr>
      <w:tr>
        <w:tc>
          <w:tcPr>
            <w:tcW w:type="dxa" w:w="3000"/>
          </w:tcPr>
          <w:p>
            <w:r>
              <w:rPr>
                <w:color w:val="202020"/>
                <w:sz w:val="19"/>
              </w:rPr>
              <w:t>OIDC and SAML interactive sign-in; Privileged Identity Management; CyberArk; no standing administrative credentials; access recertification</w:t>
            </w:r>
          </w:p>
        </w:tc>
        <w:tc>
          <w:tcPr>
            <w:tcW w:type="dxa" w:w="6360"/>
          </w:tcPr>
          <w:p>
            <w:r>
              <w:rPr>
                <w:b/>
                <w:color w:val="202020"/>
                <w:sz w:val="19"/>
              </w:rPr>
              <w:t>Tenant and identity-governance controls owned by the bank's identity team</w:t>
            </w:r>
            <w:r>
              <w:rPr>
                <w:color w:val="202020"/>
                <w:sz w:val="19"/>
              </w:rPr>
              <w:t>, not connector code. The connectors correctly use app-only OAuth 2.0 with certificate credentials and Azure Key Vault, and hold no interactive user session. Assign to Identity/IGA (for example Entra ID Governance or SailPoint) with an entry in the programme RACI.</w:t>
            </w:r>
          </w:p>
        </w:tc>
      </w:tr>
      <w:tr>
        <w:tc>
          <w:tcPr>
            <w:tcW w:type="dxa" w:w="3000"/>
            <w:shd w:val="clear" w:color="auto" w:fill="F7F9FC"/>
          </w:tcPr>
          <w:p>
            <w:r>
              <w:rPr>
                <w:color w:val="202020"/>
                <w:sz w:val="19"/>
              </w:rPr>
              <w:t>Mutual TLS between platform services</w:t>
            </w:r>
          </w:p>
        </w:tc>
        <w:tc>
          <w:tcPr>
            <w:tcW w:type="dxa" w:w="6360"/>
            <w:shd w:val="clear" w:color="auto" w:fill="F7F9FC"/>
          </w:tcPr>
          <w:p>
            <w:r>
              <w:rPr>
                <w:b/>
                <w:color w:val="202020"/>
                <w:sz w:val="19"/>
              </w:rPr>
              <w:t>Not applicable to this architecture.</w:t>
            </w:r>
            <w:r>
              <w:rPr>
                <w:color w:val="202020"/>
                <w:sz w:val="19"/>
              </w:rPr>
              <w:t xml:space="preserve"> Each connector is a standalone service that makes outbound TLS calls to its source and to Microsoft Graph; there is no inter-service mesh to mutually authenticate. Corporate proxy and TLS-inspection trust are already supported.</w:t>
            </w:r>
          </w:p>
        </w:tc>
      </w:tr>
      <w:tr>
        <w:tc>
          <w:tcPr>
            <w:tcW w:type="dxa" w:w="3000"/>
          </w:tcPr>
          <w:p>
            <w:r>
              <w:rPr>
                <w:color w:val="202020"/>
                <w:sz w:val="19"/>
              </w:rPr>
              <w:t>Tokenisation of identifiers</w:t>
            </w:r>
          </w:p>
        </w:tc>
        <w:tc>
          <w:tcPr>
            <w:tcW w:type="dxa" w:w="6360"/>
          </w:tcPr>
          <w:p>
            <w:r>
              <w:rPr>
                <w:b/>
                <w:color w:val="202020"/>
                <w:sz w:val="19"/>
              </w:rPr>
              <w:t>Deliberate alternative.</w:t>
            </w:r>
            <w:r>
              <w:rPr>
                <w:color w:val="202020"/>
                <w:sz w:val="19"/>
              </w:rPr>
              <w:t xml:space="preserve"> The platform redacts and SHA-256 hashes rather than tokenising. A reversible token vault is only justified where re-identification is a requirement; where it is not, one-way hashing is the stronger privacy posture and avoids operating a vault as a new high-value target. Revisit only if a re-identification use case is agreed.</w:t>
            </w:r>
          </w:p>
        </w:tc>
      </w:tr>
    </w:tbl>
    <w:p>
      <w:pPr>
        <w:spacing w:after="40"/>
      </w:pPr>
    </w:p>
    <w:p>
      <w:pPr>
        <w:pStyle w:val="Heading1"/>
      </w:pPr>
      <w:r>
        <w:rPr>
          <w:color w:val="1F3864"/>
        </w:rPr>
        <w:t>7. Already delivered — no action</w:t>
      </w:r>
    </w:p>
    <w:p>
      <w:pPr>
        <w:spacing w:after="120"/>
      </w:pPr>
      <w:r>
        <w:rPr>
          <w:color w:val="202020"/>
        </w:rPr>
        <w:t>Verified present in code and covered by the test suite. Listed so the assessment is not misread as a wholesale deficiency.</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200"/>
        <w:gridCol w:w="6160"/>
      </w:tblGrid>
      <w:tr>
        <w:tc>
          <w:tcPr>
            <w:tcW w:type="dxa" w:w="3200"/>
            <w:shd w:val="clear" w:color="auto" w:fill="2E5496"/>
          </w:tcPr>
          <w:p>
            <w:r>
              <w:rPr>
                <w:b/>
                <w:color w:val="FFFFFF"/>
                <w:sz w:val="19"/>
              </w:rPr>
              <w:t>Capability</w:t>
            </w:r>
          </w:p>
        </w:tc>
        <w:tc>
          <w:tcPr>
            <w:tcW w:type="dxa" w:w="6160"/>
            <w:shd w:val="clear" w:color="auto" w:fill="2E5496"/>
          </w:tcPr>
          <w:p>
            <w:r>
              <w:rPr>
                <w:b/>
                <w:color w:val="FFFFFF"/>
                <w:sz w:val="19"/>
              </w:rPr>
              <w:t>Evidence</w:t>
            </w:r>
          </w:p>
        </w:tc>
      </w:tr>
      <w:tr>
        <w:tc>
          <w:tcPr>
            <w:tcW w:type="dxa" w:w="3200"/>
          </w:tcPr>
          <w:p>
            <w:r>
              <w:rPr>
                <w:color w:val="202020"/>
                <w:sz w:val="19"/>
              </w:rPr>
              <w:t>ACL trimming from source entitlements</w:t>
            </w:r>
          </w:p>
        </w:tc>
        <w:tc>
          <w:tcPr>
            <w:tcW w:type="dxa" w:w="6160"/>
          </w:tcPr>
          <w:p>
            <w:r>
              <w:rPr>
                <w:color w:val="202020"/>
                <w:sz w:val="19"/>
              </w:rPr>
              <w:t>Per-item ACLs on every connector; never widened on an unresolved identity; proven by two-user tests</w:t>
            </w:r>
          </w:p>
        </w:tc>
      </w:tr>
      <w:tr>
        <w:tc>
          <w:tcPr>
            <w:tcW w:type="dxa" w:w="3200"/>
            <w:shd w:val="clear" w:color="auto" w:fill="F7F9FC"/>
          </w:tcPr>
          <w:p>
            <w:r>
              <w:rPr>
                <w:color w:val="202020"/>
                <w:sz w:val="19"/>
              </w:rPr>
              <w:t>Graph semantic labels</w:t>
            </w:r>
          </w:p>
        </w:tc>
        <w:tc>
          <w:tcPr>
            <w:tcW w:type="dxa" w:w="6160"/>
            <w:shd w:val="clear" w:color="auto" w:fill="F7F9FC"/>
          </w:tcPr>
          <w:p>
            <w:r>
              <w:rPr>
                <w:color w:val="202020"/>
                <w:sz w:val="19"/>
              </w:rPr>
              <w:t>Populated: Salesforce 15 properties, Clarizen 6, Seismic 3, Altrata 2, Hadoop 3</w:t>
            </w:r>
          </w:p>
        </w:tc>
      </w:tr>
      <w:tr>
        <w:tc>
          <w:tcPr>
            <w:tcW w:type="dxa" w:w="3200"/>
          </w:tcPr>
          <w:p>
            <w:r>
              <w:rPr>
                <w:color w:val="202020"/>
                <w:sz w:val="19"/>
              </w:rPr>
              <w:t>Normalised item push to a canonical schema</w:t>
            </w:r>
          </w:p>
        </w:tc>
        <w:tc>
          <w:tcPr>
            <w:tcW w:type="dxa" w:w="6160"/>
          </w:tcPr>
          <w:p>
            <w:r>
              <w:rPr>
                <w:color w:val="202020"/>
                <w:sz w:val="19"/>
              </w:rPr>
              <w:t>Canonical index schema per connector, mapped from source fields</w:t>
            </w:r>
          </w:p>
        </w:tc>
      </w:tr>
      <w:tr>
        <w:tc>
          <w:tcPr>
            <w:tcW w:type="dxa" w:w="3200"/>
            <w:shd w:val="clear" w:color="auto" w:fill="F7F9FC"/>
          </w:tcPr>
          <w:p>
            <w:r>
              <w:rPr>
                <w:color w:val="202020"/>
                <w:sz w:val="19"/>
              </w:rPr>
              <w:t>Dead letter and retry as a first-class stage</w:t>
            </w:r>
          </w:p>
        </w:tc>
        <w:tc>
          <w:tcPr>
            <w:tcW w:type="dxa" w:w="6160"/>
            <w:shd w:val="clear" w:color="auto" w:fill="F7F9FC"/>
          </w:tcPr>
          <w:p>
            <w:r>
              <w:rPr>
                <w:color w:val="202020"/>
                <w:sz w:val="19"/>
              </w:rPr>
              <w:t xml:space="preserve">JSONL and SQL backends, </w:t>
            </w:r>
            <w:r>
              <w:rPr>
                <w:rFonts w:ascii="Consolas" w:hAnsi="Consolas"/>
                <w:color w:val="202020"/>
                <w:sz w:val="19"/>
              </w:rPr>
              <w:t>retry-failed</w:t>
            </w:r>
            <w:r>
              <w:rPr>
                <w:color w:val="202020"/>
                <w:sz w:val="19"/>
              </w:rPr>
              <w:t>, crash-tail-safe appends, redacted by default</w:t>
            </w:r>
          </w:p>
        </w:tc>
      </w:tr>
      <w:tr>
        <w:tc>
          <w:tcPr>
            <w:tcW w:type="dxa" w:w="3200"/>
          </w:tcPr>
          <w:p>
            <w:r>
              <w:rPr>
                <w:color w:val="202020"/>
                <w:sz w:val="19"/>
              </w:rPr>
              <w:t>Circuit breakers and degraded mode</w:t>
            </w:r>
          </w:p>
        </w:tc>
        <w:tc>
          <w:tcPr>
            <w:tcW w:type="dxa" w:w="6160"/>
          </w:tcPr>
          <w:p>
            <w:r>
              <w:rPr>
                <w:color w:val="202020"/>
                <w:sz w:val="19"/>
              </w:rPr>
              <w:t>Closed/open/half-open per dependency, pausing at safe checkpoint boundaries</w:t>
            </w:r>
          </w:p>
        </w:tc>
      </w:tr>
      <w:tr>
        <w:tc>
          <w:tcPr>
            <w:tcW w:type="dxa" w:w="3200"/>
            <w:shd w:val="clear" w:color="auto" w:fill="F7F9FC"/>
          </w:tcPr>
          <w:p>
            <w:r>
              <w:rPr>
                <w:color w:val="202020"/>
                <w:sz w:val="19"/>
              </w:rPr>
              <w:t>Rate limiting and back-pressure</w:t>
            </w:r>
          </w:p>
        </w:tc>
        <w:tc>
          <w:tcPr>
            <w:tcW w:type="dxa" w:w="6160"/>
            <w:shd w:val="clear" w:color="auto" w:fill="F7F9FC"/>
          </w:tcPr>
          <w:p>
            <w:r>
              <w:rPr>
                <w:color w:val="202020"/>
                <w:sz w:val="19"/>
              </w:rPr>
              <w:t xml:space="preserve">Adaptive concurrency with exact </w:t>
            </w:r>
            <w:r>
              <w:rPr>
                <w:rFonts w:ascii="Consolas" w:hAnsi="Consolas"/>
                <w:color w:val="202020"/>
                <w:sz w:val="19"/>
              </w:rPr>
              <w:t>Retry-After</w:t>
            </w:r>
            <w:r>
              <w:rPr>
                <w:color w:val="202020"/>
                <w:sz w:val="19"/>
              </w:rPr>
              <w:t xml:space="preserve"> honouring and a 60-second clamp</w:t>
            </w:r>
          </w:p>
        </w:tc>
      </w:tr>
      <w:tr>
        <w:tc>
          <w:tcPr>
            <w:tcW w:type="dxa" w:w="3200"/>
          </w:tcPr>
          <w:p>
            <w:r>
              <w:rPr>
                <w:color w:val="202020"/>
                <w:sz w:val="19"/>
              </w:rPr>
              <w:t>Idempotent processing and stateless services</w:t>
            </w:r>
          </w:p>
        </w:tc>
        <w:tc>
          <w:tcPr>
            <w:tcW w:type="dxa" w:w="6160"/>
          </w:tcPr>
          <w:p>
            <w:r>
              <w:rPr>
                <w:color w:val="202020"/>
                <w:sz w:val="19"/>
              </w:rPr>
              <w:t>Replay produces no duplicate index entries; state externalised for active-active</w:t>
            </w:r>
          </w:p>
        </w:tc>
      </w:tr>
      <w:tr>
        <w:tc>
          <w:tcPr>
            <w:tcW w:type="dxa" w:w="3200"/>
            <w:shd w:val="clear" w:color="auto" w:fill="F7F9FC"/>
          </w:tcPr>
          <w:p>
            <w:r>
              <w:rPr>
                <w:color w:val="202020"/>
                <w:sz w:val="19"/>
              </w:rPr>
              <w:t>OpenTelemetry, metrics, traces, structured logs</w:t>
            </w:r>
          </w:p>
        </w:tc>
        <w:tc>
          <w:tcPr>
            <w:tcW w:type="dxa" w:w="6160"/>
            <w:shd w:val="clear" w:color="auto" w:fill="F7F9FC"/>
          </w:tcPr>
          <w:p>
            <w:r>
              <w:rPr>
                <w:color w:val="202020"/>
                <w:sz w:val="19"/>
              </w:rPr>
              <w:t>Spans from source call to index write; correlation ids on logs and dead letters</w:t>
            </w:r>
          </w:p>
        </w:tc>
      </w:tr>
      <w:tr>
        <w:tc>
          <w:tcPr>
            <w:tcW w:type="dxa" w:w="3200"/>
          </w:tcPr>
          <w:p>
            <w:r>
              <w:rPr>
                <w:color w:val="202020"/>
                <w:sz w:val="19"/>
              </w:rPr>
              <w:t>Health probes</w:t>
            </w:r>
          </w:p>
        </w:tc>
        <w:tc>
          <w:tcPr>
            <w:tcW w:type="dxa" w:w="6160"/>
          </w:tcPr>
          <w:p>
            <w:r>
              <w:rPr>
                <w:rFonts w:ascii="Consolas" w:hAnsi="Consolas"/>
                <w:color w:val="202020"/>
                <w:sz w:val="19"/>
              </w:rPr>
              <w:t>/health</w:t>
            </w:r>
            <w:r>
              <w:rPr>
                <w:color w:val="202020"/>
                <w:sz w:val="19"/>
              </w:rPr>
              <w:t xml:space="preserve"> liveness and </w:t>
            </w:r>
            <w:r>
              <w:rPr>
                <w:rFonts w:ascii="Consolas" w:hAnsi="Consolas"/>
                <w:color w:val="202020"/>
                <w:sz w:val="19"/>
              </w:rPr>
              <w:t>/ready</w:t>
            </w:r>
            <w:r>
              <w:rPr>
                <w:color w:val="202020"/>
                <w:sz w:val="19"/>
              </w:rPr>
              <w:t xml:space="preserve"> gated on breaker state</w:t>
            </w:r>
          </w:p>
        </w:tc>
      </w:tr>
      <w:tr>
        <w:tc>
          <w:tcPr>
            <w:tcW w:type="dxa" w:w="3200"/>
            <w:shd w:val="clear" w:color="auto" w:fill="F7F9FC"/>
          </w:tcPr>
          <w:p>
            <w:r>
              <w:rPr>
                <w:color w:val="202020"/>
                <w:sz w:val="19"/>
              </w:rPr>
              <w:t>Signed artefacts and SBOM</w:t>
            </w:r>
          </w:p>
        </w:tc>
        <w:tc>
          <w:tcPr>
            <w:tcW w:type="dxa" w:w="6160"/>
            <w:shd w:val="clear" w:color="auto" w:fill="F7F9FC"/>
          </w:tcPr>
          <w:p>
            <w:r>
              <w:rPr>
                <w:color w:val="202020"/>
                <w:sz w:val="19"/>
              </w:rPr>
              <w:t>Designed, not yet running: CycloneDX SBOM and Authenticode/cosign signing are defined in a release workflow per connector, but those files sit under each connector's own .github directory, which GitHub does not execute. No signed artefact has been produced, and the repository holds no tag or release</w:t>
            </w:r>
          </w:p>
        </w:tc>
      </w:tr>
      <w:tr>
        <w:tc>
          <w:tcPr>
            <w:tcW w:type="dxa" w:w="3200"/>
          </w:tcPr>
          <w:p>
            <w:r>
              <w:rPr>
                <w:color w:val="202020"/>
                <w:sz w:val="19"/>
              </w:rPr>
              <w:t>Full, incremental, scheduled, delta and event ingestion</w:t>
            </w:r>
          </w:p>
        </w:tc>
        <w:tc>
          <w:tcPr>
            <w:tcW w:type="dxa" w:w="6160"/>
          </w:tcPr>
          <w:p>
            <w:r>
              <w:rPr>
                <w:color w:val="202020"/>
                <w:sz w:val="19"/>
              </w:rPr>
              <w:t>Checkpointed crawls with crash-resume; webhooks with signed-timestamp anti-replay</w:t>
            </w:r>
          </w:p>
        </w:tc>
      </w:tr>
    </w:tbl>
    <w:p>
      <w:pPr>
        <w:spacing w:after="40"/>
      </w:pPr>
    </w:p>
    <w:p>
      <w:r>
        <w:br w:type="page"/>
      </w:r>
    </w:p>
    <w:p>
      <w:pPr>
        <w:pStyle w:val="Heading1"/>
      </w:pPr>
      <w:r>
        <w:rPr>
          <w:color w:val="1F3864"/>
        </w:rPr>
        <w:t>8. Gap applicability by connector</w:t>
      </w:r>
    </w:p>
    <w:p>
      <w:pPr>
        <w:spacing w:after="120"/>
      </w:pPr>
      <w:r>
        <w:rPr>
          <w:color w:val="202020"/>
        </w:rPr>
        <w:t xml:space="preserve">Where a gap is platform-wide it is marked across all columns. </w:t>
      </w:r>
      <w:r>
        <w:rPr>
          <w:b/>
          <w:color w:val="202020"/>
        </w:rPr>
        <w:t>SF</w:t>
      </w:r>
      <w:r>
        <w:rPr>
          <w:color w:val="202020"/>
        </w:rPr>
        <w:t xml:space="preserve"> Salesforce · </w:t>
      </w:r>
      <w:r>
        <w:rPr>
          <w:b/>
          <w:color w:val="202020"/>
        </w:rPr>
        <w:t>CZ</w:t>
      </w:r>
      <w:r>
        <w:rPr>
          <w:color w:val="202020"/>
        </w:rPr>
        <w:t xml:space="preserve"> Clarizen · </w:t>
      </w:r>
      <w:r>
        <w:rPr>
          <w:b/>
          <w:color w:val="202020"/>
        </w:rPr>
        <w:t>SE</w:t>
      </w:r>
      <w:r>
        <w:rPr>
          <w:color w:val="202020"/>
        </w:rPr>
        <w:t xml:space="preserve"> Seismic · </w:t>
      </w:r>
      <w:r>
        <w:rPr>
          <w:b/>
          <w:color w:val="202020"/>
        </w:rPr>
        <w:t>AL</w:t>
      </w:r>
      <w:r>
        <w:rPr>
          <w:color w:val="202020"/>
        </w:rPr>
        <w:t xml:space="preserve"> Altrata · </w:t>
      </w:r>
      <w:r>
        <w:rPr>
          <w:b/>
          <w:color w:val="202020"/>
        </w:rPr>
        <w:t>HD</w:t>
      </w:r>
      <w:r>
        <w:rPr>
          <w:color w:val="202020"/>
        </w:rPr>
        <w:t xml:space="preserve"> Hadoop BDH.</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760"/>
        <w:gridCol w:w="4200"/>
        <w:gridCol w:w="880"/>
        <w:gridCol w:w="880"/>
        <w:gridCol w:w="880"/>
        <w:gridCol w:w="880"/>
        <w:gridCol w:w="880"/>
      </w:tblGrid>
      <w:tr>
        <w:tc>
          <w:tcPr>
            <w:tcW w:type="dxa" w:w="760"/>
            <w:shd w:val="clear" w:color="auto" w:fill="2E5496"/>
          </w:tcPr>
          <w:p>
            <w:r>
              <w:rPr>
                <w:b/>
                <w:color w:val="FFFFFF"/>
                <w:sz w:val="19"/>
              </w:rPr>
              <w:t>ID</w:t>
            </w:r>
          </w:p>
        </w:tc>
        <w:tc>
          <w:tcPr>
            <w:tcW w:type="dxa" w:w="4200"/>
            <w:shd w:val="clear" w:color="auto" w:fill="2E5496"/>
          </w:tcPr>
          <w:p>
            <w:r>
              <w:rPr>
                <w:b/>
                <w:color w:val="FFFFFF"/>
                <w:sz w:val="19"/>
              </w:rPr>
              <w:t>Gap</w:t>
            </w:r>
          </w:p>
        </w:tc>
        <w:tc>
          <w:tcPr>
            <w:tcW w:type="dxa" w:w="880"/>
            <w:shd w:val="clear" w:color="auto" w:fill="2E5496"/>
          </w:tcPr>
          <w:p>
            <w:r>
              <w:rPr>
                <w:b/>
                <w:color w:val="FFFFFF"/>
                <w:sz w:val="19"/>
              </w:rPr>
              <w:t>SF</w:t>
            </w:r>
          </w:p>
        </w:tc>
        <w:tc>
          <w:tcPr>
            <w:tcW w:type="dxa" w:w="880"/>
            <w:shd w:val="clear" w:color="auto" w:fill="2E5496"/>
          </w:tcPr>
          <w:p>
            <w:r>
              <w:rPr>
                <w:b/>
                <w:color w:val="FFFFFF"/>
                <w:sz w:val="19"/>
              </w:rPr>
              <w:t>CZ</w:t>
            </w:r>
          </w:p>
        </w:tc>
        <w:tc>
          <w:tcPr>
            <w:tcW w:type="dxa" w:w="880"/>
            <w:shd w:val="clear" w:color="auto" w:fill="2E5496"/>
          </w:tcPr>
          <w:p>
            <w:r>
              <w:rPr>
                <w:b/>
                <w:color w:val="FFFFFF"/>
                <w:sz w:val="19"/>
              </w:rPr>
              <w:t>SE</w:t>
            </w:r>
          </w:p>
        </w:tc>
        <w:tc>
          <w:tcPr>
            <w:tcW w:type="dxa" w:w="880"/>
            <w:shd w:val="clear" w:color="auto" w:fill="2E5496"/>
          </w:tcPr>
          <w:p>
            <w:r>
              <w:rPr>
                <w:b/>
                <w:color w:val="FFFFFF"/>
                <w:sz w:val="19"/>
              </w:rPr>
              <w:t>AL</w:t>
            </w:r>
          </w:p>
        </w:tc>
        <w:tc>
          <w:tcPr>
            <w:tcW w:type="dxa" w:w="880"/>
            <w:shd w:val="clear" w:color="auto" w:fill="2E5496"/>
          </w:tcPr>
          <w:p>
            <w:r>
              <w:rPr>
                <w:b/>
                <w:color w:val="FFFFFF"/>
                <w:sz w:val="19"/>
              </w:rPr>
              <w:t>HD</w:t>
            </w:r>
          </w:p>
        </w:tc>
      </w:tr>
      <w:tr>
        <w:tc>
          <w:tcPr>
            <w:tcW w:type="dxa" w:w="760"/>
          </w:tcPr>
          <w:p>
            <w:r>
              <w:rPr>
                <w:color w:val="202020"/>
                <w:sz w:val="19"/>
              </w:rPr>
              <w:t>G1</w:t>
            </w:r>
          </w:p>
        </w:tc>
        <w:tc>
          <w:tcPr>
            <w:tcW w:type="dxa" w:w="4200"/>
          </w:tcPr>
          <w:p>
            <w:r>
              <w:rPr>
                <w:color w:val="202020"/>
                <w:sz w:val="19"/>
              </w:rPr>
              <w:t>Prompt-injection / malware scanning</w:t>
            </w:r>
          </w:p>
        </w:tc>
        <w:tc>
          <w:tcPr>
            <w:tcW w:type="dxa" w:w="880"/>
          </w:tcPr>
          <w:p>
            <w:r>
              <w:rPr>
                <w:color w:val="202020"/>
                <w:sz w:val="19"/>
              </w:rPr>
              <w:t>●</w:t>
            </w:r>
          </w:p>
        </w:tc>
        <w:tc>
          <w:tcPr>
            <w:tcW w:type="dxa" w:w="880"/>
          </w:tcPr>
          <w:p>
            <w:r>
              <w:rPr>
                <w:color w:val="202020"/>
                <w:sz w:val="19"/>
              </w:rPr>
              <w:t>◐</w:t>
            </w:r>
          </w:p>
        </w:tc>
        <w:tc>
          <w:tcPr>
            <w:tcW w:type="dxa" w:w="880"/>
          </w:tcPr>
          <w:p>
            <w:r>
              <w:rPr>
                <w:color w:val="202020"/>
                <w:sz w:val="19"/>
              </w:rPr>
              <w:t>◐</w:t>
            </w:r>
          </w:p>
        </w:tc>
        <w:tc>
          <w:tcPr>
            <w:tcW w:type="dxa" w:w="880"/>
          </w:tcPr>
          <w:p>
            <w:r>
              <w:rPr>
                <w:color w:val="202020"/>
                <w:sz w:val="19"/>
              </w:rPr>
              <w:t>◐</w:t>
            </w:r>
          </w:p>
        </w:tc>
        <w:tc>
          <w:tcPr>
            <w:tcW w:type="dxa" w:w="880"/>
          </w:tcPr>
          <w:p>
            <w:r>
              <w:rPr>
                <w:color w:val="202020"/>
                <w:sz w:val="19"/>
              </w:rPr>
              <w:t>●</w:t>
            </w:r>
          </w:p>
        </w:tc>
      </w:tr>
      <w:tr>
        <w:tc>
          <w:tcPr>
            <w:tcW w:type="dxa" w:w="760"/>
            <w:shd w:val="clear" w:color="auto" w:fill="F7F9FC"/>
          </w:tcPr>
          <w:p>
            <w:r>
              <w:rPr>
                <w:color w:val="202020"/>
                <w:sz w:val="19"/>
              </w:rPr>
              <w:t>G2</w:t>
            </w:r>
          </w:p>
        </w:tc>
        <w:tc>
          <w:tcPr>
            <w:tcW w:type="dxa" w:w="4200"/>
            <w:shd w:val="clear" w:color="auto" w:fill="F7F9FC"/>
          </w:tcPr>
          <w:p>
            <w:r>
              <w:rPr>
                <w:color w:val="202020"/>
                <w:sz w:val="19"/>
              </w:rPr>
              <w:t>Field-level security not enforced on the mirror</w:t>
            </w:r>
          </w:p>
        </w:tc>
        <w:tc>
          <w:tcPr>
            <w:tcW w:type="dxa" w:w="880"/>
            <w:shd w:val="clear" w:color="auto" w:fill="F7F9FC"/>
          </w:tcPr>
          <w:p>
            <w:r>
              <w:rPr>
                <w:color w:val="202020"/>
                <w:sz w:val="19"/>
              </w:rPr>
              <w:t>◐</w:t>
            </w:r>
          </w:p>
        </w:tc>
        <w:tc>
          <w:tcPr>
            <w:tcW w:type="dxa" w:w="880"/>
            <w:shd w:val="clear" w:color="auto" w:fill="F7F9FC"/>
          </w:tcPr>
          <w:p>
            <w:r>
              <w:rPr>
                <w:color w:val="202020"/>
                <w:sz w:val="19"/>
              </w:rPr>
              <w:t>—</w:t>
            </w:r>
          </w:p>
        </w:tc>
        <w:tc>
          <w:tcPr>
            <w:tcW w:type="dxa" w:w="880"/>
            <w:shd w:val="clear" w:color="auto" w:fill="F7F9FC"/>
          </w:tcPr>
          <w:p>
            <w:r>
              <w:rPr>
                <w:color w:val="202020"/>
                <w:sz w:val="19"/>
              </w:rPr>
              <w:t>—</w:t>
            </w:r>
          </w:p>
        </w:tc>
        <w:tc>
          <w:tcPr>
            <w:tcW w:type="dxa" w:w="880"/>
            <w:shd w:val="clear" w:color="auto" w:fill="F7F9FC"/>
          </w:tcPr>
          <w:p>
            <w:r>
              <w:rPr>
                <w:color w:val="202020"/>
                <w:sz w:val="19"/>
              </w:rPr>
              <w:t>—</w:t>
            </w:r>
          </w:p>
        </w:tc>
        <w:tc>
          <w:tcPr>
            <w:tcW w:type="dxa" w:w="880"/>
            <w:shd w:val="clear" w:color="auto" w:fill="F7F9FC"/>
          </w:tcPr>
          <w:p>
            <w:r>
              <w:rPr>
                <w:color w:val="202020"/>
                <w:sz w:val="19"/>
              </w:rPr>
              <w:t>●</w:t>
            </w:r>
          </w:p>
        </w:tc>
      </w:tr>
      <w:tr>
        <w:tc>
          <w:tcPr>
            <w:tcW w:type="dxa" w:w="760"/>
          </w:tcPr>
          <w:p>
            <w:r>
              <w:rPr>
                <w:color w:val="202020"/>
                <w:sz w:val="19"/>
              </w:rPr>
              <w:t>G3</w:t>
            </w:r>
          </w:p>
        </w:tc>
        <w:tc>
          <w:tcPr>
            <w:tcW w:type="dxa" w:w="4200"/>
          </w:tcPr>
          <w:p>
            <w:r>
              <w:rPr>
                <w:color w:val="202020"/>
                <w:sz w:val="19"/>
              </w:rPr>
              <w:t>Coarse authorisation (Ranger absent)</w:t>
            </w:r>
          </w:p>
        </w:tc>
        <w:tc>
          <w:tcPr>
            <w:tcW w:type="dxa" w:w="880"/>
          </w:tcPr>
          <w:p>
            <w:r>
              <w:rPr>
                <w:color w:val="202020"/>
                <w:sz w:val="19"/>
              </w:rPr>
              <w:t>—</w:t>
            </w:r>
          </w:p>
        </w:tc>
        <w:tc>
          <w:tcPr>
            <w:tcW w:type="dxa" w:w="880"/>
          </w:tcPr>
          <w:p>
            <w:r>
              <w:rPr>
                <w:color w:val="202020"/>
                <w:sz w:val="19"/>
              </w:rPr>
              <w:t>—</w:t>
            </w:r>
          </w:p>
        </w:tc>
        <w:tc>
          <w:tcPr>
            <w:tcW w:type="dxa" w:w="880"/>
          </w:tcPr>
          <w:p>
            <w:r>
              <w:rPr>
                <w:color w:val="202020"/>
                <w:sz w:val="19"/>
              </w:rPr>
              <w:t>—</w:t>
            </w:r>
          </w:p>
        </w:tc>
        <w:tc>
          <w:tcPr>
            <w:tcW w:type="dxa" w:w="880"/>
          </w:tcPr>
          <w:p>
            <w:r>
              <w:rPr>
                <w:color w:val="202020"/>
                <w:sz w:val="19"/>
              </w:rPr>
              <w:t>—</w:t>
            </w:r>
          </w:p>
        </w:tc>
        <w:tc>
          <w:tcPr>
            <w:tcW w:type="dxa" w:w="880"/>
          </w:tcPr>
          <w:p>
            <w:r>
              <w:rPr>
                <w:color w:val="202020"/>
                <w:sz w:val="19"/>
              </w:rPr>
              <w:t>●</w:t>
            </w:r>
          </w:p>
        </w:tc>
      </w:tr>
      <w:tr>
        <w:tc>
          <w:tcPr>
            <w:tcW w:type="dxa" w:w="760"/>
            <w:shd w:val="clear" w:color="auto" w:fill="F7F9FC"/>
          </w:tcPr>
          <w:p>
            <w:r>
              <w:rPr>
                <w:color w:val="202020"/>
                <w:sz w:val="19"/>
              </w:rPr>
              <w:t>G4</w:t>
            </w:r>
          </w:p>
        </w:tc>
        <w:tc>
          <w:tcPr>
            <w:tcW w:type="dxa" w:w="4200"/>
            <w:shd w:val="clear" w:color="auto" w:fill="F7F9FC"/>
          </w:tcPr>
          <w:p>
            <w:r>
              <w:rPr>
                <w:color w:val="202020"/>
                <w:sz w:val="19"/>
              </w:rPr>
              <w:t>Kerberos / SPNEGO + keytab lifecycle</w:t>
            </w:r>
          </w:p>
        </w:tc>
        <w:tc>
          <w:tcPr>
            <w:tcW w:type="dxa" w:w="880"/>
            <w:shd w:val="clear" w:color="auto" w:fill="F7F9FC"/>
          </w:tcPr>
          <w:p>
            <w:r>
              <w:rPr>
                <w:color w:val="202020"/>
                <w:sz w:val="19"/>
              </w:rPr>
              <w:t>—</w:t>
            </w:r>
          </w:p>
        </w:tc>
        <w:tc>
          <w:tcPr>
            <w:tcW w:type="dxa" w:w="880"/>
            <w:shd w:val="clear" w:color="auto" w:fill="F7F9FC"/>
          </w:tcPr>
          <w:p>
            <w:r>
              <w:rPr>
                <w:color w:val="202020"/>
                <w:sz w:val="19"/>
              </w:rPr>
              <w:t>—</w:t>
            </w:r>
          </w:p>
        </w:tc>
        <w:tc>
          <w:tcPr>
            <w:tcW w:type="dxa" w:w="880"/>
            <w:shd w:val="clear" w:color="auto" w:fill="F7F9FC"/>
          </w:tcPr>
          <w:p>
            <w:r>
              <w:rPr>
                <w:color w:val="202020"/>
                <w:sz w:val="19"/>
              </w:rPr>
              <w:t>—</w:t>
            </w:r>
          </w:p>
        </w:tc>
        <w:tc>
          <w:tcPr>
            <w:tcW w:type="dxa" w:w="880"/>
            <w:shd w:val="clear" w:color="auto" w:fill="F7F9FC"/>
          </w:tcPr>
          <w:p>
            <w:r>
              <w:rPr>
                <w:color w:val="202020"/>
                <w:sz w:val="19"/>
              </w:rPr>
              <w:t>—</w:t>
            </w:r>
          </w:p>
        </w:tc>
        <w:tc>
          <w:tcPr>
            <w:tcW w:type="dxa" w:w="880"/>
            <w:shd w:val="clear" w:color="auto" w:fill="F7F9FC"/>
          </w:tcPr>
          <w:p>
            <w:r>
              <w:rPr>
                <w:color w:val="202020"/>
                <w:sz w:val="19"/>
              </w:rPr>
              <w:t>●</w:t>
            </w:r>
          </w:p>
        </w:tc>
      </w:tr>
      <w:tr>
        <w:tc>
          <w:tcPr>
            <w:tcW w:type="dxa" w:w="760"/>
          </w:tcPr>
          <w:p>
            <w:r>
              <w:rPr>
                <w:color w:val="202020"/>
                <w:sz w:val="19"/>
              </w:rPr>
              <w:t>G5</w:t>
            </w:r>
          </w:p>
        </w:tc>
        <w:tc>
          <w:tcPr>
            <w:tcW w:type="dxa" w:w="4200"/>
          </w:tcPr>
          <w:p>
            <w:r>
              <w:rPr>
                <w:color w:val="202020"/>
                <w:sz w:val="19"/>
              </w:rPr>
              <w:t>Purview labels and DLP advisory only</w:t>
            </w:r>
          </w:p>
        </w:tc>
        <w:tc>
          <w:tcPr>
            <w:tcW w:type="dxa" w:w="880"/>
          </w:tcPr>
          <w:p>
            <w:r>
              <w:rPr>
                <w:color w:val="202020"/>
                <w:sz w:val="19"/>
              </w:rPr>
              <w:t>●</w:t>
            </w:r>
          </w:p>
        </w:tc>
        <w:tc>
          <w:tcPr>
            <w:tcW w:type="dxa" w:w="880"/>
          </w:tcPr>
          <w:p>
            <w:r>
              <w:rPr>
                <w:color w:val="202020"/>
                <w:sz w:val="19"/>
              </w:rPr>
              <w:t>●</w:t>
            </w:r>
          </w:p>
        </w:tc>
        <w:tc>
          <w:tcPr>
            <w:tcW w:type="dxa" w:w="880"/>
          </w:tcPr>
          <w:p>
            <w:r>
              <w:rPr>
                <w:color w:val="202020"/>
                <w:sz w:val="19"/>
              </w:rPr>
              <w:t>●</w:t>
            </w:r>
          </w:p>
        </w:tc>
        <w:tc>
          <w:tcPr>
            <w:tcW w:type="dxa" w:w="880"/>
          </w:tcPr>
          <w:p>
            <w:r>
              <w:rPr>
                <w:color w:val="202020"/>
                <w:sz w:val="19"/>
              </w:rPr>
              <w:t>●</w:t>
            </w:r>
          </w:p>
        </w:tc>
        <w:tc>
          <w:tcPr>
            <w:tcW w:type="dxa" w:w="880"/>
          </w:tcPr>
          <w:p>
            <w:r>
              <w:rPr>
                <w:color w:val="202020"/>
                <w:sz w:val="19"/>
              </w:rPr>
              <w:t>●</w:t>
            </w:r>
          </w:p>
        </w:tc>
      </w:tr>
      <w:tr>
        <w:tc>
          <w:tcPr>
            <w:tcW w:type="dxa" w:w="760"/>
            <w:shd w:val="clear" w:color="auto" w:fill="F7F9FC"/>
          </w:tcPr>
          <w:p>
            <w:r>
              <w:rPr>
                <w:color w:val="202020"/>
                <w:sz w:val="19"/>
              </w:rPr>
              <w:t>G6</w:t>
            </w:r>
          </w:p>
        </w:tc>
        <w:tc>
          <w:tcPr>
            <w:tcW w:type="dxa" w:w="4200"/>
            <w:shd w:val="clear" w:color="auto" w:fill="F7F9FC"/>
          </w:tcPr>
          <w:p>
            <w:r>
              <w:rPr>
                <w:color w:val="202020"/>
                <w:sz w:val="19"/>
              </w:rPr>
              <w:t>Immutable (WORM) audit storage</w:t>
            </w:r>
          </w:p>
        </w:tc>
        <w:tc>
          <w:tcPr>
            <w:tcW w:type="dxa" w:w="880"/>
            <w:shd w:val="clear" w:color="auto" w:fill="F7F9FC"/>
          </w:tcPr>
          <w:p>
            <w:r>
              <w:rPr>
                <w:color w:val="202020"/>
                <w:sz w:val="19"/>
              </w:rPr>
              <w:t>●</w:t>
            </w:r>
          </w:p>
        </w:tc>
        <w:tc>
          <w:tcPr>
            <w:tcW w:type="dxa" w:w="880"/>
            <w:shd w:val="clear" w:color="auto" w:fill="F7F9FC"/>
          </w:tcPr>
          <w:p>
            <w:r>
              <w:rPr>
                <w:color w:val="202020"/>
                <w:sz w:val="19"/>
              </w:rPr>
              <w:t>●</w:t>
            </w:r>
          </w:p>
        </w:tc>
        <w:tc>
          <w:tcPr>
            <w:tcW w:type="dxa" w:w="880"/>
            <w:shd w:val="clear" w:color="auto" w:fill="F7F9FC"/>
          </w:tcPr>
          <w:p>
            <w:r>
              <w:rPr>
                <w:color w:val="202020"/>
                <w:sz w:val="19"/>
              </w:rPr>
              <w:t>●</w:t>
            </w:r>
          </w:p>
        </w:tc>
        <w:tc>
          <w:tcPr>
            <w:tcW w:type="dxa" w:w="880"/>
            <w:shd w:val="clear" w:color="auto" w:fill="F7F9FC"/>
          </w:tcPr>
          <w:p>
            <w:r>
              <w:rPr>
                <w:color w:val="202020"/>
                <w:sz w:val="19"/>
              </w:rPr>
              <w:t>●</w:t>
            </w:r>
          </w:p>
        </w:tc>
        <w:tc>
          <w:tcPr>
            <w:tcW w:type="dxa" w:w="880"/>
            <w:shd w:val="clear" w:color="auto" w:fill="F7F9FC"/>
          </w:tcPr>
          <w:p>
            <w:r>
              <w:rPr>
                <w:color w:val="202020"/>
                <w:sz w:val="19"/>
              </w:rPr>
              <w:t>●</w:t>
            </w:r>
          </w:p>
        </w:tc>
      </w:tr>
      <w:tr>
        <w:tc>
          <w:tcPr>
            <w:tcW w:type="dxa" w:w="760"/>
          </w:tcPr>
          <w:p>
            <w:r>
              <w:rPr>
                <w:color w:val="202020"/>
                <w:sz w:val="19"/>
              </w:rPr>
              <w:t>G7</w:t>
            </w:r>
          </w:p>
        </w:tc>
        <w:tc>
          <w:tcPr>
            <w:tcW w:type="dxa" w:w="4200"/>
          </w:tcPr>
          <w:p>
            <w:r>
              <w:rPr>
                <w:color w:val="202020"/>
                <w:sz w:val="19"/>
              </w:rPr>
              <w:t>FIPS 140-3 (residual MD5)</w:t>
            </w:r>
          </w:p>
        </w:tc>
        <w:tc>
          <w:tcPr>
            <w:tcW w:type="dxa" w:w="880"/>
          </w:tcPr>
          <w:p>
            <w:r>
              <w:rPr>
                <w:color w:val="202020"/>
                <w:sz w:val="19"/>
              </w:rPr>
              <w:t>●</w:t>
            </w:r>
          </w:p>
        </w:tc>
        <w:tc>
          <w:tcPr>
            <w:tcW w:type="dxa" w:w="880"/>
          </w:tcPr>
          <w:p>
            <w:r>
              <w:rPr>
                <w:color w:val="202020"/>
                <w:sz w:val="19"/>
              </w:rPr>
              <w:t>—</w:t>
            </w:r>
          </w:p>
        </w:tc>
        <w:tc>
          <w:tcPr>
            <w:tcW w:type="dxa" w:w="880"/>
          </w:tcPr>
          <w:p>
            <w:r>
              <w:rPr>
                <w:color w:val="202020"/>
                <w:sz w:val="19"/>
              </w:rPr>
              <w:t>—</w:t>
            </w:r>
          </w:p>
        </w:tc>
        <w:tc>
          <w:tcPr>
            <w:tcW w:type="dxa" w:w="880"/>
          </w:tcPr>
          <w:p>
            <w:r>
              <w:rPr>
                <w:color w:val="202020"/>
                <w:sz w:val="19"/>
              </w:rPr>
              <w:t>—</w:t>
            </w:r>
          </w:p>
        </w:tc>
        <w:tc>
          <w:tcPr>
            <w:tcW w:type="dxa" w:w="880"/>
          </w:tcPr>
          <w:p>
            <w:r>
              <w:rPr>
                <w:color w:val="202020"/>
                <w:sz w:val="19"/>
              </w:rPr>
              <w:t>—</w:t>
            </w:r>
          </w:p>
        </w:tc>
      </w:tr>
      <w:tr>
        <w:tc>
          <w:tcPr>
            <w:tcW w:type="dxa" w:w="760"/>
            <w:shd w:val="clear" w:color="auto" w:fill="F7F9FC"/>
          </w:tcPr>
          <w:p>
            <w:r>
              <w:rPr>
                <w:color w:val="202020"/>
                <w:sz w:val="19"/>
              </w:rPr>
              <w:t>G8</w:t>
            </w:r>
          </w:p>
        </w:tc>
        <w:tc>
          <w:tcPr>
            <w:tcW w:type="dxa" w:w="4200"/>
            <w:shd w:val="clear" w:color="auto" w:fill="F7F9FC"/>
          </w:tcPr>
          <w:p>
            <w:r>
              <w:rPr>
                <w:color w:val="202020"/>
                <w:sz w:val="19"/>
              </w:rPr>
              <w:t>Metering, redistribution, entitlement freshness</w:t>
            </w:r>
          </w:p>
        </w:tc>
        <w:tc>
          <w:tcPr>
            <w:tcW w:type="dxa" w:w="880"/>
            <w:shd w:val="clear" w:color="auto" w:fill="F7F9FC"/>
          </w:tcPr>
          <w:p>
            <w:r>
              <w:rPr>
                <w:color w:val="202020"/>
                <w:sz w:val="19"/>
              </w:rPr>
              <w:t>—</w:t>
            </w:r>
          </w:p>
        </w:tc>
        <w:tc>
          <w:tcPr>
            <w:tcW w:type="dxa" w:w="880"/>
            <w:shd w:val="clear" w:color="auto" w:fill="F7F9FC"/>
          </w:tcPr>
          <w:p>
            <w:r>
              <w:rPr>
                <w:color w:val="202020"/>
                <w:sz w:val="19"/>
              </w:rPr>
              <w:t>—</w:t>
            </w:r>
          </w:p>
        </w:tc>
        <w:tc>
          <w:tcPr>
            <w:tcW w:type="dxa" w:w="880"/>
            <w:shd w:val="clear" w:color="auto" w:fill="F7F9FC"/>
          </w:tcPr>
          <w:p>
            <w:r>
              <w:rPr>
                <w:color w:val="202020"/>
                <w:sz w:val="19"/>
              </w:rPr>
              <w:t>—</w:t>
            </w:r>
          </w:p>
        </w:tc>
        <w:tc>
          <w:tcPr>
            <w:tcW w:type="dxa" w:w="880"/>
            <w:shd w:val="clear" w:color="auto" w:fill="F7F9FC"/>
          </w:tcPr>
          <w:p>
            <w:r>
              <w:rPr>
                <w:color w:val="202020"/>
                <w:sz w:val="19"/>
              </w:rPr>
              <w:t>●</w:t>
            </w:r>
          </w:p>
        </w:tc>
        <w:tc>
          <w:tcPr>
            <w:tcW w:type="dxa" w:w="880"/>
            <w:shd w:val="clear" w:color="auto" w:fill="F7F9FC"/>
          </w:tcPr>
          <w:p>
            <w:r>
              <w:rPr>
                <w:color w:val="202020"/>
                <w:sz w:val="19"/>
              </w:rPr>
              <w:t>—</w:t>
            </w:r>
          </w:p>
        </w:tc>
      </w:tr>
      <w:tr>
        <w:tc>
          <w:tcPr>
            <w:tcW w:type="dxa" w:w="760"/>
          </w:tcPr>
          <w:p>
            <w:r>
              <w:rPr>
                <w:color w:val="202020"/>
                <w:sz w:val="19"/>
              </w:rPr>
              <w:t>G9</w:t>
            </w:r>
          </w:p>
        </w:tc>
        <w:tc>
          <w:tcPr>
            <w:tcW w:type="dxa" w:w="4200"/>
          </w:tcPr>
          <w:p>
            <w:r>
              <w:rPr>
                <w:color w:val="202020"/>
                <w:sz w:val="19"/>
              </w:rPr>
              <w:t>Multi-region DR, backups, restore testing</w:t>
            </w:r>
          </w:p>
        </w:tc>
        <w:tc>
          <w:tcPr>
            <w:tcW w:type="dxa" w:w="880"/>
          </w:tcPr>
          <w:p>
            <w:r>
              <w:rPr>
                <w:color w:val="202020"/>
                <w:sz w:val="19"/>
              </w:rPr>
              <w:t>●</w:t>
            </w:r>
          </w:p>
        </w:tc>
        <w:tc>
          <w:tcPr>
            <w:tcW w:type="dxa" w:w="880"/>
          </w:tcPr>
          <w:p>
            <w:r>
              <w:rPr>
                <w:color w:val="202020"/>
                <w:sz w:val="19"/>
              </w:rPr>
              <w:t>●</w:t>
            </w:r>
          </w:p>
        </w:tc>
        <w:tc>
          <w:tcPr>
            <w:tcW w:type="dxa" w:w="880"/>
          </w:tcPr>
          <w:p>
            <w:r>
              <w:rPr>
                <w:color w:val="202020"/>
                <w:sz w:val="19"/>
              </w:rPr>
              <w:t>●</w:t>
            </w:r>
          </w:p>
        </w:tc>
        <w:tc>
          <w:tcPr>
            <w:tcW w:type="dxa" w:w="880"/>
          </w:tcPr>
          <w:p>
            <w:r>
              <w:rPr>
                <w:color w:val="202020"/>
                <w:sz w:val="19"/>
              </w:rPr>
              <w:t>●</w:t>
            </w:r>
          </w:p>
        </w:tc>
        <w:tc>
          <w:tcPr>
            <w:tcW w:type="dxa" w:w="880"/>
          </w:tcPr>
          <w:p>
            <w:r>
              <w:rPr>
                <w:color w:val="202020"/>
                <w:sz w:val="19"/>
              </w:rPr>
              <w:t>●</w:t>
            </w:r>
          </w:p>
        </w:tc>
      </w:tr>
      <w:tr>
        <w:tc>
          <w:tcPr>
            <w:tcW w:type="dxa" w:w="760"/>
            <w:shd w:val="clear" w:color="auto" w:fill="F7F9FC"/>
          </w:tcPr>
          <w:p>
            <w:r>
              <w:rPr>
                <w:color w:val="202020"/>
                <w:sz w:val="19"/>
              </w:rPr>
              <w:t>G10</w:t>
            </w:r>
          </w:p>
        </w:tc>
        <w:tc>
          <w:tcPr>
            <w:tcW w:type="dxa" w:w="4200"/>
            <w:shd w:val="clear" w:color="auto" w:fill="F7F9FC"/>
          </w:tcPr>
          <w:p>
            <w:r>
              <w:rPr>
                <w:color w:val="202020"/>
                <w:sz w:val="19"/>
              </w:rPr>
              <w:t>Infrastructure as code</w:t>
            </w:r>
          </w:p>
        </w:tc>
        <w:tc>
          <w:tcPr>
            <w:tcW w:type="dxa" w:w="880"/>
            <w:shd w:val="clear" w:color="auto" w:fill="F7F9FC"/>
          </w:tcPr>
          <w:p>
            <w:r>
              <w:rPr>
                <w:color w:val="202020"/>
                <w:sz w:val="19"/>
              </w:rPr>
              <w:t>●</w:t>
            </w:r>
          </w:p>
        </w:tc>
        <w:tc>
          <w:tcPr>
            <w:tcW w:type="dxa" w:w="880"/>
            <w:shd w:val="clear" w:color="auto" w:fill="F7F9FC"/>
          </w:tcPr>
          <w:p>
            <w:r>
              <w:rPr>
                <w:color w:val="202020"/>
                <w:sz w:val="19"/>
              </w:rPr>
              <w:t>●</w:t>
            </w:r>
          </w:p>
        </w:tc>
        <w:tc>
          <w:tcPr>
            <w:tcW w:type="dxa" w:w="880"/>
            <w:shd w:val="clear" w:color="auto" w:fill="F7F9FC"/>
          </w:tcPr>
          <w:p>
            <w:r>
              <w:rPr>
                <w:color w:val="202020"/>
                <w:sz w:val="19"/>
              </w:rPr>
              <w:t>●</w:t>
            </w:r>
          </w:p>
        </w:tc>
        <w:tc>
          <w:tcPr>
            <w:tcW w:type="dxa" w:w="880"/>
            <w:shd w:val="clear" w:color="auto" w:fill="F7F9FC"/>
          </w:tcPr>
          <w:p>
            <w:r>
              <w:rPr>
                <w:color w:val="202020"/>
                <w:sz w:val="19"/>
              </w:rPr>
              <w:t>●</w:t>
            </w:r>
          </w:p>
        </w:tc>
        <w:tc>
          <w:tcPr>
            <w:tcW w:type="dxa" w:w="880"/>
            <w:shd w:val="clear" w:color="auto" w:fill="F7F9FC"/>
          </w:tcPr>
          <w:p>
            <w:r>
              <w:rPr>
                <w:color w:val="202020"/>
                <w:sz w:val="19"/>
              </w:rPr>
              <w:t>●</w:t>
            </w:r>
          </w:p>
        </w:tc>
      </w:tr>
      <w:tr>
        <w:tc>
          <w:tcPr>
            <w:tcW w:type="dxa" w:w="760"/>
          </w:tcPr>
          <w:p>
            <w:r>
              <w:rPr>
                <w:color w:val="202020"/>
                <w:sz w:val="19"/>
              </w:rPr>
              <w:t>G11</w:t>
            </w:r>
          </w:p>
        </w:tc>
        <w:tc>
          <w:tcPr>
            <w:tcW w:type="dxa" w:w="4200"/>
          </w:tcPr>
          <w:p>
            <w:r>
              <w:rPr>
                <w:color w:val="202020"/>
                <w:sz w:val="19"/>
              </w:rPr>
              <w:t>Chaos testing</w:t>
            </w:r>
          </w:p>
        </w:tc>
        <w:tc>
          <w:tcPr>
            <w:tcW w:type="dxa" w:w="880"/>
          </w:tcPr>
          <w:p>
            <w:r>
              <w:rPr>
                <w:color w:val="202020"/>
                <w:sz w:val="19"/>
              </w:rPr>
              <w:t>●</w:t>
            </w:r>
          </w:p>
        </w:tc>
        <w:tc>
          <w:tcPr>
            <w:tcW w:type="dxa" w:w="880"/>
          </w:tcPr>
          <w:p>
            <w:r>
              <w:rPr>
                <w:color w:val="202020"/>
                <w:sz w:val="19"/>
              </w:rPr>
              <w:t>●</w:t>
            </w:r>
          </w:p>
        </w:tc>
        <w:tc>
          <w:tcPr>
            <w:tcW w:type="dxa" w:w="880"/>
          </w:tcPr>
          <w:p>
            <w:r>
              <w:rPr>
                <w:color w:val="202020"/>
                <w:sz w:val="19"/>
              </w:rPr>
              <w:t>●</w:t>
            </w:r>
          </w:p>
        </w:tc>
        <w:tc>
          <w:tcPr>
            <w:tcW w:type="dxa" w:w="880"/>
          </w:tcPr>
          <w:p>
            <w:r>
              <w:rPr>
                <w:color w:val="202020"/>
                <w:sz w:val="19"/>
              </w:rPr>
              <w:t>●</w:t>
            </w:r>
          </w:p>
        </w:tc>
        <w:tc>
          <w:tcPr>
            <w:tcW w:type="dxa" w:w="880"/>
          </w:tcPr>
          <w:p>
            <w:r>
              <w:rPr>
                <w:color w:val="202020"/>
                <w:sz w:val="19"/>
              </w:rPr>
              <w:t>●</w:t>
            </w:r>
          </w:p>
        </w:tc>
      </w:tr>
      <w:tr>
        <w:tc>
          <w:tcPr>
            <w:tcW w:type="dxa" w:w="760"/>
            <w:shd w:val="clear" w:color="auto" w:fill="F7F9FC"/>
          </w:tcPr>
          <w:p>
            <w:r>
              <w:rPr>
                <w:color w:val="202020"/>
                <w:sz w:val="19"/>
              </w:rPr>
              <w:t>G12</w:t>
            </w:r>
          </w:p>
        </w:tc>
        <w:tc>
          <w:tcPr>
            <w:tcW w:type="dxa" w:w="4200"/>
            <w:shd w:val="clear" w:color="auto" w:fill="F7F9FC"/>
          </w:tcPr>
          <w:p>
            <w:r>
              <w:rPr>
                <w:color w:val="202020"/>
                <w:sz w:val="19"/>
              </w:rPr>
              <w:t>Auto-scaling / self-healing</w:t>
            </w:r>
          </w:p>
        </w:tc>
        <w:tc>
          <w:tcPr>
            <w:tcW w:type="dxa" w:w="880"/>
            <w:shd w:val="clear" w:color="auto" w:fill="F7F9FC"/>
          </w:tcPr>
          <w:p>
            <w:r>
              <w:rPr>
                <w:color w:val="202020"/>
                <w:sz w:val="19"/>
              </w:rPr>
              <w:t>●</w:t>
            </w:r>
          </w:p>
        </w:tc>
        <w:tc>
          <w:tcPr>
            <w:tcW w:type="dxa" w:w="880"/>
            <w:shd w:val="clear" w:color="auto" w:fill="F7F9FC"/>
          </w:tcPr>
          <w:p>
            <w:r>
              <w:rPr>
                <w:color w:val="202020"/>
                <w:sz w:val="19"/>
              </w:rPr>
              <w:t>●</w:t>
            </w:r>
          </w:p>
        </w:tc>
        <w:tc>
          <w:tcPr>
            <w:tcW w:type="dxa" w:w="880"/>
            <w:shd w:val="clear" w:color="auto" w:fill="F7F9FC"/>
          </w:tcPr>
          <w:p>
            <w:r>
              <w:rPr>
                <w:color w:val="202020"/>
                <w:sz w:val="19"/>
              </w:rPr>
              <w:t>●</w:t>
            </w:r>
          </w:p>
        </w:tc>
        <w:tc>
          <w:tcPr>
            <w:tcW w:type="dxa" w:w="880"/>
            <w:shd w:val="clear" w:color="auto" w:fill="F7F9FC"/>
          </w:tcPr>
          <w:p>
            <w:r>
              <w:rPr>
                <w:color w:val="202020"/>
                <w:sz w:val="19"/>
              </w:rPr>
              <w:t>●</w:t>
            </w:r>
          </w:p>
        </w:tc>
        <w:tc>
          <w:tcPr>
            <w:tcW w:type="dxa" w:w="880"/>
            <w:shd w:val="clear" w:color="auto" w:fill="F7F9FC"/>
          </w:tcPr>
          <w:p>
            <w:r>
              <w:rPr>
                <w:color w:val="202020"/>
                <w:sz w:val="19"/>
              </w:rPr>
              <w:t>●</w:t>
            </w:r>
          </w:p>
        </w:tc>
      </w:tr>
      <w:tr>
        <w:tc>
          <w:tcPr>
            <w:tcW w:type="dxa" w:w="760"/>
          </w:tcPr>
          <w:p>
            <w:r>
              <w:rPr>
                <w:color w:val="202020"/>
                <w:sz w:val="19"/>
              </w:rPr>
              <w:t>G13</w:t>
            </w:r>
          </w:p>
        </w:tc>
        <w:tc>
          <w:tcPr>
            <w:tcW w:type="dxa" w:w="4200"/>
          </w:tcPr>
          <w:p>
            <w:r>
              <w:rPr>
                <w:color w:val="202020"/>
                <w:sz w:val="19"/>
              </w:rPr>
              <w:t>Hive metastore / Impala</w:t>
            </w:r>
          </w:p>
        </w:tc>
        <w:tc>
          <w:tcPr>
            <w:tcW w:type="dxa" w:w="880"/>
          </w:tcPr>
          <w:p>
            <w:r>
              <w:rPr>
                <w:color w:val="202020"/>
                <w:sz w:val="19"/>
              </w:rPr>
              <w:t>—</w:t>
            </w:r>
          </w:p>
        </w:tc>
        <w:tc>
          <w:tcPr>
            <w:tcW w:type="dxa" w:w="880"/>
          </w:tcPr>
          <w:p>
            <w:r>
              <w:rPr>
                <w:color w:val="202020"/>
                <w:sz w:val="19"/>
              </w:rPr>
              <w:t>—</w:t>
            </w:r>
          </w:p>
        </w:tc>
        <w:tc>
          <w:tcPr>
            <w:tcW w:type="dxa" w:w="880"/>
          </w:tcPr>
          <w:p>
            <w:r>
              <w:rPr>
                <w:color w:val="202020"/>
                <w:sz w:val="19"/>
              </w:rPr>
              <w:t>—</w:t>
            </w:r>
          </w:p>
        </w:tc>
        <w:tc>
          <w:tcPr>
            <w:tcW w:type="dxa" w:w="880"/>
          </w:tcPr>
          <w:p>
            <w:r>
              <w:rPr>
                <w:color w:val="202020"/>
                <w:sz w:val="19"/>
              </w:rPr>
              <w:t>—</w:t>
            </w:r>
          </w:p>
        </w:tc>
        <w:tc>
          <w:tcPr>
            <w:tcW w:type="dxa" w:w="880"/>
          </w:tcPr>
          <w:p>
            <w:r>
              <w:rPr>
                <w:color w:val="202020"/>
                <w:sz w:val="19"/>
              </w:rPr>
              <w:t>●</w:t>
            </w:r>
          </w:p>
        </w:tc>
      </w:tr>
      <w:tr>
        <w:tc>
          <w:tcPr>
            <w:tcW w:type="dxa" w:w="760"/>
            <w:shd w:val="clear" w:color="auto" w:fill="F7F9FC"/>
          </w:tcPr>
          <w:p>
            <w:r>
              <w:rPr>
                <w:color w:val="202020"/>
                <w:sz w:val="19"/>
              </w:rPr>
              <w:t>G14</w:t>
            </w:r>
          </w:p>
        </w:tc>
        <w:tc>
          <w:tcPr>
            <w:tcW w:type="dxa" w:w="4200"/>
            <w:shd w:val="clear" w:color="auto" w:fill="F7F9FC"/>
          </w:tcPr>
          <w:p>
            <w:r>
              <w:rPr>
                <w:color w:val="202020"/>
                <w:sz w:val="19"/>
              </w:rPr>
              <w:t>Data lineage (Atlas)</w:t>
            </w:r>
          </w:p>
        </w:tc>
        <w:tc>
          <w:tcPr>
            <w:tcW w:type="dxa" w:w="880"/>
            <w:shd w:val="clear" w:color="auto" w:fill="F7F9FC"/>
          </w:tcPr>
          <w:p>
            <w:r>
              <w:rPr>
                <w:color w:val="202020"/>
                <w:sz w:val="19"/>
              </w:rPr>
              <w:t>◐</w:t>
            </w:r>
          </w:p>
        </w:tc>
        <w:tc>
          <w:tcPr>
            <w:tcW w:type="dxa" w:w="880"/>
            <w:shd w:val="clear" w:color="auto" w:fill="F7F9FC"/>
          </w:tcPr>
          <w:p>
            <w:r>
              <w:rPr>
                <w:color w:val="202020"/>
                <w:sz w:val="19"/>
              </w:rPr>
              <w:t>◐</w:t>
            </w:r>
          </w:p>
        </w:tc>
        <w:tc>
          <w:tcPr>
            <w:tcW w:type="dxa" w:w="880"/>
            <w:shd w:val="clear" w:color="auto" w:fill="F7F9FC"/>
          </w:tcPr>
          <w:p>
            <w:r>
              <w:rPr>
                <w:color w:val="202020"/>
                <w:sz w:val="19"/>
              </w:rPr>
              <w:t>◐</w:t>
            </w:r>
          </w:p>
        </w:tc>
        <w:tc>
          <w:tcPr>
            <w:tcW w:type="dxa" w:w="880"/>
            <w:shd w:val="clear" w:color="auto" w:fill="F7F9FC"/>
          </w:tcPr>
          <w:p>
            <w:r>
              <w:rPr>
                <w:color w:val="202020"/>
                <w:sz w:val="19"/>
              </w:rPr>
              <w:t>◐</w:t>
            </w:r>
          </w:p>
        </w:tc>
        <w:tc>
          <w:tcPr>
            <w:tcW w:type="dxa" w:w="880"/>
            <w:shd w:val="clear" w:color="auto" w:fill="F7F9FC"/>
          </w:tcPr>
          <w:p>
            <w:r>
              <w:rPr>
                <w:color w:val="202020"/>
                <w:sz w:val="19"/>
              </w:rPr>
              <w:t>●</w:t>
            </w:r>
          </w:p>
        </w:tc>
      </w:tr>
      <w:tr>
        <w:tc>
          <w:tcPr>
            <w:tcW w:type="dxa" w:w="760"/>
          </w:tcPr>
          <w:p>
            <w:r>
              <w:rPr>
                <w:color w:val="202020"/>
                <w:sz w:val="19"/>
              </w:rPr>
              <w:t>G15</w:t>
            </w:r>
          </w:p>
        </w:tc>
        <w:tc>
          <w:tcPr>
            <w:tcW w:type="dxa" w:w="4200"/>
          </w:tcPr>
          <w:p>
            <w:r>
              <w:rPr>
                <w:color w:val="202020"/>
                <w:sz w:val="19"/>
              </w:rPr>
              <w:t>Bulk API / Change Data Capture</w:t>
            </w:r>
          </w:p>
        </w:tc>
        <w:tc>
          <w:tcPr>
            <w:tcW w:type="dxa" w:w="880"/>
          </w:tcPr>
          <w:p>
            <w:r>
              <w:rPr>
                <w:color w:val="202020"/>
                <w:sz w:val="19"/>
              </w:rPr>
              <w:t>◐</w:t>
            </w:r>
          </w:p>
        </w:tc>
        <w:tc>
          <w:tcPr>
            <w:tcW w:type="dxa" w:w="880"/>
          </w:tcPr>
          <w:p>
            <w:r>
              <w:rPr>
                <w:color w:val="202020"/>
                <w:sz w:val="19"/>
              </w:rPr>
              <w:t>—</w:t>
            </w:r>
          </w:p>
        </w:tc>
        <w:tc>
          <w:tcPr>
            <w:tcW w:type="dxa" w:w="880"/>
          </w:tcPr>
          <w:p>
            <w:r>
              <w:rPr>
                <w:color w:val="202020"/>
                <w:sz w:val="19"/>
              </w:rPr>
              <w:t>—</w:t>
            </w:r>
          </w:p>
        </w:tc>
        <w:tc>
          <w:tcPr>
            <w:tcW w:type="dxa" w:w="880"/>
          </w:tcPr>
          <w:p>
            <w:r>
              <w:rPr>
                <w:color w:val="202020"/>
                <w:sz w:val="19"/>
              </w:rPr>
              <w:t>—</w:t>
            </w:r>
          </w:p>
        </w:tc>
        <w:tc>
          <w:tcPr>
            <w:tcW w:type="dxa" w:w="880"/>
          </w:tcPr>
          <w:p>
            <w:r>
              <w:rPr>
                <w:color w:val="202020"/>
                <w:sz w:val="19"/>
              </w:rPr>
              <w:t>—</w:t>
            </w:r>
          </w:p>
        </w:tc>
      </w:tr>
      <w:tr>
        <w:tc>
          <w:tcPr>
            <w:tcW w:type="dxa" w:w="760"/>
            <w:shd w:val="clear" w:color="auto" w:fill="F7F9FC"/>
          </w:tcPr>
          <w:p>
            <w:r>
              <w:rPr>
                <w:color w:val="202020"/>
                <w:sz w:val="19"/>
              </w:rPr>
              <w:t>G16</w:t>
            </w:r>
          </w:p>
        </w:tc>
        <w:tc>
          <w:tcPr>
            <w:tcW w:type="dxa" w:w="4200"/>
            <w:shd w:val="clear" w:color="auto" w:fill="F7F9FC"/>
          </w:tcPr>
          <w:p>
            <w:r>
              <w:rPr>
                <w:color w:val="202020"/>
                <w:sz w:val="19"/>
              </w:rPr>
              <w:t>Dependency / relationship graph</w:t>
            </w:r>
          </w:p>
        </w:tc>
        <w:tc>
          <w:tcPr>
            <w:tcW w:type="dxa" w:w="880"/>
            <w:shd w:val="clear" w:color="auto" w:fill="F7F9FC"/>
          </w:tcPr>
          <w:p>
            <w:r>
              <w:rPr>
                <w:color w:val="202020"/>
                <w:sz w:val="19"/>
              </w:rPr>
              <w:t>—</w:t>
            </w:r>
          </w:p>
        </w:tc>
        <w:tc>
          <w:tcPr>
            <w:tcW w:type="dxa" w:w="880"/>
            <w:shd w:val="clear" w:color="auto" w:fill="F7F9FC"/>
          </w:tcPr>
          <w:p>
            <w:r>
              <w:rPr>
                <w:color w:val="202020"/>
                <w:sz w:val="19"/>
              </w:rPr>
              <w:t>●</w:t>
            </w:r>
          </w:p>
        </w:tc>
        <w:tc>
          <w:tcPr>
            <w:tcW w:type="dxa" w:w="880"/>
            <w:shd w:val="clear" w:color="auto" w:fill="F7F9FC"/>
          </w:tcPr>
          <w:p>
            <w:r>
              <w:rPr>
                <w:color w:val="202020"/>
                <w:sz w:val="19"/>
              </w:rPr>
              <w:t>—</w:t>
            </w:r>
          </w:p>
        </w:tc>
        <w:tc>
          <w:tcPr>
            <w:tcW w:type="dxa" w:w="880"/>
            <w:shd w:val="clear" w:color="auto" w:fill="F7F9FC"/>
          </w:tcPr>
          <w:p>
            <w:r>
              <w:rPr>
                <w:color w:val="202020"/>
                <w:sz w:val="19"/>
              </w:rPr>
              <w:t>—</w:t>
            </w:r>
          </w:p>
        </w:tc>
        <w:tc>
          <w:tcPr>
            <w:tcW w:type="dxa" w:w="880"/>
            <w:shd w:val="clear" w:color="auto" w:fill="F7F9FC"/>
          </w:tcPr>
          <w:p>
            <w:r>
              <w:rPr>
                <w:color w:val="202020"/>
                <w:sz w:val="19"/>
              </w:rPr>
              <w:t>—</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color w:val="202020"/>
                <w:sz w:val="20"/>
              </w:rPr>
              <w:t>● applies · ◐ applies conditionally (G1 on Clarizen, Seismic and Altrata, which ship a ContentGate stage that is off unless CONTENT_GATE is set; G2 on Salesforce, where enforcement is on by default and only the documented residual limits remain; G14 partially met by correlation ids; G15 only if live Salesforce is reinstated) · — not applicable.</w:t>
            </w:r>
          </w:p>
        </w:tc>
      </w:tr>
    </w:tbl>
    <w:p>
      <w:pPr>
        <w:spacing w:after="40"/>
      </w:pPr>
    </w:p>
    <w:p>
      <w:pPr>
        <w:pStyle w:val="Heading1"/>
      </w:pPr>
      <w:r>
        <w:rPr>
          <w:color w:val="1F3864"/>
        </w:rPr>
        <w:t>9. Recommended sequencing</w:t>
      </w:r>
    </w:p>
    <w:p>
      <w:pPr>
        <w:pStyle w:val="ListNumber"/>
        <w:spacing w:after="40"/>
      </w:pPr>
      <w:r>
        <w:rPr>
          <w:b/>
          <w:color w:val="202020"/>
        </w:rPr>
        <w:t>Before the pilot goes to production:</w:t>
      </w:r>
      <w:r>
        <w:rPr>
          <w:color w:val="202020"/>
        </w:rPr>
        <w:t xml:space="preserve"> G1 (scanning — Salesforce and Hadoop BDH have none, and the gate the other three ship is inert until CONTENT_GATE is set), G2 (the Hadoop BDH column restrictions; the Salesforce half is closed) and G4 (Kerberos, if Hadoop is in the pilot wave). What is left of G1 and G2 are exposures that exist the moment content is indexed; G4 prevents onboarding altogether.</w:t>
      </w:r>
    </w:p>
    <w:p>
      <w:pPr>
        <w:pStyle w:val="ListNumber"/>
        <w:spacing w:after="40"/>
      </w:pPr>
      <w:r>
        <w:rPr>
          <w:b/>
          <w:color w:val="202020"/>
        </w:rPr>
        <w:t>Validate, then decide:</w:t>
      </w:r>
      <w:r>
        <w:rPr>
          <w:color w:val="202020"/>
        </w:rPr>
        <w:t xml:space="preserve"> G5 — establish with Microsoft what Purview labelling and DLP actually support on Graph external items </w:t>
      </w:r>
      <w:r>
        <w:rPr>
          <w:b/>
          <w:color w:val="202020"/>
        </w:rPr>
        <w:t>before</w:t>
      </w:r>
      <w:r>
        <w:rPr>
          <w:color w:val="202020"/>
        </w:rPr>
        <w:t xml:space="preserve"> funding the work. If unsupported, adopt </w:t>
      </w:r>
      <w:r>
        <w:rPr>
          <w:rFonts w:ascii="Consolas" w:hAnsi="Consolas"/>
          <w:color w:val="202020"/>
          <w:sz w:val="19"/>
        </w:rPr>
        <w:t>CLASSIFICATION_ENFORCE_ACL</w:t>
      </w:r>
      <w:r>
        <w:rPr>
          <w:color w:val="202020"/>
        </w:rPr>
        <w:t xml:space="preserve"> as the control of record and say so in the control mapping.</w:t>
      </w:r>
    </w:p>
    <w:p>
      <w:pPr>
        <w:pStyle w:val="ListNumber"/>
        <w:spacing w:after="40"/>
      </w:pPr>
      <w:r>
        <w:rPr>
          <w:b/>
          <w:color w:val="202020"/>
        </w:rPr>
        <w:t>Alongside wave 2:</w:t>
      </w:r>
      <w:r>
        <w:rPr>
          <w:color w:val="202020"/>
        </w:rPr>
        <w:t xml:space="preserve"> G3 with G13 (Ranger needs column metadata), G7 (small, unblocks the cryptography assertion) and G6 (immutable evidence storage).</w:t>
      </w:r>
    </w:p>
    <w:p>
      <w:pPr>
        <w:pStyle w:val="ListNumber"/>
        <w:spacing w:after="40"/>
      </w:pPr>
      <w:r>
        <w:rPr>
          <w:b/>
          <w:color w:val="202020"/>
        </w:rPr>
        <w:t>Decide explicitly at the Architecture Review Board:</w:t>
      </w:r>
      <w:r>
        <w:rPr>
          <w:color w:val="202020"/>
        </w:rPr>
        <w:t xml:space="preserve"> G9 — single-region with fast rebuild plus protected Altrata state, versus full multi-region. Cost both; do not let the answer emerge by omission.</w:t>
      </w:r>
    </w:p>
    <w:p>
      <w:pPr>
        <w:pStyle w:val="ListNumber"/>
        <w:spacing w:after="40"/>
      </w:pPr>
      <w:r>
        <w:rPr>
          <w:b/>
          <w:color w:val="202020"/>
        </w:rPr>
        <w:t>Decide with the licensing owner:</w:t>
      </w:r>
      <w:r>
        <w:rPr>
          <w:color w:val="202020"/>
        </w:rPr>
        <w:t xml:space="preserve"> G8 — whether entitlement freshness is met by a shortened re-ACL cadence or by an agent-layer check, given per-call re-evaluation is not achievable.</w:t>
      </w:r>
    </w:p>
    <w:p>
      <w:pPr>
        <w:pStyle w:val="ListNumber"/>
        <w:spacing w:after="40"/>
      </w:pPr>
      <w:r>
        <w:rPr>
          <w:b/>
          <w:color w:val="202020"/>
        </w:rPr>
        <w:t>After the pilot:</w:t>
      </w:r>
      <w:r>
        <w:rPr>
          <w:color w:val="202020"/>
        </w:rPr>
        <w:t xml:space="preserve"> G10 to G16, sequenced by the programme plan's Phase 4 and beyond.</w:t>
      </w:r>
    </w:p>
    <w:tbl>
      <w:tblPr>
        <w:tblW w:type="auto" w:w="0"/>
        <w:tblLayout w:type="fixed"/>
        <w:tblLook w:firstColumn="1" w:firstRow="1" w:lastColumn="0" w:lastRow="0" w:noHBand="0" w:noVBand="1" w:val="04A0"/>
      </w:tblPr>
      <w:tblGrid>
        <w:gridCol w:w="9360"/>
      </w:tblGrid>
      <w:tr>
        <w:tc>
          <w:tcPr>
            <w:tcW w:type="dxa" w:w="9360"/>
            <w:shd w:val="clear" w:color="auto" w:fill="F0EAF7"/>
            <w:tcBorders>
              <w:top w:val="single" w:sz="4" w:space="0" w:color="6A3D9A"/>
              <w:left w:val="single" w:sz="24" w:space="0" w:color="6A3D9A"/>
              <w:bottom w:val="single" w:sz="4" w:space="0" w:color="6A3D9A"/>
              <w:right w:val="single" w:sz="4" w:space="0" w:color="6A3D9A"/>
            </w:tcBorders>
          </w:tcPr>
          <w:p>
            <w:r>
              <w:rPr>
                <w:b/>
                <w:color w:val="6A3D9A"/>
              </w:rPr>
              <w:t xml:space="preserve">Information to request: </w:t>
            </w:r>
            <w:r>
              <w:rPr>
                <w:color w:val="202020"/>
                <w:sz w:val="20"/>
              </w:rPr>
              <w:t>Sponsor decisions required to close this assessment: the malware-scanning integration contract (G1); the Knox/Kerberos position for Hadoop (G4); Microsoft's current Purview support for external items (G5); the availability tier and its cost (G9); and the Altrata entitlement-freshness approach (G8).</w:t>
            </w:r>
          </w:p>
        </w:tc>
      </w:tr>
    </w:tbl>
    <w:p>
      <w:pPr>
        <w:spacing w:after="40"/>
      </w:pPr>
    </w:p>
    <w:p>
      <w:pPr>
        <w:pStyle w:val="Heading1"/>
      </w:pPr>
      <w:r>
        <w:rPr>
          <w:color w:val="1F3864"/>
        </w:rPr>
        <w:t>10. Glossary</w:t>
      </w:r>
    </w:p>
    <w:p>
      <w:pPr>
        <w:spacing w:after="200"/>
      </w:pPr>
      <w:r>
        <w:rPr>
          <w:color w:val="595959"/>
          <w:sz w:val="23"/>
        </w:rPr>
        <w:t>Terms used in this assessment. Shared connector concepts are defined in the Tenant &amp; Common Concepts Guide (CONN-DOC-COMMON-01).</w:t>
      </w:r>
    </w:p>
    <w:p>
      <w:pPr>
        <w:spacing w:after="20"/>
        <w:keepNext/>
      </w:pPr>
      <w:r>
        <w:rPr>
          <w:b/>
          <w:color w:val="1F3864"/>
          <w:sz w:val="22"/>
        </w:rPr>
        <w:t>Indirect prompt injection</w:t>
      </w:r>
    </w:p>
    <w:p>
      <w:pPr>
        <w:spacing w:after="20"/>
        <w:ind w:left="240"/>
      </w:pPr>
      <w:r>
        <w:rPr>
          <w:b/>
          <w:color w:val="595959"/>
          <w:sz w:val="19"/>
        </w:rPr>
        <w:t xml:space="preserve">What it is  </w:t>
      </w:r>
      <w:r>
        <w:rPr>
          <w:color w:val="202020"/>
          <w:sz w:val="20"/>
        </w:rPr>
        <w:t>Instructions hidden inside content that a system ingests, which the language model then treats as direction rather than as data.</w:t>
      </w:r>
    </w:p>
    <w:p>
      <w:pPr>
        <w:spacing w:after="160"/>
        <w:ind w:left="240"/>
      </w:pPr>
      <w:r>
        <w:rPr>
          <w:b/>
          <w:color w:val="595959"/>
          <w:sz w:val="19"/>
        </w:rPr>
        <w:t xml:space="preserve">Why it matters  </w:t>
      </w:r>
      <w:r>
        <w:rPr>
          <w:color w:val="202020"/>
          <w:sz w:val="20"/>
        </w:rPr>
        <w:t>It is the risk this platform uniquely introduces: the connector faithfully indexes an attacker's document, and Copilot grounds an answer on it for an entirely different user.</w:t>
      </w:r>
    </w:p>
    <w:p>
      <w:pPr>
        <w:spacing w:after="20"/>
        <w:keepNext/>
      </w:pPr>
      <w:r>
        <w:rPr>
          <w:b/>
          <w:color w:val="1F3864"/>
          <w:sz w:val="22"/>
        </w:rPr>
        <w:t>Field-level security (FLS)</w:t>
      </w:r>
    </w:p>
    <w:p>
      <w:pPr>
        <w:spacing w:after="20"/>
        <w:ind w:left="240"/>
      </w:pPr>
      <w:r>
        <w:rPr>
          <w:b/>
          <w:color w:val="595959"/>
          <w:sz w:val="19"/>
        </w:rPr>
        <w:t xml:space="preserve">What it is  </w:t>
      </w:r>
      <w:r>
        <w:rPr>
          <w:color w:val="202020"/>
          <w:sz w:val="20"/>
        </w:rPr>
        <w:t>A Salesforce control that hides individual fields from a user even on records they are otherwise permitted to see.</w:t>
      </w:r>
    </w:p>
    <w:p>
      <w:pPr>
        <w:spacing w:after="160"/>
        <w:ind w:left="240"/>
      </w:pPr>
      <w:r>
        <w:rPr>
          <w:b/>
          <w:color w:val="595959"/>
          <w:sz w:val="19"/>
        </w:rPr>
        <w:t xml:space="preserve">Why it matters  </w:t>
      </w:r>
      <w:r>
        <w:rPr>
          <w:color w:val="202020"/>
          <w:sz w:val="20"/>
        </w:rPr>
        <w:t>Record-level sharing alone is not sufficient — without FLS the index can expose restricted fields on permitted records, which is invisible until someone asks Copilot the right question.</w:t>
      </w:r>
    </w:p>
    <w:p>
      <w:pPr>
        <w:spacing w:after="20"/>
        <w:keepNext/>
      </w:pPr>
      <w:r>
        <w:rPr>
          <w:b/>
          <w:color w:val="1F3864"/>
          <w:sz w:val="22"/>
        </w:rPr>
        <w:t>Apache Ranger</w:t>
      </w:r>
    </w:p>
    <w:p>
      <w:pPr>
        <w:spacing w:after="20"/>
        <w:ind w:left="240"/>
      </w:pPr>
      <w:r>
        <w:rPr>
          <w:b/>
          <w:color w:val="595959"/>
          <w:sz w:val="19"/>
        </w:rPr>
        <w:t xml:space="preserve">What it is  </w:t>
      </w:r>
      <w:r>
        <w:rPr>
          <w:color w:val="202020"/>
          <w:sz w:val="20"/>
        </w:rPr>
        <w:t>The policy engine that expresses row-, column- and file-level authorisation across a Hadoop estate.</w:t>
      </w:r>
    </w:p>
    <w:p>
      <w:pPr>
        <w:spacing w:after="160"/>
        <w:ind w:left="240"/>
      </w:pPr>
      <w:r>
        <w:rPr>
          <w:b/>
          <w:color w:val="595959"/>
          <w:sz w:val="19"/>
        </w:rPr>
        <w:t xml:space="preserve">Why it matters  </w:t>
      </w:r>
      <w:r>
        <w:rPr>
          <w:color w:val="202020"/>
          <w:sz w:val="20"/>
        </w:rPr>
        <w:t>It is the only place the cluster's real access rules live; without reading it the connector must fall back to coarse owner/group ACLs that cannot represent them.</w:t>
      </w:r>
    </w:p>
    <w:p>
      <w:pPr>
        <w:spacing w:after="20"/>
        <w:keepNext/>
      </w:pPr>
      <w:r>
        <w:rPr>
          <w:b/>
          <w:color w:val="1F3864"/>
          <w:sz w:val="22"/>
        </w:rPr>
        <w:t>Kerberos / SPNEGO, keytab</w:t>
      </w:r>
    </w:p>
    <w:p>
      <w:pPr>
        <w:spacing w:after="20"/>
        <w:ind w:left="240"/>
      </w:pPr>
      <w:r>
        <w:rPr>
          <w:b/>
          <w:color w:val="595959"/>
          <w:sz w:val="19"/>
        </w:rPr>
        <w:t xml:space="preserve">What it is  </w:t>
      </w:r>
      <w:r>
        <w:rPr>
          <w:color w:val="202020"/>
          <w:sz w:val="20"/>
        </w:rPr>
        <w:t>The authentication protocol used by Hadoop clusters, and the credential file allowing a service to obtain tickets without a human.</w:t>
      </w:r>
    </w:p>
    <w:p>
      <w:pPr>
        <w:spacing w:after="160"/>
        <w:ind w:left="240"/>
      </w:pPr>
      <w:r>
        <w:rPr>
          <w:b/>
          <w:color w:val="595959"/>
          <w:sz w:val="19"/>
        </w:rPr>
        <w:t xml:space="preserve">Why it matters  </w:t>
      </w:r>
      <w:r>
        <w:rPr>
          <w:color w:val="202020"/>
          <w:sz w:val="20"/>
        </w:rPr>
        <w:t>Regulated clusters normally refuse simple authentication, so this is what determines whether the connector can be onboarded at all.</w:t>
      </w:r>
    </w:p>
    <w:p>
      <w:pPr>
        <w:spacing w:after="20"/>
        <w:keepNext/>
      </w:pPr>
      <w:r>
        <w:rPr>
          <w:b/>
          <w:color w:val="1F3864"/>
          <w:sz w:val="22"/>
        </w:rPr>
        <w:t>Advisory classification tag vs. Purview label</w:t>
      </w:r>
    </w:p>
    <w:p>
      <w:pPr>
        <w:spacing w:after="20"/>
        <w:ind w:left="240"/>
      </w:pPr>
      <w:r>
        <w:rPr>
          <w:b/>
          <w:color w:val="595959"/>
          <w:sz w:val="19"/>
        </w:rPr>
        <w:t xml:space="preserve">What it is  </w:t>
      </w:r>
      <w:r>
        <w:rPr>
          <w:color w:val="202020"/>
          <w:sz w:val="20"/>
        </w:rPr>
        <w:t>The connector applies its own sensitivity tag; a Microsoft Purview label is a tenant-governed label carrying encryption and DLP enforcement.</w:t>
      </w:r>
    </w:p>
    <w:p>
      <w:pPr>
        <w:spacing w:after="160"/>
        <w:ind w:left="240"/>
      </w:pPr>
      <w:r>
        <w:rPr>
          <w:b/>
          <w:color w:val="595959"/>
          <w:sz w:val="19"/>
        </w:rPr>
        <w:t xml:space="preserve">Why it matters  </w:t>
      </w:r>
      <w:r>
        <w:rPr>
          <w:color w:val="202020"/>
          <w:sz w:val="20"/>
        </w:rPr>
        <w:t>The distinction is the difference between metadata that describes risk and a control that acts on it — conflating them creates false assurance in an audit.</w:t>
      </w:r>
    </w:p>
    <w:p>
      <w:pPr>
        <w:spacing w:after="20"/>
        <w:keepNext/>
      </w:pPr>
      <w:r>
        <w:rPr>
          <w:b/>
          <w:color w:val="1F3864"/>
          <w:sz w:val="22"/>
        </w:rPr>
        <w:t>WORM / immutable storage</w:t>
      </w:r>
    </w:p>
    <w:p>
      <w:pPr>
        <w:spacing w:after="20"/>
        <w:ind w:left="240"/>
      </w:pPr>
      <w:r>
        <w:rPr>
          <w:b/>
          <w:color w:val="595959"/>
          <w:sz w:val="19"/>
        </w:rPr>
        <w:t xml:space="preserve">What it is  </w:t>
      </w:r>
      <w:r>
        <w:rPr>
          <w:color w:val="202020"/>
          <w:sz w:val="20"/>
        </w:rPr>
        <w:t>Write-once storage with a retention lock that prevents deletion or alteration, including by an administrator.</w:t>
      </w:r>
    </w:p>
    <w:p>
      <w:pPr>
        <w:spacing w:after="160"/>
        <w:ind w:left="240"/>
      </w:pPr>
      <w:r>
        <w:rPr>
          <w:b/>
          <w:color w:val="595959"/>
          <w:sz w:val="19"/>
        </w:rPr>
        <w:t xml:space="preserve">Why it matters  </w:t>
      </w:r>
      <w:r>
        <w:rPr>
          <w:color w:val="202020"/>
          <w:sz w:val="20"/>
        </w:rPr>
        <w:t>Hash chains prove tampering *happened*; immutable storage prevents it. Audit regimes increasingly expect the second, not only the first.</w:t>
      </w:r>
    </w:p>
    <w:p>
      <w:pPr>
        <w:spacing w:after="20"/>
        <w:keepNext/>
      </w:pPr>
      <w:r>
        <w:rPr>
          <w:b/>
          <w:color w:val="1F3864"/>
          <w:sz w:val="22"/>
        </w:rPr>
        <w:t>RPO and RTO</w:t>
      </w:r>
    </w:p>
    <w:p>
      <w:pPr>
        <w:spacing w:after="20"/>
        <w:ind w:left="240"/>
      </w:pPr>
      <w:r>
        <w:rPr>
          <w:b/>
          <w:color w:val="595959"/>
          <w:sz w:val="19"/>
        </w:rPr>
        <w:t xml:space="preserve">What it is  </w:t>
      </w:r>
      <w:r>
        <w:rPr>
          <w:color w:val="202020"/>
          <w:sz w:val="20"/>
        </w:rPr>
        <w:t>Recovery point objective — how much data may be lost; recovery time objective — how long recovery may take.</w:t>
      </w:r>
    </w:p>
    <w:p>
      <w:pPr>
        <w:spacing w:after="160"/>
        <w:ind w:left="240"/>
      </w:pPr>
      <w:r>
        <w:rPr>
          <w:b/>
          <w:color w:val="595959"/>
          <w:sz w:val="19"/>
        </w:rPr>
        <w:t xml:space="preserve">Why it matters  </w:t>
      </w:r>
      <w:r>
        <w:rPr>
          <w:color w:val="202020"/>
          <w:sz w:val="20"/>
        </w:rPr>
        <w:t>They set the disaster-recovery budget. Most connector state is re-crawlable, so the objectives bind only on the small set of state that cannot be rebuilt from the source.</w:t>
      </w:r>
    </w:p>
    <w:p>
      <w:pPr>
        <w:spacing w:after="20"/>
        <w:keepNext/>
      </w:pPr>
      <w:r>
        <w:rPr>
          <w:b/>
          <w:color w:val="1F3864"/>
          <w:sz w:val="22"/>
        </w:rPr>
        <w:t>ACL trimming</w:t>
      </w:r>
    </w:p>
    <w:p>
      <w:pPr>
        <w:spacing w:after="20"/>
        <w:ind w:left="240"/>
      </w:pPr>
      <w:r>
        <w:rPr>
          <w:b/>
          <w:color w:val="595959"/>
          <w:sz w:val="19"/>
        </w:rPr>
        <w:t xml:space="preserve">What it is  </w:t>
      </w:r>
      <w:r>
        <w:rPr>
          <w:color w:val="202020"/>
          <w:sz w:val="20"/>
        </w:rPr>
        <w:t>Applying each item's access control list at query time so results are filtered per user.</w:t>
      </w:r>
    </w:p>
    <w:p>
      <w:pPr>
        <w:spacing w:after="160"/>
        <w:ind w:left="240"/>
      </w:pPr>
      <w:r>
        <w:rPr>
          <w:b/>
          <w:color w:val="595959"/>
          <w:sz w:val="19"/>
        </w:rPr>
        <w:t xml:space="preserve">Why it matters  </w:t>
      </w:r>
      <w:r>
        <w:rPr>
          <w:color w:val="202020"/>
          <w:sz w:val="20"/>
        </w:rPr>
        <w:t>It is the mechanism by which Copilot inherits source-system permissions instead of re-implementing them — the platform's central design principle, and already delivered.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color w:val="595959"/>
        <w:sz w:val="16"/>
      </w:rPr>
      <w:t>Confidential — for internal deployment, monitoring &amp; support use</w:t>
    </w:r>
    <w:r>
      <w:rPr>
        <w:color w:val="595959"/>
        <w:sz w:val="16"/>
      </w:rPr>
      <w:tab/>
    </w:r>
    <w:r>
      <w:rPr>
        <w:color w:val="595959"/>
        <w:sz w:val="16"/>
      </w:rPr>
      <w:t xml:space="preserve">Page </w:t>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r>
    <w:r>
      <w:rPr>
        <w:color w:val="595959"/>
        <w:sz w:val="16"/>
      </w:rPr>
      <w:fldChar w:fldCharType="end"/>
    </w:r>
    <w:r>
      <w:rPr>
        <w:color w:val="595959"/>
        <w:sz w:val="16"/>
      </w:rPr>
      <w:t xml:space="preserve"> of </w:t>
    </w:r>
    <w:r>
      <w:rPr>
        <w:color w:val="595959"/>
        <w:sz w:val="16"/>
      </w:rPr>
      <w:fldChar w:fldCharType="begin"/>
    </w:r>
    <w:r>
      <w:rPr>
        <w:color w:val="595959"/>
        <w:sz w:val="16"/>
      </w:rPr>
      <w:instrText xml:space="preserve"> NUMPAGES </w:instrText>
    </w:r>
    <w:r>
      <w:rPr>
        <w:color w:val="595959"/>
        <w:sz w:val="16"/>
      </w:rPr>
      <w:fldChar w:fldCharType="separate"/>
    </w:r>
    <w:r>
      <w:rPr>
        <w:color w:val="595959"/>
        <w:sz w:val="16"/>
      </w:rPr>
    </w:r>
    <w:r>
      <w:rPr>
        <w:color w:val="595959"/>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2E5496"/>
      </w:pBdr>
    </w:pPr>
    <w:r>
      <w:rPr>
        <w:color w:val="595959"/>
        <w:sz w:val="16"/>
      </w:rPr>
      <w:t>Connector Platform — Gap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1F386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