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CONN-DOC-GAP-01</w:t>
      </w:r>
    </w:p>
    <w:p>
      <w:pPr>
        <w:jc w:val="left"/>
        <w:pBdr>
          <w:bottom w:val="single" w:sz="18" w:space="4" w:color="2E5496"/>
        </w:pBdr>
      </w:pPr>
      <w:r>
        <w:rPr>
          <w:b/>
          <w:color w:val="1F3864"/>
          <w:sz w:val="60"/>
        </w:rPr>
        <w:t>Connector Platform — Gap Analysis</w:t>
      </w:r>
    </w:p>
    <w:p>
      <w:pPr>
        <w:spacing w:after="480"/>
      </w:pPr>
      <w:r>
        <w:rPr>
          <w:color w:val="2E5496"/>
          <w:sz w:val="28"/>
        </w:rPr>
        <w:t>Feature Catalog target state vs. the delivered platform, with a prioritised closure plan</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Lead Architect &amp; Platform Owner</w:t>
            </w:r>
          </w:p>
        </w:tc>
      </w:tr>
      <w:tr>
        <w:tc>
          <w:tcPr>
            <w:tcW w:type="dxa" w:w="2600"/>
            <w:shd w:val="clear" w:color="auto" w:fill="EEF2F8"/>
          </w:tcPr>
          <w:p>
            <w:r>
              <w:rPr>
                <w:b/>
                <w:color w:val="1F3864"/>
                <w:sz w:val="20"/>
              </w:rPr>
              <w:t>Prepared for</w:t>
            </w:r>
          </w:p>
        </w:tc>
        <w:tc>
          <w:tcPr>
            <w:tcW w:type="dxa" w:w="6760"/>
          </w:tcPr>
          <w:p>
            <w:r>
              <w:rPr>
                <w:color w:val="202020"/>
                <w:sz w:val="20"/>
              </w:rPr>
              <w:t>Programme sponsor, InfoSec, Architecture Review Board</w:t>
            </w:r>
          </w:p>
        </w:tc>
      </w:tr>
      <w:tr>
        <w:tc>
          <w:tcPr>
            <w:tcW w:type="dxa" w:w="2600"/>
            <w:shd w:val="clear" w:color="auto" w:fill="EEF2F8"/>
          </w:tcPr>
          <w:p>
            <w:r>
              <w:rPr>
                <w:b/>
                <w:color w:val="1F3864"/>
                <w:sz w:val="20"/>
              </w:rPr>
              <w:t>Assessed against</w:t>
            </w:r>
          </w:p>
        </w:tc>
        <w:tc>
          <w:tcPr>
            <w:tcW w:type="dxa" w:w="6760"/>
          </w:tcPr>
          <w:p>
            <w:r>
              <w:rPr>
                <w:color w:val="202020"/>
                <w:sz w:val="20"/>
              </w:rPr>
              <w:t>Connector Platform Feature Catalog (Clouds Connected Ltd., 15 slides)</w:t>
            </w:r>
          </w:p>
        </w:tc>
      </w:tr>
      <w:tr>
        <w:tc>
          <w:tcPr>
            <w:tcW w:type="dxa" w:w="2600"/>
            <w:shd w:val="clear" w:color="auto" w:fill="EEF2F8"/>
          </w:tcPr>
          <w:p>
            <w:r>
              <w:rPr>
                <w:b/>
                <w:color w:val="1F3864"/>
                <w:sz w:val="20"/>
              </w:rPr>
              <w:t>Assessed platform</w:t>
            </w:r>
          </w:p>
        </w:tc>
        <w:tc>
          <w:tcPr>
            <w:tcW w:type="dxa" w:w="6760"/>
          </w:tcPr>
          <w:p>
            <w:r>
              <w:rPr>
                <w:color w:val="202020"/>
                <w:sz w:val="20"/>
              </w:rPr>
              <w:t>5 connectors · 572 C# files · 123,080 lines of code · 3,389 tests green</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19 July 2026</w:t>
            </w:r>
          </w:p>
        </w:tc>
      </w:tr>
      <w:tr>
        <w:tc>
          <w:tcPr>
            <w:tcW w:type="dxa" w:w="2600"/>
            <w:shd w:val="clear" w:color="auto" w:fill="EEF2F8"/>
          </w:tcPr>
          <w:p>
            <w:r>
              <w:rPr>
                <w:b/>
                <w:color w:val="1F3864"/>
                <w:sz w:val="20"/>
              </w:rPr>
              <w:t>Method</w:t>
            </w:r>
          </w:p>
        </w:tc>
        <w:tc>
          <w:tcPr>
            <w:tcW w:type="dxa" w:w="6760"/>
          </w:tcPr>
          <w:p>
            <w:r>
              <w:rPr>
                <w:color w:val="202020"/>
                <w:sz w:val="20"/>
              </w:rPr>
              <w:t>Capability-by-capability verification against source code, not questionnaire</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Purpose, scope and method</w:t>
      </w:r>
    </w:p>
    <w:p>
      <w:pPr>
        <w:spacing w:after="200"/>
      </w:pPr>
      <w:r>
        <w:rPr>
          <w:color w:val="595959"/>
          <w:sz w:val="23"/>
        </w:rPr>
        <w:t>This document compares the target capability set defined in the Connector Platform Feature Catalog against the platform as actually built, identifies every material gap, ranks the gaps by risk, and states — for each one — what must be implemented, which connectors it applies to, and the assumption behind the judgement. Where a catalogued capability is deliberately not being built, the justification is recorded rather than left silent.</w:t>
      </w:r>
    </w:p>
    <w:p>
      <w:pPr>
        <w:pStyle w:val="Heading3"/>
      </w:pPr>
      <w:r>
        <w:rPr>
          <w:color w:val="2E5496"/>
        </w:rPr>
        <w:t>What was assessed</w:t>
      </w:r>
    </w:p>
    <w:p>
      <w:pPr>
        <w:pStyle w:val="ListBullet"/>
        <w:spacing w:after="40"/>
      </w:pPr>
      <w:r>
        <w:rPr>
          <w:b/>
          <w:color w:val="202020"/>
        </w:rPr>
        <w:t>Target state:</w:t>
      </w:r>
      <w:r>
        <w:rPr>
          <w:color w:val="202020"/>
        </w:rPr>
        <w:t xml:space="preserve"> the Feature Catalog — reference architecture, seven ingestion modes, the six-stage connector pipeline, per-source requirements for Hadoop, Salesforce, Clarizen, Altrata and Seismic, Graph/Copilot integration, identity, data protection, compliance, availability, resilience, observability, and operations.</w:t>
      </w:r>
    </w:p>
    <w:p>
      <w:pPr>
        <w:pStyle w:val="ListBullet"/>
        <w:spacing w:after="40"/>
      </w:pPr>
      <w:r>
        <w:rPr>
          <w:b/>
          <w:color w:val="202020"/>
        </w:rPr>
        <w:t>Delivered state:</w:t>
      </w:r>
      <w:r>
        <w:rPr>
          <w:color w:val="202020"/>
        </w:rPr>
        <w:t xml:space="preserve"> the five production connectors (Salesforce, Clarizen, Seismic, Altrata, Hadoop BDH) — 572 C# files, 123,080 lines of code, 3,389 automated tests green, on a shared self-contained chassis.</w:t>
      </w:r>
    </w:p>
    <w:p>
      <w:pPr>
        <w:pStyle w:val="Heading3"/>
      </w:pPr>
      <w:r>
        <w:rPr>
          <w:color w:val="2E5496"/>
        </w:rPr>
        <w:t>How it was verified</w:t>
      </w:r>
    </w:p>
    <w:p>
      <w:pPr>
        <w:spacing w:after="120"/>
      </w:pPr>
      <w:r>
        <w:rPr>
          <w:color w:val="202020"/>
        </w:rPr>
        <w:t>Each catalogued capability was checked against the source tree — configuration schemas, connector code and tests — rather than assessed from documentation or recollection. Two findings materially changed the conclusions and are called out because they cut in opposite directions:</w:t>
      </w:r>
    </w:p>
    <w:p>
      <w:pPr>
        <w:pStyle w:val="ListBullet"/>
        <w:spacing w:after="40"/>
      </w:pPr>
      <w:r>
        <w:rPr>
          <w:b/>
          <w:color w:val="202020"/>
        </w:rPr>
        <w:t>Graph semantic labels are already populated</w:t>
      </w:r>
      <w:r>
        <w:rPr>
          <w:color w:val="202020"/>
        </w:rPr>
        <w:t xml:space="preserve"> and were wrongly assumed missing on first reading: Salesforce carries 15 labelled properties, Clarizen 6, Seismic 3, Altrata 2, Hadoop 3. This is </w:t>
      </w:r>
      <w:r>
        <w:rPr>
          <w:b/>
          <w:color w:val="202020"/>
        </w:rPr>
        <w:t>not</w:t>
      </w:r>
      <w:r>
        <w:rPr>
          <w:color w:val="202020"/>
        </w:rPr>
        <w:t xml:space="preserve"> a gap.</w:t>
      </w:r>
    </w:p>
    <w:p>
      <w:pPr>
        <w:pStyle w:val="ListBullet"/>
        <w:spacing w:after="40"/>
      </w:pPr>
      <w:r>
        <w:rPr>
          <w:b/>
          <w:color w:val="202020"/>
        </w:rPr>
        <w:t>Apache Ranger is genuinely absent.</w:t>
      </w:r>
      <w:r>
        <w:rPr>
          <w:color w:val="202020"/>
        </w:rPr>
        <w:t xml:space="preserve"> Early text matches were the word "st</w:t>
      </w:r>
      <w:r>
        <w:rPr>
          <w:rFonts w:ascii="Consolas" w:hAnsi="Consolas"/>
          <w:color w:val="202020"/>
          <w:sz w:val="19"/>
        </w:rPr>
        <w:t>ranger</w:t>
      </w:r>
      <w:r>
        <w:rPr>
          <w:color w:val="202020"/>
        </w:rPr>
        <w:t xml:space="preserve">" inside certificate-validation tests, not Ranger integration. The Hadoop authorisation model is confirmed as </w:t>
      </w:r>
      <w:r>
        <w:rPr>
          <w:rFonts w:ascii="Consolas" w:hAnsi="Consolas"/>
          <w:color w:val="202020"/>
          <w:sz w:val="19"/>
        </w:rPr>
        <w:t>owner</w:t>
      </w:r>
      <w:r>
        <w:rPr>
          <w:color w:val="202020"/>
        </w:rPr>
        <w:t xml:space="preserve"> / </w:t>
      </w:r>
      <w:r>
        <w:rPr>
          <w:rFonts w:ascii="Consolas" w:hAnsi="Consolas"/>
          <w:color w:val="202020"/>
          <w:sz w:val="19"/>
        </w:rPr>
        <w:t>group</w:t>
      </w:r>
      <w:r>
        <w:rPr>
          <w:color w:val="202020"/>
        </w:rPr>
        <w:t xml:space="preserve"> / </w:t>
      </w:r>
      <w:r>
        <w:rPr>
          <w:rFonts w:ascii="Consolas" w:hAnsi="Consolas"/>
          <w:color w:val="202020"/>
          <w:sz w:val="19"/>
        </w:rPr>
        <w:t>public</w:t>
      </w:r>
      <w:r>
        <w:rPr>
          <w:color w:val="202020"/>
        </w:rPr>
        <w:t xml:space="preserve"> only.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Two of the catalogue's requirements are </w:t>
            </w:r>
            <w:r>
              <w:rPr>
                <w:b/>
                <w:color w:val="202020"/>
                <w:sz w:val="20"/>
              </w:rPr>
              <w:t>not achievable inside a Graph connector</w:t>
            </w:r>
            <w:r>
              <w:rPr>
                <w:color w:val="202020"/>
                <w:sz w:val="20"/>
              </w:rPr>
              <w:t xml:space="preserve"> and are recorded as architectural constraints rather than implementation shortfalls: per-grounding-call entitlement re-evaluation (§4.3) and query-time content-access audit (§4.1). Both need the agent layer or the Microsoft 365 audit pipeline, not connector code.</w:t>
            </w:r>
          </w:p>
        </w:tc>
      </w:tr>
    </w:tbl>
    <w:p>
      <w:pPr>
        <w:spacing w:after="40"/>
      </w:pPr>
    </w:p>
    <w:p>
      <w:pPr>
        <w:pStyle w:val="Heading3"/>
      </w:pPr>
      <w:r>
        <w:rPr>
          <w:color w:val="2E5496"/>
        </w:rPr>
        <w:t>How to read the priorities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900"/>
        <w:gridCol w:w="5060"/>
        <w:gridCol w:w="3400"/>
      </w:tblGrid>
      <w:tr>
        <w:tc>
          <w:tcPr>
            <w:tcW w:type="dxa" w:w="900"/>
            <w:shd w:val="clear" w:color="auto" w:fill="2E5496"/>
          </w:tcPr>
          <w:p>
            <w:r>
              <w:rPr>
                <w:b/>
                <w:color w:val="FFFFFF"/>
                <w:sz w:val="19"/>
              </w:rPr>
              <w:t>Priority</w:t>
            </w:r>
          </w:p>
        </w:tc>
        <w:tc>
          <w:tcPr>
            <w:tcW w:type="dxa" w:w="5060"/>
            <w:shd w:val="clear" w:color="auto" w:fill="2E5496"/>
          </w:tcPr>
          <w:p>
            <w:r>
              <w:rPr>
                <w:b/>
                <w:color w:val="FFFFFF"/>
                <w:sz w:val="19"/>
              </w:rPr>
              <w:t>Meaning</w:t>
            </w:r>
          </w:p>
        </w:tc>
        <w:tc>
          <w:tcPr>
            <w:tcW w:type="dxa" w:w="3400"/>
            <w:shd w:val="clear" w:color="auto" w:fill="2E5496"/>
          </w:tcPr>
          <w:p>
            <w:r>
              <w:rPr>
                <w:b/>
                <w:color w:val="FFFFFF"/>
                <w:sz w:val="19"/>
              </w:rPr>
              <w:t>Treatment</w:t>
            </w:r>
          </w:p>
        </w:tc>
      </w:tr>
      <w:tr>
        <w:tc>
          <w:tcPr>
            <w:tcW w:type="dxa" w:w="900"/>
          </w:tcPr>
          <w:p>
            <w:r>
              <w:rPr>
                <w:b/>
                <w:color w:val="202020"/>
                <w:sz w:val="19"/>
              </w:rPr>
              <w:t>P0</w:t>
            </w:r>
          </w:p>
        </w:tc>
        <w:tc>
          <w:tcPr>
            <w:tcW w:type="dxa" w:w="5060"/>
          </w:tcPr>
          <w:p>
            <w:r>
              <w:rPr>
                <w:color w:val="202020"/>
                <w:sz w:val="19"/>
              </w:rPr>
              <w:t>Blocks a regulated go-live: an active over-sharing exposure, a new AI-specific risk class, or a hard deployment blocker</w:t>
            </w:r>
          </w:p>
        </w:tc>
        <w:tc>
          <w:tcPr>
            <w:tcW w:type="dxa" w:w="3400"/>
          </w:tcPr>
          <w:p>
            <w:r>
              <w:rPr>
                <w:color w:val="202020"/>
                <w:sz w:val="19"/>
              </w:rPr>
              <w:t>Close before production</w:t>
            </w:r>
          </w:p>
        </w:tc>
      </w:tr>
      <w:tr>
        <w:tc>
          <w:tcPr>
            <w:tcW w:type="dxa" w:w="900"/>
            <w:shd w:val="clear" w:color="auto" w:fill="F7F9FC"/>
          </w:tcPr>
          <w:p>
            <w:r>
              <w:rPr>
                <w:b/>
                <w:color w:val="202020"/>
                <w:sz w:val="19"/>
              </w:rPr>
              <w:t>P1</w:t>
            </w:r>
          </w:p>
        </w:tc>
        <w:tc>
          <w:tcPr>
            <w:tcW w:type="dxa" w:w="5060"/>
            <w:shd w:val="clear" w:color="auto" w:fill="F7F9FC"/>
          </w:tcPr>
          <w:p>
            <w:r>
              <w:rPr>
                <w:color w:val="202020"/>
                <w:sz w:val="19"/>
              </w:rPr>
              <w:t>Regulatory or operational commitment that will be tested by audit or an incident</w:t>
            </w:r>
          </w:p>
        </w:tc>
        <w:tc>
          <w:tcPr>
            <w:tcW w:type="dxa" w:w="3400"/>
            <w:shd w:val="clear" w:color="auto" w:fill="F7F9FC"/>
          </w:tcPr>
          <w:p>
            <w:r>
              <w:rPr>
                <w:color w:val="202020"/>
                <w:sz w:val="19"/>
              </w:rPr>
              <w:t>Close within the programme</w:t>
            </w:r>
          </w:p>
        </w:tc>
      </w:tr>
      <w:tr>
        <w:tc>
          <w:tcPr>
            <w:tcW w:type="dxa" w:w="900"/>
          </w:tcPr>
          <w:p>
            <w:r>
              <w:rPr>
                <w:b/>
                <w:color w:val="202020"/>
                <w:sz w:val="19"/>
              </w:rPr>
              <w:t>P2</w:t>
            </w:r>
          </w:p>
        </w:tc>
        <w:tc>
          <w:tcPr>
            <w:tcW w:type="dxa" w:w="5060"/>
          </w:tcPr>
          <w:p>
            <w:r>
              <w:rPr>
                <w:color w:val="202020"/>
                <w:sz w:val="19"/>
              </w:rPr>
              <w:t>Platform-engineering maturity; valuable but not gating the first go-lives</w:t>
            </w:r>
          </w:p>
        </w:tc>
        <w:tc>
          <w:tcPr>
            <w:tcW w:type="dxa" w:w="3400"/>
          </w:tcPr>
          <w:p>
            <w:r>
              <w:rPr>
                <w:color w:val="202020"/>
                <w:sz w:val="19"/>
              </w:rPr>
              <w:t>Schedule after pilot</w:t>
            </w:r>
          </w:p>
        </w:tc>
      </w:tr>
      <w:tr>
        <w:tc>
          <w:tcPr>
            <w:tcW w:type="dxa" w:w="900"/>
            <w:shd w:val="clear" w:color="auto" w:fill="F7F9FC"/>
          </w:tcPr>
          <w:p>
            <w:r>
              <w:rPr>
                <w:b/>
                <w:color w:val="202020"/>
                <w:sz w:val="19"/>
              </w:rPr>
              <w:t>None</w:t>
            </w:r>
          </w:p>
        </w:tc>
        <w:tc>
          <w:tcPr>
            <w:tcW w:type="dxa" w:w="5060"/>
            <w:shd w:val="clear" w:color="auto" w:fill="F7F9FC"/>
          </w:tcPr>
          <w:p>
            <w:r>
              <w:rPr>
                <w:color w:val="202020"/>
                <w:sz w:val="19"/>
              </w:rPr>
              <w:t>Catalogued but deliberately not built, or already delivered</w:t>
            </w:r>
          </w:p>
        </w:tc>
        <w:tc>
          <w:tcPr>
            <w:tcW w:type="dxa" w:w="3400"/>
            <w:shd w:val="clear" w:color="auto" w:fill="F7F9FC"/>
          </w:tcPr>
          <w:p>
            <w:r>
              <w:rPr>
                <w:color w:val="202020"/>
                <w:sz w:val="19"/>
              </w:rPr>
              <w:t>Record the justification</w:t>
            </w:r>
          </w:p>
        </w:tc>
      </w:tr>
    </w:tbl>
    <w:p>
      <w:pPr>
        <w:spacing w:after="40"/>
      </w:pPr>
    </w:p>
    <w:p>
      <w:r>
        <w:br w:type="page"/>
      </w:r>
    </w:p>
    <w:p>
      <w:pPr>
        <w:pStyle w:val="Heading1"/>
      </w:pPr>
      <w:r>
        <w:rPr>
          <w:color w:val="1F3864"/>
        </w:rPr>
        <w:t>2. Executive summary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300"/>
        <w:gridCol w:w="900"/>
        <w:gridCol w:w="7160"/>
      </w:tblGrid>
      <w:tr>
        <w:tc>
          <w:tcPr>
            <w:tcW w:type="dxa" w:w="1300"/>
            <w:shd w:val="clear" w:color="auto" w:fill="2E5496"/>
          </w:tcPr>
          <w:p>
            <w:r>
              <w:rPr>
                <w:b/>
                <w:color w:val="FFFFFF"/>
                <w:sz w:val="19"/>
              </w:rPr>
              <w:t>Priority</w:t>
            </w:r>
          </w:p>
        </w:tc>
        <w:tc>
          <w:tcPr>
            <w:tcW w:type="dxa" w:w="900"/>
            <w:shd w:val="clear" w:color="auto" w:fill="2E5496"/>
          </w:tcPr>
          <w:p>
            <w:r>
              <w:rPr>
                <w:b/>
                <w:color w:val="FFFFFF"/>
                <w:sz w:val="19"/>
              </w:rPr>
              <w:t>Gaps</w:t>
            </w:r>
          </w:p>
        </w:tc>
        <w:tc>
          <w:tcPr>
            <w:tcW w:type="dxa" w:w="7160"/>
            <w:shd w:val="clear" w:color="auto" w:fill="2E5496"/>
          </w:tcPr>
          <w:p>
            <w:r>
              <w:rPr>
                <w:b/>
                <w:color w:val="FFFFFF"/>
                <w:sz w:val="19"/>
              </w:rPr>
              <w:t>Dominant theme</w:t>
            </w:r>
          </w:p>
        </w:tc>
      </w:tr>
      <w:tr>
        <w:tc>
          <w:tcPr>
            <w:tcW w:type="dxa" w:w="1300"/>
          </w:tcPr>
          <w:p>
            <w:r>
              <w:rPr>
                <w:color w:val="202020"/>
                <w:sz w:val="19"/>
              </w:rPr>
              <w:t>P0</w:t>
            </w:r>
          </w:p>
        </w:tc>
        <w:tc>
          <w:tcPr>
            <w:tcW w:type="dxa" w:w="900"/>
          </w:tcPr>
          <w:p>
            <w:r>
              <w:rPr>
                <w:color w:val="202020"/>
                <w:sz w:val="19"/>
              </w:rPr>
              <w:t>5</w:t>
            </w:r>
          </w:p>
        </w:tc>
        <w:tc>
          <w:tcPr>
            <w:tcW w:type="dxa" w:w="7160"/>
          </w:tcPr>
          <w:p>
            <w:r>
              <w:rPr>
                <w:color w:val="202020"/>
                <w:sz w:val="19"/>
              </w:rPr>
              <w:t>Content-borne AI risk, and access-control fidelity at two sources</w:t>
            </w:r>
          </w:p>
        </w:tc>
      </w:tr>
      <w:tr>
        <w:tc>
          <w:tcPr>
            <w:tcW w:type="dxa" w:w="1300"/>
            <w:shd w:val="clear" w:color="auto" w:fill="F7F9FC"/>
          </w:tcPr>
          <w:p>
            <w:r>
              <w:rPr>
                <w:color w:val="202020"/>
                <w:sz w:val="19"/>
              </w:rPr>
              <w:t>P1</w:t>
            </w:r>
          </w:p>
        </w:tc>
        <w:tc>
          <w:tcPr>
            <w:tcW w:type="dxa" w:w="900"/>
            <w:shd w:val="clear" w:color="auto" w:fill="F7F9FC"/>
          </w:tcPr>
          <w:p>
            <w:r>
              <w:rPr>
                <w:color w:val="202020"/>
                <w:sz w:val="19"/>
              </w:rPr>
              <w:t>4</w:t>
            </w:r>
          </w:p>
        </w:tc>
        <w:tc>
          <w:tcPr>
            <w:tcW w:type="dxa" w:w="7160"/>
            <w:shd w:val="clear" w:color="auto" w:fill="F7F9FC"/>
          </w:tcPr>
          <w:p>
            <w:r>
              <w:rPr>
                <w:color w:val="202020"/>
                <w:sz w:val="19"/>
              </w:rPr>
              <w:t>Evidence integrity, cryptographic posture, licensing enforcement, DR tier</w:t>
            </w:r>
          </w:p>
        </w:tc>
      </w:tr>
      <w:tr>
        <w:tc>
          <w:tcPr>
            <w:tcW w:type="dxa" w:w="1300"/>
          </w:tcPr>
          <w:p>
            <w:r>
              <w:rPr>
                <w:color w:val="202020"/>
                <w:sz w:val="19"/>
              </w:rPr>
              <w:t>P2</w:t>
            </w:r>
          </w:p>
        </w:tc>
        <w:tc>
          <w:tcPr>
            <w:tcW w:type="dxa" w:w="900"/>
          </w:tcPr>
          <w:p>
            <w:r>
              <w:rPr>
                <w:color w:val="202020"/>
                <w:sz w:val="19"/>
              </w:rPr>
              <w:t>7</w:t>
            </w:r>
          </w:p>
        </w:tc>
        <w:tc>
          <w:tcPr>
            <w:tcW w:type="dxa" w:w="7160"/>
          </w:tcPr>
          <w:p>
            <w:r>
              <w:rPr>
                <w:color w:val="202020"/>
                <w:sz w:val="19"/>
              </w:rPr>
              <w:t>Platform engineering: IaC, chaos, scaling, lineage, source-API depth</w:t>
            </w:r>
          </w:p>
        </w:tc>
      </w:tr>
      <w:tr>
        <w:tc>
          <w:tcPr>
            <w:tcW w:type="dxa" w:w="1300"/>
            <w:shd w:val="clear" w:color="auto" w:fill="F7F9FC"/>
          </w:tcPr>
          <w:p>
            <w:r>
              <w:rPr>
                <w:color w:val="202020"/>
                <w:sz w:val="19"/>
              </w:rPr>
              <w:t>Not needed</w:t>
            </w:r>
          </w:p>
        </w:tc>
        <w:tc>
          <w:tcPr>
            <w:tcW w:type="dxa" w:w="900"/>
            <w:shd w:val="clear" w:color="auto" w:fill="F7F9FC"/>
          </w:tcPr>
          <w:p>
            <w:r>
              <w:rPr>
                <w:color w:val="202020"/>
                <w:sz w:val="19"/>
              </w:rPr>
              <w:t>3 groups</w:t>
            </w:r>
          </w:p>
        </w:tc>
        <w:tc>
          <w:tcPr>
            <w:tcW w:type="dxa" w:w="7160"/>
            <w:shd w:val="clear" w:color="auto" w:fill="F7F9FC"/>
          </w:tcPr>
          <w:p>
            <w:r>
              <w:rPr>
                <w:color w:val="202020"/>
                <w:sz w:val="19"/>
              </w:rPr>
              <w:t>Identity/IGA controls owned by the bank; no service mesh; hashing over tokenisation</w:t>
            </w:r>
          </w:p>
        </w:tc>
      </w:tr>
      <w:tr>
        <w:tc>
          <w:tcPr>
            <w:tcW w:type="dxa" w:w="1300"/>
          </w:tcPr>
          <w:p>
            <w:r>
              <w:rPr>
                <w:color w:val="202020"/>
                <w:sz w:val="19"/>
              </w:rPr>
              <w:t>Already met</w:t>
            </w:r>
          </w:p>
        </w:tc>
        <w:tc>
          <w:tcPr>
            <w:tcW w:type="dxa" w:w="900"/>
          </w:tcPr>
          <w:p>
            <w:r>
              <w:rPr>
                <w:color w:val="202020"/>
                <w:sz w:val="19"/>
              </w:rPr>
              <w:t>11 capabilities</w:t>
            </w:r>
          </w:p>
        </w:tc>
        <w:tc>
          <w:tcPr>
            <w:tcW w:type="dxa" w:w="7160"/>
          </w:tcPr>
          <w:p>
            <w:r>
              <w:rPr>
                <w:color w:val="202020"/>
                <w:sz w:val="19"/>
              </w:rPr>
              <w:t>Pipeline, resilience, observability and supply-chain controls</w:t>
            </w:r>
          </w:p>
        </w:tc>
      </w:tr>
    </w:tbl>
    <w:p>
      <w:pPr>
        <w:spacing w:after="40"/>
      </w:pPr>
    </w:p>
    <w:p>
      <w:pPr>
        <w:pStyle w:val="Heading3"/>
      </w:pPr>
      <w:r>
        <w:rPr>
          <w:color w:val="2E5496"/>
        </w:rPr>
        <w:t>The three that matter most</w:t>
      </w:r>
    </w:p>
    <w:p>
      <w:pPr>
        <w:pStyle w:val="ListNumber"/>
        <w:spacing w:after="40"/>
      </w:pPr>
      <w:r>
        <w:rPr>
          <w:b/>
          <w:color w:val="202020"/>
        </w:rPr>
        <w:t>Prompt-injection and malware scanning (G1).</w:t>
      </w:r>
      <w:r>
        <w:rPr>
          <w:color w:val="202020"/>
        </w:rPr>
        <w:t xml:space="preserve"> The one genuinely new risk class this platform introduces. Ingested documents become Copilot grounding context, so a malicious file is an attack on every user who asks a related question. Nothing is implemented today.</w:t>
      </w:r>
    </w:p>
    <w:p>
      <w:pPr>
        <w:pStyle w:val="ListNumber"/>
        <w:spacing w:after="40"/>
      </w:pPr>
      <w:r>
        <w:rPr>
          <w:b/>
          <w:color w:val="202020"/>
        </w:rPr>
        <w:t>Access-control fidelity at Salesforce and Hadoop (G2, G3).</w:t>
      </w:r>
      <w:r>
        <w:rPr>
          <w:color w:val="202020"/>
        </w:rPr>
        <w:t xml:space="preserve"> Salesforce field-level security is unenforced and Hadoop authorisation is coarse. Both are live over-sharing exposures — the exact failure mode the platform's design principle promises to prevent.</w:t>
      </w:r>
    </w:p>
    <w:p>
      <w:pPr>
        <w:pStyle w:val="ListNumber"/>
        <w:spacing w:after="40"/>
      </w:pPr>
      <w:r>
        <w:rPr>
          <w:b/>
          <w:color w:val="202020"/>
        </w:rPr>
        <w:t>Hadoop Kerberos (G4).</w:t>
      </w:r>
      <w:r>
        <w:rPr>
          <w:color w:val="202020"/>
        </w:rPr>
        <w:t xml:space="preserve"> Not a refinement: most regulated Hadoop estates will not accept the current simple-auth/delegation-token model, so this blocks deployment outright.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platform's foundations are strong: ACL trimming, semantic labels, dead-letter and retry, circuit breakers, OpenTelemetry, signed artefacts and idempotent replay are all delivered and tested. The gaps concentrate in </w:t>
            </w:r>
            <w:r>
              <w:rPr>
                <w:b/>
                <w:color w:val="202020"/>
                <w:sz w:val="20"/>
              </w:rPr>
              <w:t>content-borne risk</w:t>
            </w:r>
            <w:r>
              <w:rPr>
                <w:color w:val="202020"/>
                <w:sz w:val="20"/>
              </w:rPr>
              <w:t xml:space="preserve">, </w:t>
            </w:r>
            <w:r>
              <w:rPr>
                <w:b/>
                <w:color w:val="202020"/>
                <w:sz w:val="20"/>
              </w:rPr>
              <w:t>source-side authorisation depth</w:t>
            </w:r>
            <w:r>
              <w:rPr>
                <w:color w:val="202020"/>
                <w:sz w:val="20"/>
              </w:rPr>
              <w:t xml:space="preserve">, and </w:t>
            </w:r>
            <w:r>
              <w:rPr>
                <w:b/>
                <w:color w:val="202020"/>
                <w:sz w:val="20"/>
              </w:rPr>
              <w:t>enterprise platform engineering</w:t>
            </w:r>
            <w:r>
              <w:rPr>
                <w:color w:val="202020"/>
                <w:sz w:val="20"/>
              </w:rPr>
              <w:t xml:space="preserve"> — not in the ingestion core.</w:t>
            </w:r>
          </w:p>
        </w:tc>
      </w:tr>
    </w:tbl>
    <w:p>
      <w:pPr>
        <w:spacing w:after="40"/>
      </w:pPr>
    </w:p>
    <w:p>
      <w:r>
        <w:br w:type="page"/>
      </w:r>
    </w:p>
    <w:p>
      <w:pPr>
        <w:pStyle w:val="Heading1"/>
      </w:pPr>
      <w:r>
        <w:rPr>
          <w:color w:val="1F3864"/>
        </w:rPr>
        <w:t>3. P0 — blocks a regulated go-live</w:t>
      </w:r>
    </w:p>
    <w:p>
      <w:pPr>
        <w:pStyle w:val="Heading2"/>
      </w:pPr>
      <w:r>
        <w:rPr>
          <w:color w:val="2E5496"/>
        </w:rPr>
        <w:t>3.1 G1 — Prompt-injection and malware scanning of ingested content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7460"/>
      </w:tblGrid>
      <w:tr>
        <w:tc>
          <w:tcPr>
            <w:tcW w:type="dxa" w:w="1900"/>
            <w:shd w:val="clear" w:color="auto" w:fill="2E5496"/>
          </w:tcPr>
          <w:p>
            <w:r>
              <w:rPr>
                <w:b/>
                <w:color w:val="FFFFFF"/>
                <w:sz w:val="19"/>
              </w:rPr>
              <w:t>Field</w:t>
            </w:r>
          </w:p>
        </w:tc>
        <w:tc>
          <w:tcPr>
            <w:tcW w:type="dxa" w:w="7460"/>
            <w:shd w:val="clear" w:color="auto" w:fill="2E5496"/>
          </w:tcPr>
          <w:p>
            <w:r>
              <w:rPr>
                <w:b/>
                <w:color w:val="FFFFFF"/>
                <w:sz w:val="19"/>
              </w:rPr>
              <w:t>Assessment</w:t>
            </w:r>
          </w:p>
        </w:tc>
      </w:tr>
      <w:tr>
        <w:tc>
          <w:tcPr>
            <w:tcW w:type="dxa" w:w="1900"/>
          </w:tcPr>
          <w:p>
            <w:r>
              <w:rPr>
                <w:color w:val="202020"/>
                <w:sz w:val="19"/>
              </w:rPr>
              <w:t>Applies to</w:t>
            </w:r>
          </w:p>
        </w:tc>
        <w:tc>
          <w:tcPr>
            <w:tcW w:type="dxa" w:w="7460"/>
          </w:tcPr>
          <w:p>
            <w:r>
              <w:rPr>
                <w:b/>
                <w:color w:val="202020"/>
                <w:sz w:val="19"/>
              </w:rPr>
              <w:t>All five connectors.</w:t>
            </w:r>
            <w:r>
              <w:rPr>
                <w:color w:val="202020"/>
                <w:sz w:val="19"/>
              </w:rPr>
              <w:t xml:space="preserve"> Most acute where free-form documents are ingested: Seismic (documents, pages, LiveDocs), Clarizen (attachments), Hadoop (free-text columns)</w:t>
            </w:r>
          </w:p>
        </w:tc>
      </w:tr>
      <w:tr>
        <w:tc>
          <w:tcPr>
            <w:tcW w:type="dxa" w:w="1900"/>
            <w:shd w:val="clear" w:color="auto" w:fill="F7F9FC"/>
          </w:tcPr>
          <w:p>
            <w:r>
              <w:rPr>
                <w:color w:val="202020"/>
                <w:sz w:val="19"/>
              </w:rPr>
              <w:t>Catalogue requirement</w:t>
            </w:r>
          </w:p>
        </w:tc>
        <w:tc>
          <w:tcPr>
            <w:tcW w:type="dxa" w:w="7460"/>
            <w:shd w:val="clear" w:color="auto" w:fill="F7F9FC"/>
          </w:tcPr>
          <w:p>
            <w:r>
              <w:rPr>
                <w:color w:val="202020"/>
                <w:sz w:val="19"/>
              </w:rPr>
              <w:t>"Ingested content inspected for embedded instructions and malicious payloads before indexing"</w:t>
            </w:r>
          </w:p>
        </w:tc>
      </w:tr>
      <w:tr>
        <w:tc>
          <w:tcPr>
            <w:tcW w:type="dxa" w:w="1900"/>
          </w:tcPr>
          <w:p>
            <w:r>
              <w:rPr>
                <w:color w:val="202020"/>
                <w:sz w:val="19"/>
              </w:rPr>
              <w:t>Current state</w:t>
            </w:r>
          </w:p>
        </w:tc>
        <w:tc>
          <w:tcPr>
            <w:tcW w:type="dxa" w:w="7460"/>
          </w:tcPr>
          <w:p>
            <w:r>
              <w:rPr>
                <w:b/>
                <w:color w:val="202020"/>
                <w:sz w:val="19"/>
              </w:rPr>
              <w:t>Not implemented.</w:t>
            </w:r>
            <w:r>
              <w:rPr>
                <w:color w:val="202020"/>
                <w:sz w:val="19"/>
              </w:rPr>
              <w:t xml:space="preserve"> No scanning of any kind exists in the pipeline</w:t>
            </w:r>
          </w:p>
        </w:tc>
      </w:tr>
      <w:tr>
        <w:tc>
          <w:tcPr>
            <w:tcW w:type="dxa" w:w="1900"/>
            <w:shd w:val="clear" w:color="auto" w:fill="F7F9FC"/>
          </w:tcPr>
          <w:p>
            <w:r>
              <w:rPr>
                <w:color w:val="202020"/>
                <w:sz w:val="19"/>
              </w:rPr>
              <w:t>Risk</w:t>
            </w:r>
          </w:p>
        </w:tc>
        <w:tc>
          <w:tcPr>
            <w:tcW w:type="dxa" w:w="7460"/>
            <w:shd w:val="clear" w:color="auto" w:fill="F7F9FC"/>
          </w:tcPr>
          <w:p>
            <w:r>
              <w:rPr>
                <w:color w:val="202020"/>
                <w:sz w:val="19"/>
              </w:rPr>
              <w:t>Indirect prompt injection: a crafted document indexed into Copilot influences the answers given to every user whose query it grounds. Malware transits the connector host and the index</w:t>
            </w:r>
          </w:p>
        </w:tc>
      </w:tr>
    </w:tbl>
    <w:p>
      <w:pPr>
        <w:spacing w:after="40"/>
      </w:pPr>
    </w:p>
    <w:p>
      <w:pPr>
        <w:pStyle w:val="Heading3"/>
      </w:pPr>
      <w:r>
        <w:rPr>
          <w:color w:val="2E5496"/>
        </w:rPr>
        <w:t>What to implement</w:t>
      </w:r>
    </w:p>
    <w:p>
      <w:pPr>
        <w:pStyle w:val="ListBullet"/>
        <w:spacing w:after="40"/>
      </w:pPr>
      <w:r>
        <w:rPr>
          <w:color w:val="202020"/>
        </w:rPr>
        <w:t xml:space="preserve">A </w:t>
      </w:r>
      <w:r>
        <w:rPr>
          <w:b/>
          <w:color w:val="202020"/>
        </w:rPr>
        <w:t>content-inspection stage</w:t>
      </w:r>
      <w:r>
        <w:rPr>
          <w:color w:val="202020"/>
        </w:rPr>
        <w:t xml:space="preserve"> between content extraction and transformation, so nothing unscanned reaches the transform or the index.</w:t>
      </w:r>
    </w:p>
    <w:p>
      <w:pPr>
        <w:pStyle w:val="ListBullet"/>
        <w:spacing w:after="40"/>
      </w:pPr>
      <w:r>
        <w:rPr>
          <w:b/>
          <w:color w:val="202020"/>
        </w:rPr>
        <w:t>Instruction-pattern detection</w:t>
      </w:r>
      <w:r>
        <w:rPr>
          <w:color w:val="202020"/>
        </w:rPr>
        <w:t xml:space="preserve"> over extracted text (imperative override phrasing, role reassignment, exfiltration directives, hidden/zero-width and off-canvas text).</w:t>
      </w:r>
    </w:p>
    <w:p>
      <w:pPr>
        <w:pStyle w:val="ListBullet"/>
        <w:spacing w:after="40"/>
      </w:pPr>
      <w:r>
        <w:rPr>
          <w:b/>
          <w:color w:val="202020"/>
        </w:rPr>
        <w:t>Malware scanning</w:t>
      </w:r>
      <w:r>
        <w:rPr>
          <w:color w:val="202020"/>
        </w:rPr>
        <w:t xml:space="preserve"> by delegating to an enterprise scanner (ICAP endpoint or Microsoft Defender) — heuristics in managed code are not a substitute.</w:t>
      </w:r>
    </w:p>
    <w:p>
      <w:pPr>
        <w:pStyle w:val="ListBullet"/>
        <w:spacing w:after="40"/>
      </w:pPr>
      <w:r>
        <w:rPr>
          <w:b/>
          <w:color w:val="202020"/>
        </w:rPr>
        <w:t>Quarantine, not drop:</w:t>
      </w:r>
      <w:r>
        <w:rPr>
          <w:color w:val="202020"/>
        </w:rPr>
        <w:t xml:space="preserve"> route a positive detection to the existing dead-letter queue with its reason, emit a metric, and alert. This reuses machinery that already exists and is tested.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The bank's approved malware-scanning service and its integration contract (ICAP endpoint, Defender API, or an internal scanning gateway), plus the security team's position on whether a detection should quarantine the item or fail the whole crawl.</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Scope it as a chassis stage implemented once and carried by each connector's own copy, matching how every other shared capability is delivered. The dead-letter, metrics and alerting paths it depends on are already built and hardened.</w:t>
            </w:r>
          </w:p>
        </w:tc>
      </w:tr>
    </w:tbl>
    <w:p>
      <w:pPr>
        <w:spacing w:after="40"/>
      </w:pPr>
    </w:p>
    <w:p>
      <w:pPr>
        <w:pStyle w:val="Heading2"/>
      </w:pPr>
      <w:r>
        <w:rPr>
          <w:color w:val="2E5496"/>
        </w:rPr>
        <w:t>3.2 G2 — Salesforce field-level security is not enforced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7460"/>
      </w:tblGrid>
      <w:tr>
        <w:tc>
          <w:tcPr>
            <w:tcW w:type="dxa" w:w="1900"/>
            <w:shd w:val="clear" w:color="auto" w:fill="2E5496"/>
          </w:tcPr>
          <w:p>
            <w:r>
              <w:rPr>
                <w:b/>
                <w:color w:val="FFFFFF"/>
                <w:sz w:val="19"/>
              </w:rPr>
              <w:t>Field</w:t>
            </w:r>
          </w:p>
        </w:tc>
        <w:tc>
          <w:tcPr>
            <w:tcW w:type="dxa" w:w="7460"/>
            <w:shd w:val="clear" w:color="auto" w:fill="2E5496"/>
          </w:tcPr>
          <w:p>
            <w:r>
              <w:rPr>
                <w:b/>
                <w:color w:val="FFFFFF"/>
                <w:sz w:val="19"/>
              </w:rPr>
              <w:t>Assessment</w:t>
            </w:r>
          </w:p>
        </w:tc>
      </w:tr>
      <w:tr>
        <w:tc>
          <w:tcPr>
            <w:tcW w:type="dxa" w:w="1900"/>
          </w:tcPr>
          <w:p>
            <w:r>
              <w:rPr>
                <w:color w:val="202020"/>
                <w:sz w:val="19"/>
              </w:rPr>
              <w:t>Applies to</w:t>
            </w:r>
          </w:p>
        </w:tc>
        <w:tc>
          <w:tcPr>
            <w:tcW w:type="dxa" w:w="7460"/>
          </w:tcPr>
          <w:p>
            <w:r>
              <w:rPr>
                <w:b/>
                <w:color w:val="202020"/>
                <w:sz w:val="19"/>
              </w:rPr>
              <w:t>Salesforce</w:t>
            </w:r>
            <w:r>
              <w:rPr>
                <w:color w:val="202020"/>
                <w:sz w:val="19"/>
              </w:rPr>
              <w:t xml:space="preserve"> directly; </w:t>
            </w:r>
            <w:r>
              <w:rPr>
                <w:b/>
                <w:color w:val="202020"/>
                <w:sz w:val="19"/>
              </w:rPr>
              <w:t>Hadoop BDH</w:t>
            </w:r>
            <w:r>
              <w:rPr>
                <w:color w:val="202020"/>
                <w:sz w:val="19"/>
              </w:rPr>
              <w:t xml:space="preserve"> by inheritance, because it mirrors Salesforce data under a coarser ACL model</w:t>
            </w:r>
          </w:p>
        </w:tc>
      </w:tr>
      <w:tr>
        <w:tc>
          <w:tcPr>
            <w:tcW w:type="dxa" w:w="1900"/>
            <w:shd w:val="clear" w:color="auto" w:fill="F7F9FC"/>
          </w:tcPr>
          <w:p>
            <w:r>
              <w:rPr>
                <w:color w:val="202020"/>
                <w:sz w:val="19"/>
              </w:rPr>
              <w:t>Catalogue requirement</w:t>
            </w:r>
          </w:p>
        </w:tc>
        <w:tc>
          <w:tcPr>
            <w:tcW w:type="dxa" w:w="7460"/>
            <w:shd w:val="clear" w:color="auto" w:fill="F7F9FC"/>
          </w:tcPr>
          <w:p>
            <w:r>
              <w:rPr>
                <w:color w:val="202020"/>
                <w:sz w:val="19"/>
              </w:rPr>
              <w:t>"Field-level security honored so restricted fields never reach the index"</w:t>
            </w:r>
          </w:p>
        </w:tc>
      </w:tr>
      <w:tr>
        <w:tc>
          <w:tcPr>
            <w:tcW w:type="dxa" w:w="1900"/>
          </w:tcPr>
          <w:p>
            <w:r>
              <w:rPr>
                <w:color w:val="202020"/>
                <w:sz w:val="19"/>
              </w:rPr>
              <w:t>Current state</w:t>
            </w:r>
          </w:p>
        </w:tc>
        <w:tc>
          <w:tcPr>
            <w:tcW w:type="dxa" w:w="7460"/>
          </w:tcPr>
          <w:p>
            <w:r>
              <w:rPr>
                <w:color w:val="202020"/>
                <w:sz w:val="19"/>
              </w:rPr>
              <w:t xml:space="preserve">Record-level sharing is reproduced faithfully (org-wide defaults, role hierarchy, sharing rules, groups, queues). Field-level security appears only as a documentation mention — </w:t>
            </w:r>
            <w:r>
              <w:rPr>
                <w:b/>
                <w:color w:val="202020"/>
                <w:sz w:val="19"/>
              </w:rPr>
              <w:t>it is not evaluated</w:t>
            </w:r>
          </w:p>
        </w:tc>
      </w:tr>
      <w:tr>
        <w:tc>
          <w:tcPr>
            <w:tcW w:type="dxa" w:w="1900"/>
            <w:shd w:val="clear" w:color="auto" w:fill="F7F9FC"/>
          </w:tcPr>
          <w:p>
            <w:r>
              <w:rPr>
                <w:color w:val="202020"/>
                <w:sz w:val="19"/>
              </w:rPr>
              <w:t>Risk</w:t>
            </w:r>
          </w:p>
        </w:tc>
        <w:tc>
          <w:tcPr>
            <w:tcW w:type="dxa" w:w="7460"/>
            <w:shd w:val="clear" w:color="auto" w:fill="F7F9FC"/>
          </w:tcPr>
          <w:p>
            <w:r>
              <w:rPr>
                <w:color w:val="202020"/>
                <w:sz w:val="19"/>
              </w:rPr>
              <w:t xml:space="preserve">A user permitted to see a record sees </w:t>
            </w:r>
            <w:r>
              <w:rPr>
                <w:b/>
                <w:color w:val="202020"/>
                <w:sz w:val="19"/>
              </w:rPr>
              <w:t>every indexed field on it</w:t>
            </w:r>
            <w:r>
              <w:rPr>
                <w:color w:val="202020"/>
                <w:sz w:val="19"/>
              </w:rPr>
              <w:t>, including fields Salesforce itself would hide. Compensation, margin and similar restricted fields are the usual casualties</w:t>
            </w:r>
          </w:p>
        </w:tc>
      </w:tr>
    </w:tbl>
    <w:p>
      <w:pPr>
        <w:spacing w:after="40"/>
      </w:pPr>
    </w:p>
    <w:p>
      <w:pPr>
        <w:pStyle w:val="Heading3"/>
      </w:pPr>
      <w:r>
        <w:rPr>
          <w:color w:val="2E5496"/>
        </w:rPr>
        <w:t>What to implement</w:t>
      </w:r>
    </w:p>
    <w:p>
      <w:pPr>
        <w:pStyle w:val="ListBullet"/>
        <w:spacing w:after="40"/>
      </w:pPr>
      <w:r>
        <w:rPr>
          <w:color w:val="202020"/>
        </w:rPr>
        <w:t>Read field-level permissions from the describe API per profile and permission set, and cache them alongside the existing principal mappings.</w:t>
      </w:r>
    </w:p>
    <w:p>
      <w:pPr>
        <w:pStyle w:val="ListBullet"/>
        <w:spacing w:after="40"/>
      </w:pPr>
      <w:r>
        <w:rPr>
          <w:color w:val="202020"/>
        </w:rPr>
        <w:t xml:space="preserve">Drop non-permitted fields </w:t>
      </w:r>
      <w:r>
        <w:rPr>
          <w:b/>
          <w:color w:val="202020"/>
        </w:rPr>
        <w:t>at transform time</w:t>
      </w:r>
      <w:r>
        <w:rPr>
          <w:color w:val="202020"/>
        </w:rPr>
        <w:t>, before the item is built — not at query time.</w:t>
      </w:r>
    </w:p>
    <w:p>
      <w:pPr>
        <w:pStyle w:val="ListBullet"/>
        <w:spacing w:after="40"/>
      </w:pPr>
      <w:r>
        <w:rPr>
          <w:color w:val="202020"/>
        </w:rPr>
        <w:t>Where a field is visible to some principals and not others, either omit it from the index or split the item; document the chosen rule explicitly.</w:t>
      </w:r>
    </w:p>
    <w:p>
      <w:pPr>
        <w:pStyle w:val="ListBullet"/>
        <w:spacing w:after="40"/>
      </w:pPr>
      <w:r>
        <w:rPr>
          <w:color w:val="202020"/>
        </w:rPr>
        <w:t xml:space="preserve">Extend the existing two-differently-permissioned-users ACL proof to assert </w:t>
      </w:r>
      <w:r>
        <w:rPr>
          <w:b/>
          <w:color w:val="202020"/>
        </w:rPr>
        <w:t>field</w:t>
      </w:r>
      <w:r>
        <w:rPr>
          <w:color w:val="202020"/>
        </w:rPr>
        <w:t xml:space="preserve"> visibility, not just record visibility.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gap is live even though the Salesforce connector is deferred from deployment, because the Hadoop BDH connector indexes the same Salesforce records against </w:t>
            </w:r>
            <w:r>
              <w:rPr>
                <w:rFonts w:ascii="Consolas" w:hAnsi="Consolas"/>
                <w:color w:val="202020"/>
                <w:sz w:val="19"/>
              </w:rPr>
              <w:t>owner</w:t>
            </w:r>
            <w:r>
              <w:rPr>
                <w:color w:val="202020"/>
                <w:sz w:val="20"/>
              </w:rPr>
              <w:t xml:space="preserve"> / </w:t>
            </w:r>
            <w:r>
              <w:rPr>
                <w:rFonts w:ascii="Consolas" w:hAnsi="Consolas"/>
                <w:color w:val="202020"/>
                <w:sz w:val="19"/>
              </w:rPr>
              <w:t>group</w:t>
            </w:r>
            <w:r>
              <w:rPr>
                <w:color w:val="202020"/>
                <w:sz w:val="20"/>
              </w:rPr>
              <w:t xml:space="preserve"> / </w:t>
            </w:r>
            <w:r>
              <w:rPr>
                <w:rFonts w:ascii="Consolas" w:hAnsi="Consolas"/>
                <w:color w:val="202020"/>
                <w:sz w:val="19"/>
              </w:rPr>
              <w:t>public</w:t>
            </w:r>
            <w:r>
              <w:rPr>
                <w:color w:val="202020"/>
                <w:sz w:val="20"/>
              </w:rPr>
              <w:t xml:space="preserve"> ACLs. Deferring Salesforce does </w:t>
            </w:r>
            <w:r>
              <w:rPr>
                <w:b/>
                <w:color w:val="202020"/>
                <w:sz w:val="20"/>
              </w:rPr>
              <w:t>not</w:t>
            </w:r>
            <w:r>
              <w:rPr>
                <w:color w:val="202020"/>
                <w:sz w:val="20"/>
              </w:rPr>
              <w:t xml:space="preserve"> defer the exposure.</w:t>
            </w:r>
          </w:p>
        </w:tc>
      </w:tr>
    </w:tbl>
    <w:p>
      <w:pPr>
        <w:spacing w:after="40"/>
      </w:pPr>
    </w:p>
    <w:p>
      <w:pPr>
        <w:pStyle w:val="Heading2"/>
      </w:pPr>
      <w:r>
        <w:rPr>
          <w:color w:val="2E5496"/>
        </w:rPr>
        <w:t>3.3 G3 — Hadoop authorisation is coarse (Apache Ranger absent)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7460"/>
      </w:tblGrid>
      <w:tr>
        <w:tc>
          <w:tcPr>
            <w:tcW w:type="dxa" w:w="1900"/>
            <w:shd w:val="clear" w:color="auto" w:fill="2E5496"/>
          </w:tcPr>
          <w:p>
            <w:r>
              <w:rPr>
                <w:b/>
                <w:color w:val="FFFFFF"/>
                <w:sz w:val="19"/>
              </w:rPr>
              <w:t>Field</w:t>
            </w:r>
          </w:p>
        </w:tc>
        <w:tc>
          <w:tcPr>
            <w:tcW w:type="dxa" w:w="7460"/>
            <w:shd w:val="clear" w:color="auto" w:fill="2E5496"/>
          </w:tcPr>
          <w:p>
            <w:r>
              <w:rPr>
                <w:b/>
                <w:color w:val="FFFFFF"/>
                <w:sz w:val="19"/>
              </w:rPr>
              <w:t>Assessment</w:t>
            </w:r>
          </w:p>
        </w:tc>
      </w:tr>
      <w:tr>
        <w:tc>
          <w:tcPr>
            <w:tcW w:type="dxa" w:w="1900"/>
          </w:tcPr>
          <w:p>
            <w:r>
              <w:rPr>
                <w:color w:val="202020"/>
                <w:sz w:val="19"/>
              </w:rPr>
              <w:t>Applies to</w:t>
            </w:r>
          </w:p>
        </w:tc>
        <w:tc>
          <w:tcPr>
            <w:tcW w:type="dxa" w:w="7460"/>
          </w:tcPr>
          <w:p>
            <w:r>
              <w:rPr>
                <w:b/>
                <w:color w:val="202020"/>
                <w:sz w:val="19"/>
              </w:rPr>
              <w:t>Hadoop BDH only</w:t>
            </w:r>
          </w:p>
        </w:tc>
      </w:tr>
      <w:tr>
        <w:tc>
          <w:tcPr>
            <w:tcW w:type="dxa" w:w="1900"/>
            <w:shd w:val="clear" w:color="auto" w:fill="F7F9FC"/>
          </w:tcPr>
          <w:p>
            <w:r>
              <w:rPr>
                <w:color w:val="202020"/>
                <w:sz w:val="19"/>
              </w:rPr>
              <w:t>Catalogue requirement</w:t>
            </w:r>
          </w:p>
        </w:tc>
        <w:tc>
          <w:tcPr>
            <w:tcW w:type="dxa" w:w="7460"/>
            <w:shd w:val="clear" w:color="auto" w:fill="F7F9FC"/>
          </w:tcPr>
          <w:p>
            <w:r>
              <w:rPr>
                <w:color w:val="202020"/>
                <w:sz w:val="19"/>
              </w:rPr>
              <w:t>"Apache Ranger policy read for row, column, and file-level authorization"</w:t>
            </w:r>
          </w:p>
        </w:tc>
      </w:tr>
      <w:tr>
        <w:tc>
          <w:tcPr>
            <w:tcW w:type="dxa" w:w="1900"/>
          </w:tcPr>
          <w:p>
            <w:r>
              <w:rPr>
                <w:color w:val="202020"/>
                <w:sz w:val="19"/>
              </w:rPr>
              <w:t>Current state</w:t>
            </w:r>
          </w:p>
        </w:tc>
        <w:tc>
          <w:tcPr>
            <w:tcW w:type="dxa" w:w="7460"/>
          </w:tcPr>
          <w:p>
            <w:r>
              <w:rPr>
                <w:color w:val="202020"/>
                <w:sz w:val="19"/>
              </w:rPr>
              <w:t xml:space="preserve">Confirmed </w:t>
            </w:r>
            <w:r>
              <w:rPr>
                <w:rFonts w:ascii="Consolas" w:hAnsi="Consolas"/>
                <w:color w:val="202020"/>
                <w:sz w:val="19"/>
              </w:rPr>
              <w:t>owner</w:t>
            </w:r>
            <w:r>
              <w:rPr>
                <w:color w:val="202020"/>
                <w:sz w:val="19"/>
              </w:rPr>
              <w:t xml:space="preserve"> /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only — a documented trade-off at build time. </w:t>
            </w:r>
            <w:r>
              <w:rPr>
                <w:b/>
                <w:color w:val="202020"/>
                <w:sz w:val="19"/>
              </w:rPr>
              <w:t>No Ranger integration exists</w:t>
            </w:r>
          </w:p>
        </w:tc>
      </w:tr>
      <w:tr>
        <w:tc>
          <w:tcPr>
            <w:tcW w:type="dxa" w:w="1900"/>
            <w:shd w:val="clear" w:color="auto" w:fill="F7F9FC"/>
          </w:tcPr>
          <w:p>
            <w:r>
              <w:rPr>
                <w:color w:val="202020"/>
                <w:sz w:val="19"/>
              </w:rPr>
              <w:t>Risk</w:t>
            </w:r>
          </w:p>
        </w:tc>
        <w:tc>
          <w:tcPr>
            <w:tcW w:type="dxa" w:w="7460"/>
            <w:shd w:val="clear" w:color="auto" w:fill="F7F9FC"/>
          </w:tcPr>
          <w:p>
            <w:r>
              <w:rPr>
                <w:color w:val="202020"/>
                <w:sz w:val="19"/>
              </w:rPr>
              <w:t>Over-sharing at scale: a mart holding 150M+ mirrored Salesforce rows, exposed under POSIX-style ACLs that cannot express the row and column restrictions the source enforces</w:t>
            </w:r>
          </w:p>
        </w:tc>
      </w:tr>
    </w:tbl>
    <w:p>
      <w:pPr>
        <w:spacing w:after="40"/>
      </w:pPr>
    </w:p>
    <w:p>
      <w:pPr>
        <w:pStyle w:val="Heading3"/>
      </w:pPr>
      <w:r>
        <w:rPr>
          <w:color w:val="2E5496"/>
        </w:rPr>
        <w:t>What to implement</w:t>
      </w:r>
    </w:p>
    <w:p>
      <w:pPr>
        <w:pStyle w:val="ListBullet"/>
        <w:spacing w:after="40"/>
      </w:pPr>
      <w:r>
        <w:rPr>
          <w:color w:val="202020"/>
        </w:rPr>
        <w:t>Read Ranger policies over its REST API and derive per-object, per-column and row-filter ACLs during the crawl.</w:t>
      </w:r>
    </w:p>
    <w:p>
      <w:pPr>
        <w:pStyle w:val="ListBullet"/>
        <w:spacing w:after="40"/>
      </w:pPr>
      <w:r>
        <w:rPr>
          <w:color w:val="202020"/>
        </w:rPr>
        <w:t>Map Ranger principals to Entra ID objects through the identity store the connector already maintains.</w:t>
      </w:r>
    </w:p>
    <w:p>
      <w:pPr>
        <w:pStyle w:val="ListBullet"/>
        <w:spacing w:after="40"/>
      </w:pPr>
      <w:r>
        <w:rPr>
          <w:b/>
          <w:color w:val="202020"/>
        </w:rPr>
        <w:t>Fail closed</w:t>
      </w:r>
      <w:r>
        <w:rPr>
          <w:color w:val="202020"/>
        </w:rPr>
        <w:t xml:space="preserve"> on an unreadable or stale policy set — consistent with the connector's existing full-scan guard, which already refuses to crawl rather than over-collect.</w:t>
      </w:r>
    </w:p>
    <w:p>
      <w:pPr>
        <w:pStyle w:val="ListBullet"/>
        <w:spacing w:after="40"/>
      </w:pPr>
      <w:r>
        <w:rPr>
          <w:b/>
          <w:color w:val="202020"/>
        </w:rPr>
        <w:t>Interim control if Ranger integration is deferred:</w:t>
      </w:r>
      <w:r>
        <w:rPr>
          <w:color w:val="202020"/>
        </w:rPr>
        <w:t xml:space="preserve"> constrain </w:t>
      </w:r>
      <w:r>
        <w:rPr>
          <w:rFonts w:ascii="Consolas" w:hAnsi="Consolas"/>
          <w:color w:val="202020"/>
          <w:sz w:val="19"/>
        </w:rPr>
        <w:t>filters.json</w:t>
      </w:r>
      <w:r>
        <w:rPr>
          <w:color w:val="202020"/>
        </w:rPr>
        <w:t xml:space="preserve"> to datasets where owner/group authorisation is demonstrably sufficient, and have the data owner attest to that in writing.</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Ranger integration pairs naturally with Hive metastore integration (G13): column-level policies are only meaningful when column metadata is available. Sequence them together.</w:t>
            </w:r>
          </w:p>
        </w:tc>
      </w:tr>
    </w:tbl>
    <w:p>
      <w:pPr>
        <w:spacing w:after="40"/>
      </w:pPr>
    </w:p>
    <w:p>
      <w:pPr>
        <w:pStyle w:val="Heading2"/>
      </w:pPr>
      <w:r>
        <w:rPr>
          <w:color w:val="2E5496"/>
        </w:rPr>
        <w:t>3.4 G4 — Hadoop Kerberos / SPNEGO and keytab lifecycle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7460"/>
      </w:tblGrid>
      <w:tr>
        <w:tc>
          <w:tcPr>
            <w:tcW w:type="dxa" w:w="1900"/>
            <w:shd w:val="clear" w:color="auto" w:fill="2E5496"/>
          </w:tcPr>
          <w:p>
            <w:r>
              <w:rPr>
                <w:b/>
                <w:color w:val="FFFFFF"/>
                <w:sz w:val="19"/>
              </w:rPr>
              <w:t>Field</w:t>
            </w:r>
          </w:p>
        </w:tc>
        <w:tc>
          <w:tcPr>
            <w:tcW w:type="dxa" w:w="7460"/>
            <w:shd w:val="clear" w:color="auto" w:fill="2E5496"/>
          </w:tcPr>
          <w:p>
            <w:r>
              <w:rPr>
                <w:b/>
                <w:color w:val="FFFFFF"/>
                <w:sz w:val="19"/>
              </w:rPr>
              <w:t>Assessment</w:t>
            </w:r>
          </w:p>
        </w:tc>
      </w:tr>
      <w:tr>
        <w:tc>
          <w:tcPr>
            <w:tcW w:type="dxa" w:w="1900"/>
          </w:tcPr>
          <w:p>
            <w:r>
              <w:rPr>
                <w:color w:val="202020"/>
                <w:sz w:val="19"/>
              </w:rPr>
              <w:t>Applies to</w:t>
            </w:r>
          </w:p>
        </w:tc>
        <w:tc>
          <w:tcPr>
            <w:tcW w:type="dxa" w:w="7460"/>
          </w:tcPr>
          <w:p>
            <w:r>
              <w:rPr>
                <w:b/>
                <w:color w:val="202020"/>
                <w:sz w:val="19"/>
              </w:rPr>
              <w:t>Hadoop BDH only</w:t>
            </w:r>
          </w:p>
        </w:tc>
      </w:tr>
      <w:tr>
        <w:tc>
          <w:tcPr>
            <w:tcW w:type="dxa" w:w="1900"/>
            <w:shd w:val="clear" w:color="auto" w:fill="F7F9FC"/>
          </w:tcPr>
          <w:p>
            <w:r>
              <w:rPr>
                <w:color w:val="202020"/>
                <w:sz w:val="19"/>
              </w:rPr>
              <w:t>Catalogue requirement</w:t>
            </w:r>
          </w:p>
        </w:tc>
        <w:tc>
          <w:tcPr>
            <w:tcW w:type="dxa" w:w="7460"/>
            <w:shd w:val="clear" w:color="auto" w:fill="F7F9FC"/>
          </w:tcPr>
          <w:p>
            <w:r>
              <w:rPr>
                <w:color w:val="202020"/>
                <w:sz w:val="19"/>
              </w:rPr>
              <w:t>"Kerberos authentication with keytab lifecycle management"</w:t>
            </w:r>
          </w:p>
        </w:tc>
      </w:tr>
      <w:tr>
        <w:tc>
          <w:tcPr>
            <w:tcW w:type="dxa" w:w="1900"/>
          </w:tcPr>
          <w:p>
            <w:r>
              <w:rPr>
                <w:color w:val="202020"/>
                <w:sz w:val="19"/>
              </w:rPr>
              <w:t>Current state</w:t>
            </w:r>
          </w:p>
        </w:tc>
        <w:tc>
          <w:tcPr>
            <w:tcW w:type="dxa" w:w="7460"/>
          </w:tcPr>
          <w:p>
            <w:r>
              <w:rPr>
                <w:color w:val="202020"/>
                <w:sz w:val="19"/>
              </w:rPr>
              <w:t>The code states it plainly: *Kerberos/SPNEGO itself is out of scope*. Authentication is simple auth (</w:t>
            </w:r>
            <w:r>
              <w:rPr>
                <w:rFonts w:ascii="Consolas" w:hAnsi="Consolas"/>
                <w:color w:val="202020"/>
                <w:sz w:val="19"/>
              </w:rPr>
              <w:t>?user.name=</w:t>
            </w:r>
            <w:r>
              <w:rPr>
                <w:color w:val="202020"/>
                <w:sz w:val="19"/>
              </w:rPr>
              <w:t>) with an optional delegation token (</w:t>
            </w:r>
            <w:r>
              <w:rPr>
                <w:rFonts w:ascii="Consolas" w:hAnsi="Consolas"/>
                <w:color w:val="202020"/>
                <w:sz w:val="19"/>
              </w:rPr>
              <w:t>SECRET_HDFS_DELEGATION_TOKEN</w:t>
            </w:r>
            <w:r>
              <w:rPr>
                <w:color w:val="202020"/>
                <w:sz w:val="19"/>
              </w:rPr>
              <w:t>)</w:t>
            </w:r>
          </w:p>
        </w:tc>
      </w:tr>
      <w:tr>
        <w:tc>
          <w:tcPr>
            <w:tcW w:type="dxa" w:w="1900"/>
            <w:shd w:val="clear" w:color="auto" w:fill="F7F9FC"/>
          </w:tcPr>
          <w:p>
            <w:r>
              <w:rPr>
                <w:color w:val="202020"/>
                <w:sz w:val="19"/>
              </w:rPr>
              <w:t>Risk</w:t>
            </w:r>
          </w:p>
        </w:tc>
        <w:tc>
          <w:tcPr>
            <w:tcW w:type="dxa" w:w="7460"/>
            <w:shd w:val="clear" w:color="auto" w:fill="F7F9FC"/>
          </w:tcPr>
          <w:p>
            <w:r>
              <w:rPr>
                <w:b/>
                <w:color w:val="202020"/>
                <w:sz w:val="19"/>
              </w:rPr>
              <w:t>Deployment blocker.</w:t>
            </w:r>
            <w:r>
              <w:rPr>
                <w:color w:val="202020"/>
                <w:sz w:val="19"/>
              </w:rPr>
              <w:t xml:space="preserve"> A regulated Hadoop estate will normally refuse simple auth outright, so the connector cannot be onboarded at all</w:t>
            </w:r>
          </w:p>
        </w:tc>
      </w:tr>
    </w:tbl>
    <w:p>
      <w:pPr>
        <w:spacing w:after="40"/>
      </w:pPr>
    </w:p>
    <w:p>
      <w:pPr>
        <w:pStyle w:val="Heading3"/>
      </w:pPr>
      <w:r>
        <w:rPr>
          <w:color w:val="2E5496"/>
        </w:rPr>
        <w:t>What to implement</w:t>
      </w:r>
    </w:p>
    <w:p>
      <w:pPr>
        <w:pStyle w:val="ListBullet"/>
        <w:spacing w:after="40"/>
      </w:pPr>
      <w:r>
        <w:rPr>
          <w:color w:val="202020"/>
        </w:rPr>
        <w:t>SPNEGO negotiation on the WebHDFS client, with keytab-based ticket acquisition and automatic renewal.</w:t>
      </w:r>
    </w:p>
    <w:p>
      <w:pPr>
        <w:pStyle w:val="ListBullet"/>
        <w:spacing w:after="40"/>
      </w:pPr>
      <w:r>
        <w:rPr>
          <w:color w:val="202020"/>
        </w:rPr>
        <w:t>Keytab held in Key Vault and rotated through the existing secret-rotation runbook.</w:t>
      </w:r>
    </w:p>
    <w:p>
      <w:pPr>
        <w:pStyle w:val="ListBullet"/>
        <w:spacing w:after="40"/>
      </w:pPr>
      <w:r>
        <w:rPr>
          <w:b/>
          <w:color w:val="202020"/>
        </w:rPr>
        <w:t>Cheaper alternative to confirm first:</w:t>
      </w:r>
      <w:r>
        <w:rPr>
          <w:color w:val="202020"/>
        </w:rPr>
        <w:t xml:space="preserve"> if a Knox gateway fronts the cluster, it can terminate Kerberos and the existing token path may suffice — the code already notes Knox works identically. Confirm before building.</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Whether the cluster is fronted by Knox, and if not, the Kerberos realm, KDC endpoints, service principal name and keytab issuance/rotation process from the Hadoop platform team.</w:t>
            </w:r>
          </w:p>
        </w:tc>
      </w:tr>
    </w:tbl>
    <w:p>
      <w:pPr>
        <w:spacing w:after="40"/>
      </w:pPr>
    </w:p>
    <w:p>
      <w:pPr>
        <w:pStyle w:val="Heading2"/>
      </w:pPr>
      <w:r>
        <w:rPr>
          <w:color w:val="2E5496"/>
        </w:rPr>
        <w:t>3.5 G5 — Purview sensitivity labels and DLP are advisory only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7460"/>
      </w:tblGrid>
      <w:tr>
        <w:tc>
          <w:tcPr>
            <w:tcW w:type="dxa" w:w="1900"/>
            <w:shd w:val="clear" w:color="auto" w:fill="2E5496"/>
          </w:tcPr>
          <w:p>
            <w:r>
              <w:rPr>
                <w:b/>
                <w:color w:val="FFFFFF"/>
                <w:sz w:val="19"/>
              </w:rPr>
              <w:t>Field</w:t>
            </w:r>
          </w:p>
        </w:tc>
        <w:tc>
          <w:tcPr>
            <w:tcW w:type="dxa" w:w="7460"/>
            <w:shd w:val="clear" w:color="auto" w:fill="2E5496"/>
          </w:tcPr>
          <w:p>
            <w:r>
              <w:rPr>
                <w:b/>
                <w:color w:val="FFFFFF"/>
                <w:sz w:val="19"/>
              </w:rPr>
              <w:t>Assessment</w:t>
            </w:r>
          </w:p>
        </w:tc>
      </w:tr>
      <w:tr>
        <w:tc>
          <w:tcPr>
            <w:tcW w:type="dxa" w:w="1900"/>
          </w:tcPr>
          <w:p>
            <w:r>
              <w:rPr>
                <w:color w:val="202020"/>
                <w:sz w:val="19"/>
              </w:rPr>
              <w:t>Applies to</w:t>
            </w:r>
          </w:p>
        </w:tc>
        <w:tc>
          <w:tcPr>
            <w:tcW w:type="dxa" w:w="7460"/>
          </w:tcPr>
          <w:p>
            <w:r>
              <w:rPr>
                <w:b/>
                <w:color w:val="202020"/>
                <w:sz w:val="19"/>
              </w:rPr>
              <w:t>All five connectors</w:t>
            </w:r>
          </w:p>
        </w:tc>
      </w:tr>
      <w:tr>
        <w:tc>
          <w:tcPr>
            <w:tcW w:type="dxa" w:w="1900"/>
            <w:shd w:val="clear" w:color="auto" w:fill="F7F9FC"/>
          </w:tcPr>
          <w:p>
            <w:r>
              <w:rPr>
                <w:color w:val="202020"/>
                <w:sz w:val="19"/>
              </w:rPr>
              <w:t>Catalogue requirement</w:t>
            </w:r>
          </w:p>
        </w:tc>
        <w:tc>
          <w:tcPr>
            <w:tcW w:type="dxa" w:w="7460"/>
            <w:shd w:val="clear" w:color="auto" w:fill="F7F9FC"/>
          </w:tcPr>
          <w:p>
            <w:r>
              <w:rPr>
                <w:color w:val="202020"/>
                <w:sz w:val="19"/>
              </w:rPr>
              <w:t>"Purview sensitivity labels … classification travels with the item and drives downstream protection and DLP policy"</w:t>
            </w:r>
          </w:p>
        </w:tc>
      </w:tr>
      <w:tr>
        <w:tc>
          <w:tcPr>
            <w:tcW w:type="dxa" w:w="1900"/>
          </w:tcPr>
          <w:p>
            <w:r>
              <w:rPr>
                <w:color w:val="202020"/>
                <w:sz w:val="19"/>
              </w:rPr>
              <w:t>Current state</w:t>
            </w:r>
          </w:p>
        </w:tc>
        <w:tc>
          <w:tcPr>
            <w:tcW w:type="dxa" w:w="7460"/>
          </w:tcPr>
          <w:p>
            <w:r>
              <w:rPr>
                <w:color w:val="202020"/>
                <w:sz w:val="19"/>
              </w:rPr>
              <w:t xml:space="preserve">A connector-applied </w:t>
            </w:r>
            <w:r>
              <w:rPr>
                <w:b/>
                <w:color w:val="202020"/>
                <w:sz w:val="19"/>
              </w:rPr>
              <w:t>advisory tag</w:t>
            </w:r>
            <w:r>
              <w:rPr>
                <w:color w:val="202020"/>
                <w:sz w:val="19"/>
              </w:rPr>
              <w:t>, honestly documented in code and guides as *not* a Purview-enforced label. Purview-aligned in naming only; no Information Protection API call exists</w:t>
            </w:r>
          </w:p>
        </w:tc>
      </w:tr>
      <w:tr>
        <w:tc>
          <w:tcPr>
            <w:tcW w:type="dxa" w:w="1900"/>
            <w:shd w:val="clear" w:color="auto" w:fill="F7F9FC"/>
          </w:tcPr>
          <w:p>
            <w:r>
              <w:rPr>
                <w:color w:val="202020"/>
                <w:sz w:val="19"/>
              </w:rPr>
              <w:t>Risk</w:t>
            </w:r>
          </w:p>
        </w:tc>
        <w:tc>
          <w:tcPr>
            <w:tcW w:type="dxa" w:w="7460"/>
            <w:shd w:val="clear" w:color="auto" w:fill="F7F9FC"/>
          </w:tcPr>
          <w:p>
            <w:r>
              <w:rPr>
                <w:color w:val="202020"/>
                <w:sz w:val="19"/>
              </w:rPr>
              <w:t>Classification that looks authoritative but enforces nothing. Purview DLP does not act on the tag, and downstream tooling may over-trust it</w:t>
            </w:r>
          </w:p>
        </w:tc>
      </w:tr>
    </w:tbl>
    <w:p>
      <w:pPr>
        <w:spacing w:after="40"/>
      </w:pPr>
    </w:p>
    <w:p>
      <w:pPr>
        <w:pStyle w:val="Heading3"/>
      </w:pPr>
      <w:r>
        <w:rPr>
          <w:color w:val="2E5496"/>
        </w:rPr>
        <w:t>What to implement</w:t>
      </w:r>
    </w:p>
    <w:p>
      <w:pPr>
        <w:pStyle w:val="ListBullet"/>
        <w:spacing w:after="40"/>
      </w:pPr>
      <w:r>
        <w:rPr>
          <w:color w:val="202020"/>
        </w:rPr>
        <w:t>Map the internal taxonomy to real Purview label GUIDs and apply them through the Information Protection API.</w:t>
      </w:r>
    </w:p>
    <w:p>
      <w:pPr>
        <w:pStyle w:val="ListBullet"/>
        <w:spacing w:after="40"/>
      </w:pPr>
      <w:r>
        <w:rPr>
          <w:color w:val="202020"/>
        </w:rPr>
        <w:t xml:space="preserve">Confirm DLP policy coverage for </w:t>
      </w:r>
      <w:r>
        <w:rPr>
          <w:b/>
          <w:color w:val="202020"/>
        </w:rPr>
        <w:t>agent responses</w:t>
      </w:r>
      <w:r>
        <w:rPr>
          <w:color w:val="202020"/>
        </w:rPr>
        <w:t>, not only for indexed items.</w:t>
      </w:r>
    </w:p>
    <w:p>
      <w:pPr>
        <w:pStyle w:val="ListBullet"/>
        <w:spacing w:after="40"/>
      </w:pPr>
      <w:r>
        <w:rPr>
          <w:color w:val="202020"/>
        </w:rPr>
        <w:t>Keep the advisory tag as a search refiner — it is useful independently of enforcement.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Validate feasibility before committing effort.</w:t>
            </w:r>
            <w:r>
              <w:rPr>
                <w:color w:val="202020"/>
                <w:sz w:val="20"/>
              </w:rPr>
              <w:t xml:space="preserve"> Microsoft's support for Purview labelling and DLP over Graph </w:t>
            </w:r>
            <w:r>
              <w:rPr>
                <w:b/>
                <w:color w:val="202020"/>
                <w:sz w:val="20"/>
              </w:rPr>
              <w:t>external items</w:t>
            </w:r>
            <w:r>
              <w:rPr>
                <w:color w:val="202020"/>
                <w:sz w:val="20"/>
              </w:rPr>
              <w:t xml:space="preserve"> is materially narrower than for native Microsoft 365 content and has shifted between preview and general availability. Confirm the current tenant-level position with Microsoft first; if enforcement is unavailable, the honest interim is the already-shipped </w:t>
            </w:r>
            <w:r>
              <w:rPr>
                <w:rFonts w:ascii="Consolas" w:hAnsi="Consolas"/>
                <w:color w:val="202020"/>
                <w:sz w:val="19"/>
              </w:rPr>
              <w:t>CLASSIFICATION_ENFORCE_ACL</w:t>
            </w:r>
            <w:r>
              <w:rPr>
                <w:color w:val="202020"/>
                <w:sz w:val="20"/>
              </w:rPr>
              <w:t xml:space="preserve"> control, which converts the top classification tier into a real Graph ACL restriction to a named Entra group.</w:t>
            </w:r>
          </w:p>
        </w:tc>
      </w:tr>
    </w:tbl>
    <w:p>
      <w:pPr>
        <w:spacing w:after="40"/>
      </w:pPr>
    </w:p>
    <w:p>
      <w:r>
        <w:br w:type="page"/>
      </w:r>
    </w:p>
    <w:p>
      <w:pPr>
        <w:pStyle w:val="Heading1"/>
      </w:pPr>
      <w:r>
        <w:rPr>
          <w:color w:val="1F3864"/>
        </w:rPr>
        <w:t>4. P1 — regulatory and operational commitments</w:t>
      </w:r>
    </w:p>
    <w:p>
      <w:pPr>
        <w:pStyle w:val="Heading2"/>
      </w:pPr>
      <w:r>
        <w:rPr>
          <w:color w:val="2E5496"/>
        </w:rPr>
        <w:t>4.1 G6 — Immutable (WORM) audit storage</w:t>
      </w:r>
    </w:p>
    <w:p>
      <w:pPr>
        <w:spacing w:after="120"/>
      </w:pPr>
      <w:r>
        <w:rPr>
          <w:color w:val="202020"/>
        </w:rPr>
        <w:t xml:space="preserve">The platform produces </w:t>
      </w:r>
      <w:r>
        <w:rPr>
          <w:b/>
          <w:color w:val="202020"/>
        </w:rPr>
        <w:t>tamper-evident</w:t>
      </w:r>
      <w:r>
        <w:rPr>
          <w:color w:val="202020"/>
        </w:rPr>
        <w:t xml:space="preserve"> evidence: SHA-256 hash-chained decision and erasure ledgers that detect edits, reordering and interior deletion. The catalogue requires </w:t>
      </w:r>
      <w:r>
        <w:rPr>
          <w:b/>
          <w:color w:val="202020"/>
        </w:rPr>
        <w:t>tamper-proof</w:t>
      </w:r>
      <w:r>
        <w:rPr>
          <w:color w:val="202020"/>
        </w:rPr>
        <w:t xml:space="preserve"> storage — immutable, write-once, with retention locks.</w:t>
      </w:r>
    </w:p>
    <w:p>
      <w:pPr>
        <w:pStyle w:val="ListBullet"/>
        <w:spacing w:after="40"/>
      </w:pPr>
      <w:r>
        <w:rPr>
          <w:b/>
          <w:color w:val="202020"/>
        </w:rPr>
        <w:t>Implement:</w:t>
      </w:r>
      <w:r>
        <w:rPr>
          <w:color w:val="202020"/>
        </w:rPr>
        <w:t xml:space="preserve"> ship ledgers and audit records to write-once storage (Azure immutable blob with a time-based retention policy or legal hold), so evidence survives host compromise.</w:t>
      </w:r>
    </w:p>
    <w:p>
      <w:pPr>
        <w:pStyle w:val="ListBullet"/>
        <w:spacing w:after="40"/>
      </w:pPr>
      <w:r>
        <w:rPr>
          <w:b/>
          <w:color w:val="202020"/>
        </w:rPr>
        <w:t>Applies to:</w:t>
      </w:r>
      <w:r>
        <w:rPr>
          <w:color w:val="202020"/>
        </w:rPr>
        <w:t xml:space="preserve"> all five; the obligation is sharpest for Altrata, whose erasure ledger is the DSAR compliance record.</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Deliberately out of connector scope:</w:t>
            </w:r>
            <w:r>
              <w:rPr>
                <w:color w:val="202020"/>
                <w:sz w:val="20"/>
              </w:rPr>
              <w:t xml:space="preserve"> "every content access logged with user, item, and decision". A Graph connector cannot observe who queried Copilot or what was returned — that evidence comes from the Microsoft 365 unified audit log and Purview. Assign it to the M365 platform team and record the split in the control mapping, rather than attempting it here.</w:t>
            </w:r>
          </w:p>
        </w:tc>
      </w:tr>
    </w:tbl>
    <w:p>
      <w:pPr>
        <w:spacing w:after="40"/>
      </w:pPr>
    </w:p>
    <w:p>
      <w:pPr>
        <w:pStyle w:val="Heading2"/>
      </w:pPr>
      <w:r>
        <w:rPr>
          <w:color w:val="2E5496"/>
        </w:rPr>
        <w:t>4.2 G7 — FIPS 140-3 posture</w:t>
      </w:r>
    </w:p>
    <w:p>
      <w:pPr>
        <w:pStyle w:val="ListBullet"/>
        <w:spacing w:after="40"/>
      </w:pPr>
      <w:r>
        <w:rPr>
          <w:b/>
          <w:color w:val="202020"/>
        </w:rPr>
        <w:t>Applies to:</w:t>
      </w:r>
      <w:r>
        <w:rPr>
          <w:color w:val="202020"/>
        </w:rPr>
        <w:t xml:space="preserve"> Salesforce.</w:t>
      </w:r>
    </w:p>
    <w:p>
      <w:pPr>
        <w:pStyle w:val="ListBullet"/>
        <w:spacing w:after="40"/>
      </w:pPr>
      <w:r>
        <w:rPr>
          <w:b/>
          <w:color w:val="202020"/>
        </w:rPr>
        <w:t>Current state:</w:t>
      </w:r>
      <w:r>
        <w:rPr>
          <w:color w:val="202020"/>
        </w:rPr>
        <w:t xml:space="preserve"> a FIPS audit was completed; the fleet is clean </w:t>
      </w:r>
      <w:r>
        <w:rPr>
          <w:b/>
          <w:color w:val="202020"/>
        </w:rPr>
        <w:t>except</w:t>
      </w:r>
      <w:r>
        <w:rPr>
          <w:color w:val="202020"/>
        </w:rPr>
        <w:t xml:space="preserve"> two identity-critical MD5 uses in the Salesforce field-cache keys, retained for state compatibility with the original Python implementation and documented rather than changed.</w:t>
      </w:r>
    </w:p>
    <w:p>
      <w:pPr>
        <w:pStyle w:val="ListBullet"/>
        <w:spacing w:after="40"/>
      </w:pPr>
      <w:r>
        <w:rPr>
          <w:b/>
          <w:color w:val="202020"/>
        </w:rPr>
        <w:t>Implement:</w:t>
      </w:r>
      <w:r>
        <w:rPr>
          <w:color w:val="202020"/>
        </w:rPr>
        <w:t xml:space="preserve"> replace both with a FIPS-validated hash (accepting the one-off state rebuild), and enforce FIPS mode on the host .NET runtime.</w:t>
      </w:r>
    </w:p>
    <w:p>
      <w:pPr>
        <w:pStyle w:val="ListBullet"/>
        <w:spacing w:after="40"/>
      </w:pPr>
      <w:r>
        <w:rPr>
          <w:b/>
          <w:color w:val="202020"/>
        </w:rPr>
        <w:t>Why it matters:</w:t>
      </w:r>
      <w:r>
        <w:rPr>
          <w:color w:val="202020"/>
        </w:rPr>
        <w:t xml:space="preserve"> the catalogue makes validated cryptography *a precondition for regulated deployment*. Two documented exceptions are enough to fail that assertion, and the fix is small.</w:t>
      </w:r>
    </w:p>
    <w:p>
      <w:pPr>
        <w:pStyle w:val="Heading2"/>
      </w:pPr>
      <w:r>
        <w:rPr>
          <w:color w:val="2E5496"/>
        </w:rPr>
        <w:t>4.3 G8 — Altrata usage metering, redistribution and entitlement freshness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Catalogue requirement</w:t>
            </w:r>
          </w:p>
        </w:tc>
        <w:tc>
          <w:tcPr>
            <w:tcW w:type="dxa" w:w="5960"/>
            <w:shd w:val="clear" w:color="auto" w:fill="2E5496"/>
          </w:tcPr>
          <w:p>
            <w:r>
              <w:rPr>
                <w:b/>
                <w:color w:val="FFFFFF"/>
                <w:sz w:val="19"/>
              </w:rPr>
              <w:t>Position</w:t>
            </w:r>
          </w:p>
        </w:tc>
      </w:tr>
      <w:tr>
        <w:tc>
          <w:tcPr>
            <w:tcW w:type="dxa" w:w="3400"/>
          </w:tcPr>
          <w:p>
            <w:r>
              <w:rPr>
                <w:color w:val="202020"/>
                <w:sz w:val="19"/>
              </w:rPr>
              <w:t>Strict licensing at seat and entitlement level</w:t>
            </w:r>
          </w:p>
        </w:tc>
        <w:tc>
          <w:tcPr>
            <w:tcW w:type="dxa" w:w="5960"/>
          </w:tcPr>
          <w:p>
            <w:r>
              <w:rPr>
                <w:b/>
                <w:color w:val="202020"/>
                <w:sz w:val="19"/>
              </w:rPr>
              <w:t>Delivered.</w:t>
            </w:r>
            <w:r>
              <w:rPr>
                <w:color w:val="202020"/>
                <w:sz w:val="19"/>
              </w:rPr>
              <w:t xml:space="preserve"> Seat-only ACLs, 'everyone' forbidden, fails closed, seat-hash change triggers re-ACL</w:t>
            </w:r>
          </w:p>
        </w:tc>
      </w:tr>
      <w:tr>
        <w:tc>
          <w:tcPr>
            <w:tcW w:type="dxa" w:w="3400"/>
            <w:shd w:val="clear" w:color="auto" w:fill="F7F9FC"/>
          </w:tcPr>
          <w:p>
            <w:r>
              <w:rPr>
                <w:color w:val="202020"/>
                <w:sz w:val="19"/>
              </w:rPr>
              <w:t>Usage controls with query and volume metering</w:t>
            </w:r>
          </w:p>
        </w:tc>
        <w:tc>
          <w:tcPr>
            <w:tcW w:type="dxa" w:w="5960"/>
            <w:shd w:val="clear" w:color="auto" w:fill="F7F9FC"/>
          </w:tcPr>
          <w:p>
            <w:r>
              <w:rPr>
                <w:b/>
                <w:color w:val="202020"/>
                <w:sz w:val="19"/>
              </w:rPr>
              <w:t>Gap.</w:t>
            </w:r>
            <w:r>
              <w:rPr>
                <w:color w:val="202020"/>
                <w:sz w:val="19"/>
              </w:rPr>
              <w:t xml:space="preserve"> A billable-lookup counter exists; enforceable query/volume limits do not</w:t>
            </w:r>
          </w:p>
        </w:tc>
      </w:tr>
      <w:tr>
        <w:tc>
          <w:tcPr>
            <w:tcW w:type="dxa" w:w="3400"/>
          </w:tcPr>
          <w:p>
            <w:r>
              <w:rPr>
                <w:color w:val="202020"/>
                <w:sz w:val="19"/>
              </w:rPr>
              <w:t>Redistribution restrictions enforced in the index and at retrieval</w:t>
            </w:r>
          </w:p>
        </w:tc>
        <w:tc>
          <w:tcPr>
            <w:tcW w:type="dxa" w:w="5960"/>
          </w:tcPr>
          <w:p>
            <w:r>
              <w:rPr>
                <w:b/>
                <w:color w:val="202020"/>
                <w:sz w:val="19"/>
              </w:rPr>
              <w:t>Partial.</w:t>
            </w:r>
            <w:r>
              <w:rPr>
                <w:color w:val="202020"/>
                <w:sz w:val="19"/>
              </w:rPr>
              <w:t xml:space="preserve"> Index-side is enforced by seat-only ACLs; retrieval-side is not addressable from a connector</w:t>
            </w:r>
          </w:p>
        </w:tc>
      </w:tr>
      <w:tr>
        <w:tc>
          <w:tcPr>
            <w:tcW w:type="dxa" w:w="3400"/>
            <w:shd w:val="clear" w:color="auto" w:fill="F7F9FC"/>
          </w:tcPr>
          <w:p>
            <w:r>
              <w:rPr>
                <w:color w:val="202020"/>
                <w:sz w:val="19"/>
              </w:rPr>
              <w:t>Entitlement checks re-evaluated on every grounding call</w:t>
            </w:r>
          </w:p>
        </w:tc>
        <w:tc>
          <w:tcPr>
            <w:tcW w:type="dxa" w:w="5960"/>
            <w:shd w:val="clear" w:color="auto" w:fill="F7F9FC"/>
          </w:tcPr>
          <w:p>
            <w:r>
              <w:rPr>
                <w:b/>
                <w:color w:val="202020"/>
                <w:sz w:val="19"/>
              </w:rPr>
              <w:t>Not achievable in a connector</w:t>
            </w:r>
            <w:r>
              <w:rPr>
                <w:color w:val="202020"/>
                <w:sz w:val="19"/>
              </w:rPr>
              <w:t xml:space="preserve"> — see below</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Architectural constraint, not an implementation shortfall.</w:t>
            </w:r>
            <w:r>
              <w:rPr>
                <w:color w:val="202020"/>
                <w:sz w:val="20"/>
              </w:rPr>
              <w:t xml:space="preserve"> Microsoft Graph trims results at query time against the ACL </w:t>
            </w:r>
            <w:r>
              <w:rPr>
                <w:b/>
                <w:color w:val="202020"/>
                <w:sz w:val="20"/>
              </w:rPr>
              <w:t>stored on the indexed item</w:t>
            </w:r>
            <w:r>
              <w:rPr>
                <w:color w:val="202020"/>
                <w:sz w:val="20"/>
              </w:rPr>
              <w:t xml:space="preserve">; there is no callback into Altrata during a grounding call. Per-call entitlement re-evaluation therefore cannot be delivered by any Graph connector. The two honest options are: (a) shorten the re-ACL cadence so a revoked seat is reflected within minutes, or (b) enforce entitlement in the </w:t>
            </w:r>
            <w:r>
              <w:rPr>
                <w:b/>
                <w:color w:val="202020"/>
                <w:sz w:val="20"/>
              </w:rPr>
              <w:t>agent layer</w:t>
            </w:r>
            <w:r>
              <w:rPr>
                <w:color w:val="202020"/>
                <w:sz w:val="20"/>
              </w:rPr>
              <w:t xml:space="preserve"> — Copilot Studio or an MCP middleware — where a live check is possible. This choice belongs to the licensing owner and should be made explicitly and recorded.</w:t>
            </w:r>
          </w:p>
        </w:tc>
      </w:tr>
    </w:tbl>
    <w:p>
      <w:pPr>
        <w:spacing w:after="40"/>
      </w:pPr>
    </w:p>
    <w:p>
      <w:pPr>
        <w:pStyle w:val="ListBullet"/>
        <w:spacing w:after="40"/>
      </w:pPr>
      <w:r>
        <w:rPr>
          <w:b/>
          <w:color w:val="202020"/>
        </w:rPr>
        <w:t>Implement (connector side):</w:t>
      </w:r>
      <w:r>
        <w:rPr>
          <w:color w:val="202020"/>
        </w:rPr>
        <w:t xml:space="preserve"> query and volume metering with configurable ceilings and a fail-closed stop, reusing the existing billable-lookup counter and purpose-of-use veto.</w:t>
      </w:r>
    </w:p>
    <w:p>
      <w:pPr>
        <w:pStyle w:val="ListBullet"/>
        <w:spacing w:after="40"/>
      </w:pPr>
      <w:r>
        <w:rPr>
          <w:b/>
          <w:color w:val="202020"/>
        </w:rPr>
        <w:t>Implement (agent side, if option b):</w:t>
      </w:r>
      <w:r>
        <w:rPr>
          <w:color w:val="202020"/>
        </w:rPr>
        <w:t xml:space="preserve"> an entitlement check in the agent middleware before an Altrata-grounded answer is returned.</w:t>
      </w:r>
    </w:p>
    <w:p>
      <w:pPr>
        <w:pStyle w:val="Heading2"/>
      </w:pPr>
      <w:r>
        <w:rPr>
          <w:color w:val="2E5496"/>
        </w:rPr>
        <w:t>4.4 G9 — Multi-region availability, RPO/RTO and backup assurance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3400"/>
        <w:gridCol w:w="2960"/>
      </w:tblGrid>
      <w:tr>
        <w:tc>
          <w:tcPr>
            <w:tcW w:type="dxa" w:w="3000"/>
            <w:shd w:val="clear" w:color="auto" w:fill="2E5496"/>
          </w:tcPr>
          <w:p>
            <w:r>
              <w:rPr>
                <w:b/>
                <w:color w:val="FFFFFF"/>
                <w:sz w:val="19"/>
              </w:rPr>
              <w:t>Catalogue target</w:t>
            </w:r>
          </w:p>
        </w:tc>
        <w:tc>
          <w:tcPr>
            <w:tcW w:type="dxa" w:w="3400"/>
            <w:shd w:val="clear" w:color="auto" w:fill="2E5496"/>
          </w:tcPr>
          <w:p>
            <w:r>
              <w:rPr>
                <w:b/>
                <w:color w:val="FFFFFF"/>
                <w:sz w:val="19"/>
              </w:rPr>
              <w:t>Delivered</w:t>
            </w:r>
          </w:p>
        </w:tc>
        <w:tc>
          <w:tcPr>
            <w:tcW w:type="dxa" w:w="2960"/>
            <w:shd w:val="clear" w:color="auto" w:fill="2E5496"/>
          </w:tcPr>
          <w:p>
            <w:r>
              <w:rPr>
                <w:b/>
                <w:color w:val="FFFFFF"/>
                <w:sz w:val="19"/>
              </w:rPr>
              <w:t>Gap</w:t>
            </w:r>
          </w:p>
        </w:tc>
      </w:tr>
      <w:tr>
        <w:tc>
          <w:tcPr>
            <w:tcW w:type="dxa" w:w="3000"/>
          </w:tcPr>
          <w:p>
            <w:r>
              <w:rPr>
                <w:color w:val="202020"/>
                <w:sz w:val="19"/>
              </w:rPr>
              <w:t>99.99% uptime, active-active multi-region</w:t>
            </w:r>
          </w:p>
        </w:tc>
        <w:tc>
          <w:tcPr>
            <w:tcW w:type="dxa" w:w="3400"/>
          </w:tcPr>
          <w:p>
            <w:r>
              <w:rPr>
                <w:color w:val="202020"/>
                <w:sz w:val="19"/>
              </w:rPr>
              <w:t xml:space="preserve">Active-active </w:t>
            </w:r>
            <w:r>
              <w:rPr>
                <w:b/>
                <w:color w:val="202020"/>
                <w:sz w:val="19"/>
              </w:rPr>
              <w:t>within one region</w:t>
            </w:r>
            <w:r>
              <w:rPr>
                <w:color w:val="202020"/>
                <w:sz w:val="19"/>
              </w:rPr>
              <w:t xml:space="preserve"> (SQL leases, stateless services, idempotent replay)</w:t>
            </w:r>
          </w:p>
        </w:tc>
        <w:tc>
          <w:tcPr>
            <w:tcW w:type="dxa" w:w="2960"/>
          </w:tcPr>
          <w:p>
            <w:r>
              <w:rPr>
                <w:color w:val="202020"/>
                <w:sz w:val="19"/>
              </w:rPr>
              <w:t>Second region, automated regional failover</w:t>
            </w:r>
          </w:p>
        </w:tc>
      </w:tr>
      <w:tr>
        <w:tc>
          <w:tcPr>
            <w:tcW w:type="dxa" w:w="3000"/>
            <w:shd w:val="clear" w:color="auto" w:fill="F7F9FC"/>
          </w:tcPr>
          <w:p>
            <w:r>
              <w:rPr>
                <w:color w:val="202020"/>
                <w:sz w:val="19"/>
              </w:rPr>
              <w:t>RPO &lt; 5 min / RTO &lt; 30 min</w:t>
            </w:r>
          </w:p>
        </w:tc>
        <w:tc>
          <w:tcPr>
            <w:tcW w:type="dxa" w:w="3400"/>
            <w:shd w:val="clear" w:color="auto" w:fill="F7F9FC"/>
          </w:tcPr>
          <w:p>
            <w:r>
              <w:rPr>
                <w:color w:val="202020"/>
                <w:sz w:val="19"/>
              </w:rPr>
              <w:t>DR plan documents objectives</w:t>
            </w:r>
          </w:p>
        </w:tc>
        <w:tc>
          <w:tcPr>
            <w:tcW w:type="dxa" w:w="2960"/>
            <w:shd w:val="clear" w:color="auto" w:fill="F7F9FC"/>
          </w:tcPr>
          <w:p>
            <w:r>
              <w:rPr>
                <w:color w:val="202020"/>
                <w:sz w:val="19"/>
              </w:rPr>
              <w:t>Not demonstrated by test</w:t>
            </w:r>
          </w:p>
        </w:tc>
      </w:tr>
      <w:tr>
        <w:tc>
          <w:tcPr>
            <w:tcW w:type="dxa" w:w="3000"/>
          </w:tcPr>
          <w:p>
            <w:r>
              <w:rPr>
                <w:color w:val="202020"/>
                <w:sz w:val="19"/>
              </w:rPr>
              <w:t>Immutable backups</w:t>
            </w:r>
          </w:p>
        </w:tc>
        <w:tc>
          <w:tcPr>
            <w:tcW w:type="dxa" w:w="3400"/>
          </w:tcPr>
          <w:p>
            <w:r>
              <w:rPr>
                <w:color w:val="202020"/>
                <w:sz w:val="19"/>
              </w:rPr>
              <w:t>Not implemented</w:t>
            </w:r>
          </w:p>
        </w:tc>
        <w:tc>
          <w:tcPr>
            <w:tcW w:type="dxa" w:w="2960"/>
          </w:tcPr>
          <w:p>
            <w:r>
              <w:rPr>
                <w:color w:val="202020"/>
                <w:sz w:val="19"/>
              </w:rPr>
              <w:t>Write-once backup copies</w:t>
            </w:r>
          </w:p>
        </w:tc>
      </w:tr>
      <w:tr>
        <w:tc>
          <w:tcPr>
            <w:tcW w:type="dxa" w:w="3000"/>
            <w:shd w:val="clear" w:color="auto" w:fill="F7F9FC"/>
          </w:tcPr>
          <w:p>
            <w:r>
              <w:rPr>
                <w:color w:val="202020"/>
                <w:sz w:val="19"/>
              </w:rPr>
              <w:t>Restore testing</w:t>
            </w:r>
          </w:p>
        </w:tc>
        <w:tc>
          <w:tcPr>
            <w:tcW w:type="dxa" w:w="3400"/>
            <w:shd w:val="clear" w:color="auto" w:fill="F7F9FC"/>
          </w:tcPr>
          <w:p>
            <w:r>
              <w:rPr>
                <w:color w:val="202020"/>
                <w:sz w:val="19"/>
              </w:rPr>
              <w:t>Not implemented</w:t>
            </w:r>
          </w:p>
        </w:tc>
        <w:tc>
          <w:tcPr>
            <w:tcW w:type="dxa" w:w="2960"/>
            <w:shd w:val="clear" w:color="auto" w:fill="F7F9FC"/>
          </w:tcPr>
          <w:p>
            <w:r>
              <w:rPr>
                <w:color w:val="202020"/>
                <w:sz w:val="19"/>
              </w:rPr>
              <w:t>Scheduled restore drills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b/>
                <w:color w:val="202020"/>
                <w:sz w:val="20"/>
              </w:rPr>
              <w:t>The expensive part is already done.</w:t>
            </w:r>
            <w:r>
              <w:rPr>
                <w:color w:val="202020"/>
                <w:sz w:val="20"/>
              </w:rPr>
              <w:t xml:space="preserve"> Stateless services, externalised state, active-active leases and idempotent replay — the properties that make multi-region *possible* — are delivered and tested. What remains is infrastructure and drill discipline, not connector re-engineering.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Justification for a deliberate deferral.</w:t>
            </w:r>
            <w:r>
              <w:rPr>
                <w:color w:val="202020"/>
                <w:sz w:val="20"/>
              </w:rPr>
              <w:t xml:space="preserve"> The catalogue's own next step is to cost 99.99% active-active against a single-region alternative. Almost all connector state is </w:t>
            </w:r>
            <w:r>
              <w:rPr>
                <w:b/>
                <w:color w:val="202020"/>
                <w:sz w:val="20"/>
              </w:rPr>
              <w:t>re-crawlable</w:t>
            </w:r>
            <w:r>
              <w:rPr>
                <w:color w:val="202020"/>
                <w:sz w:val="20"/>
              </w:rPr>
              <w:t>, so a lost region costs a rebuild, not data. The genuine RPO-0 assets are narrow: Altrata's suppression list and erasure ledger, which are not reconstructible from the source. A defensible position is to protect those two specifically with immutable backups and cross-region replication, and accept single-region with fast rebuild for everything else — provided that decision is taken explicitly at the Architecture Review Board rather than by omission.</w:t>
            </w:r>
          </w:p>
        </w:tc>
      </w:tr>
    </w:tbl>
    <w:p>
      <w:pPr>
        <w:spacing w:after="40"/>
      </w:pPr>
    </w:p>
    <w:p>
      <w:r>
        <w:br w:type="page"/>
      </w:r>
    </w:p>
    <w:p>
      <w:pPr>
        <w:pStyle w:val="Heading1"/>
      </w:pPr>
      <w:r>
        <w:rPr>
          <w:color w:val="1F3864"/>
        </w:rPr>
        <w:t>5. P2 — platform-engineering maturity</w:t>
      </w:r>
    </w:p>
    <w:p>
      <w:pPr>
        <w:spacing w:after="200"/>
      </w:pPr>
      <w:r>
        <w:rPr>
          <w:color w:val="595959"/>
          <w:sz w:val="23"/>
        </w:rPr>
        <w:t>Valuable, but none of these gate the first go-lives. Each is scheduled after the pilot proves the pipeline end to end.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1500"/>
        <w:gridCol w:w="5460"/>
      </w:tblGrid>
      <w:tr>
        <w:tc>
          <w:tcPr>
            <w:tcW w:type="dxa" w:w="2400"/>
            <w:shd w:val="clear" w:color="auto" w:fill="2E5496"/>
          </w:tcPr>
          <w:p>
            <w:r>
              <w:rPr>
                <w:b/>
                <w:color w:val="FFFFFF"/>
                <w:sz w:val="19"/>
              </w:rPr>
              <w:t>ID / Gap</w:t>
            </w:r>
          </w:p>
        </w:tc>
        <w:tc>
          <w:tcPr>
            <w:tcW w:type="dxa" w:w="1500"/>
            <w:shd w:val="clear" w:color="auto" w:fill="2E5496"/>
          </w:tcPr>
          <w:p>
            <w:r>
              <w:rPr>
                <w:b/>
                <w:color w:val="FFFFFF"/>
                <w:sz w:val="19"/>
              </w:rPr>
              <w:t>Applies to</w:t>
            </w:r>
          </w:p>
        </w:tc>
        <w:tc>
          <w:tcPr>
            <w:tcW w:type="dxa" w:w="5460"/>
            <w:shd w:val="clear" w:color="auto" w:fill="2E5496"/>
          </w:tcPr>
          <w:p>
            <w:r>
              <w:rPr>
                <w:b/>
                <w:color w:val="FFFFFF"/>
                <w:sz w:val="19"/>
              </w:rPr>
              <w:t>Current state and judgement</w:t>
            </w:r>
          </w:p>
        </w:tc>
      </w:tr>
      <w:tr>
        <w:tc>
          <w:tcPr>
            <w:tcW w:type="dxa" w:w="2400"/>
          </w:tcPr>
          <w:p>
            <w:r>
              <w:rPr>
                <w:b/>
                <w:color w:val="202020"/>
                <w:sz w:val="19"/>
              </w:rPr>
              <w:t>G10</w:t>
            </w:r>
            <w:r>
              <w:rPr>
                <w:color w:val="202020"/>
                <w:sz w:val="19"/>
              </w:rPr>
              <w:t xml:space="preserve"> Infrastructure as code</w:t>
            </w:r>
          </w:p>
        </w:tc>
        <w:tc>
          <w:tcPr>
            <w:tcW w:type="dxa" w:w="1500"/>
          </w:tcPr>
          <w:p>
            <w:r>
              <w:rPr>
                <w:color w:val="202020"/>
                <w:sz w:val="19"/>
              </w:rPr>
              <w:t>Platform</w:t>
            </w:r>
          </w:p>
        </w:tc>
        <w:tc>
          <w:tcPr>
            <w:tcW w:type="dxa" w:w="5460"/>
          </w:tcPr>
          <w:p>
            <w:r>
              <w:rPr>
                <w:color w:val="202020"/>
                <w:sz w:val="19"/>
              </w:rPr>
              <w:t>None. Delivery is MSI packaging plus install scripts and CI. The catalogue requires every environment reproducible from source control — implement in Terraform or Bicep alongside the existing CI/CD.</w:t>
            </w:r>
          </w:p>
        </w:tc>
      </w:tr>
      <w:tr>
        <w:tc>
          <w:tcPr>
            <w:tcW w:type="dxa" w:w="2400"/>
            <w:shd w:val="clear" w:color="auto" w:fill="F7F9FC"/>
          </w:tcPr>
          <w:p>
            <w:r>
              <w:rPr>
                <w:b/>
                <w:color w:val="202020"/>
                <w:sz w:val="19"/>
              </w:rPr>
              <w:t>G11</w:t>
            </w:r>
            <w:r>
              <w:rPr>
                <w:color w:val="202020"/>
                <w:sz w:val="19"/>
              </w:rPr>
              <w:t xml:space="preserve"> Chaos testing</w:t>
            </w:r>
          </w:p>
        </w:tc>
        <w:tc>
          <w:tcPr>
            <w:tcW w:type="dxa" w:w="1500"/>
            <w:shd w:val="clear" w:color="auto" w:fill="F7F9FC"/>
          </w:tcPr>
          <w:p>
            <w:r>
              <w:rPr>
                <w:color w:val="202020"/>
                <w:sz w:val="19"/>
              </w:rPr>
              <w:t>Platform</w:t>
            </w:r>
          </w:p>
        </w:tc>
        <w:tc>
          <w:tcPr>
            <w:tcW w:type="dxa" w:w="5460"/>
            <w:shd w:val="clear" w:color="auto" w:fill="F7F9FC"/>
          </w:tcPr>
          <w:p>
            <w:r>
              <w:rPr>
                <w:color w:val="202020"/>
                <w:sz w:val="19"/>
              </w:rPr>
              <w:t xml:space="preserve">Adversarial stress and fault-injection </w:t>
            </w:r>
            <w:r>
              <w:rPr>
                <w:b/>
                <w:color w:val="202020"/>
                <w:sz w:val="19"/>
              </w:rPr>
              <w:t>tests</w:t>
            </w:r>
            <w:r>
              <w:rPr>
                <w:color w:val="202020"/>
                <w:sz w:val="19"/>
              </w:rPr>
              <w:t xml:space="preserve"> exist and are extensive; deliberate failure injection against a </w:t>
            </w:r>
            <w:r>
              <w:rPr>
                <w:b/>
                <w:color w:val="202020"/>
                <w:sz w:val="19"/>
              </w:rPr>
              <w:t>running deployment</w:t>
            </w:r>
            <w:r>
              <w:rPr>
                <w:color w:val="202020"/>
                <w:sz w:val="19"/>
              </w:rPr>
              <w:t xml:space="preserve"> does not. Needed to validate the resilience claims before an incident does.</w:t>
            </w:r>
          </w:p>
        </w:tc>
      </w:tr>
      <w:tr>
        <w:tc>
          <w:tcPr>
            <w:tcW w:type="dxa" w:w="2400"/>
          </w:tcPr>
          <w:p>
            <w:r>
              <w:rPr>
                <w:b/>
                <w:color w:val="202020"/>
                <w:sz w:val="19"/>
              </w:rPr>
              <w:t>G12</w:t>
            </w:r>
            <w:r>
              <w:rPr>
                <w:color w:val="202020"/>
                <w:sz w:val="19"/>
              </w:rPr>
              <w:t xml:space="preserve"> Auto-scaling, load balancing, self-healing</w:t>
            </w:r>
          </w:p>
        </w:tc>
        <w:tc>
          <w:tcPr>
            <w:tcW w:type="dxa" w:w="1500"/>
          </w:tcPr>
          <w:p>
            <w:r>
              <w:rPr>
                <w:color w:val="202020"/>
                <w:sz w:val="19"/>
              </w:rPr>
              <w:t>Platform</w:t>
            </w:r>
          </w:p>
        </w:tc>
        <w:tc>
          <w:tcPr>
            <w:tcW w:type="dxa" w:w="5460"/>
          </w:tcPr>
          <w:p>
            <w:r>
              <w:rPr>
                <w:color w:val="202020"/>
                <w:sz w:val="19"/>
              </w:rPr>
              <w:t xml:space="preserve">Adaptive concurrency and HA leases only. </w:t>
            </w:r>
            <w:r>
              <w:rPr>
                <w:b/>
                <w:color w:val="202020"/>
                <w:sz w:val="19"/>
              </w:rPr>
              <w:t>Justification:</w:t>
            </w:r>
            <w:r>
              <w:rPr>
                <w:color w:val="202020"/>
                <w:sz w:val="19"/>
              </w:rPr>
              <w:t xml:space="preserve"> the Windows-service deployment model cannot autoscale — this is a deployment-model decision (containers, Kubernetes or VM scale sets), not a code defect. Raise it as an architecture choice, not a bug.</w:t>
            </w:r>
          </w:p>
        </w:tc>
      </w:tr>
      <w:tr>
        <w:tc>
          <w:tcPr>
            <w:tcW w:type="dxa" w:w="2400"/>
            <w:shd w:val="clear" w:color="auto" w:fill="F7F9FC"/>
          </w:tcPr>
          <w:p>
            <w:r>
              <w:rPr>
                <w:b/>
                <w:color w:val="202020"/>
                <w:sz w:val="19"/>
              </w:rPr>
              <w:t>G13</w:t>
            </w:r>
            <w:r>
              <w:rPr>
                <w:color w:val="202020"/>
                <w:sz w:val="19"/>
              </w:rPr>
              <w:t xml:space="preserve"> Hive metastore and Impala</w:t>
            </w:r>
          </w:p>
        </w:tc>
        <w:tc>
          <w:tcPr>
            <w:tcW w:type="dxa" w:w="1500"/>
            <w:shd w:val="clear" w:color="auto" w:fill="F7F9FC"/>
          </w:tcPr>
          <w:p>
            <w:r>
              <w:rPr>
                <w:color w:val="202020"/>
                <w:sz w:val="19"/>
              </w:rPr>
              <w:t>Hadoop</w:t>
            </w:r>
          </w:p>
        </w:tc>
        <w:tc>
          <w:tcPr>
            <w:tcW w:type="dxa" w:w="5460"/>
            <w:shd w:val="clear" w:color="auto" w:fill="F7F9FC"/>
          </w:tcPr>
          <w:p>
            <w:r>
              <w:rPr>
                <w:color w:val="202020"/>
                <w:sz w:val="19"/>
              </w:rPr>
              <w:t xml:space="preserve">Path-based traversal with partition pruning is delivered. Metastore integration adds table, partition and </w:t>
            </w:r>
            <w:r>
              <w:rPr>
                <w:b/>
                <w:color w:val="202020"/>
                <w:sz w:val="19"/>
              </w:rPr>
              <w:t>column</w:t>
            </w:r>
            <w:r>
              <w:rPr>
                <w:color w:val="202020"/>
                <w:sz w:val="19"/>
              </w:rPr>
              <w:t xml:space="preserve"> metadata — a prerequisite for Ranger column policies (G3). Impala is only justified if interactive extraction is genuinely required.</w:t>
            </w:r>
          </w:p>
        </w:tc>
      </w:tr>
      <w:tr>
        <w:tc>
          <w:tcPr>
            <w:tcW w:type="dxa" w:w="2400"/>
          </w:tcPr>
          <w:p>
            <w:r>
              <w:rPr>
                <w:b/>
                <w:color w:val="202020"/>
                <w:sz w:val="19"/>
              </w:rPr>
              <w:t>G14</w:t>
            </w:r>
            <w:r>
              <w:rPr>
                <w:color w:val="202020"/>
                <w:sz w:val="19"/>
              </w:rPr>
              <w:t xml:space="preserve"> Data lineage (Apache Atlas)</w:t>
            </w:r>
          </w:p>
        </w:tc>
        <w:tc>
          <w:tcPr>
            <w:tcW w:type="dxa" w:w="1500"/>
          </w:tcPr>
          <w:p>
            <w:r>
              <w:rPr>
                <w:color w:val="202020"/>
                <w:sz w:val="19"/>
              </w:rPr>
              <w:t>Hadoop, all</w:t>
            </w:r>
          </w:p>
        </w:tc>
        <w:tc>
          <w:tcPr>
            <w:tcW w:type="dxa" w:w="5460"/>
          </w:tcPr>
          <w:p>
            <w:r>
              <w:rPr>
                <w:color w:val="202020"/>
                <w:sz w:val="19"/>
              </w:rPr>
              <w:t>Correlation identifiers and source record ids are carried end to end; formal lineage tags and Atlas propagation are absent. Required for the catalogue's "Copilot answer traceable back to source record".</w:t>
            </w:r>
          </w:p>
        </w:tc>
      </w:tr>
      <w:tr>
        <w:tc>
          <w:tcPr>
            <w:tcW w:type="dxa" w:w="2400"/>
            <w:shd w:val="clear" w:color="auto" w:fill="F7F9FC"/>
          </w:tcPr>
          <w:p>
            <w:r>
              <w:rPr>
                <w:b/>
                <w:color w:val="202020"/>
                <w:sz w:val="19"/>
              </w:rPr>
              <w:t>G15</w:t>
            </w:r>
            <w:r>
              <w:rPr>
                <w:color w:val="202020"/>
                <w:sz w:val="19"/>
              </w:rPr>
              <w:t xml:space="preserve"> Salesforce Bulk API and Change Data Capture</w:t>
            </w:r>
          </w:p>
        </w:tc>
        <w:tc>
          <w:tcPr>
            <w:tcW w:type="dxa" w:w="1500"/>
            <w:shd w:val="clear" w:color="auto" w:fill="F7F9FC"/>
          </w:tcPr>
          <w:p>
            <w:r>
              <w:rPr>
                <w:color w:val="202020"/>
                <w:sz w:val="19"/>
              </w:rPr>
              <w:t>Salesforce</w:t>
            </w:r>
          </w:p>
        </w:tc>
        <w:tc>
          <w:tcPr>
            <w:tcW w:type="dxa" w:w="5460"/>
            <w:shd w:val="clear" w:color="auto" w:fill="F7F9FC"/>
          </w:tcPr>
          <w:p>
            <w:r>
              <w:rPr>
                <w:color w:val="202020"/>
                <w:sz w:val="19"/>
              </w:rPr>
              <w:t xml:space="preserve">Extraction is REST/SOQL only. </w:t>
            </w:r>
            <w:r>
              <w:rPr>
                <w:b/>
                <w:color w:val="202020"/>
                <w:sz w:val="19"/>
              </w:rPr>
              <w:t>Justified as not needed today:</w:t>
            </w:r>
            <w:r>
              <w:rPr>
                <w:color w:val="202020"/>
                <w:sz w:val="19"/>
              </w:rPr>
              <w:t xml:space="preserve"> the Salesforce connector is deferred from deployment and Hadoop BDH carries the same data at ~24h lag. Re-scope only if the Phase-4 checkpoint reinstates live Salesforce — at which point Bulk API (initial loads) and CDC (near-real-time) both become necessary.</w:t>
            </w:r>
          </w:p>
        </w:tc>
      </w:tr>
      <w:tr>
        <w:tc>
          <w:tcPr>
            <w:tcW w:type="dxa" w:w="2400"/>
          </w:tcPr>
          <w:p>
            <w:r>
              <w:rPr>
                <w:b/>
                <w:color w:val="202020"/>
                <w:sz w:val="19"/>
              </w:rPr>
              <w:t>G16</w:t>
            </w:r>
            <w:r>
              <w:rPr>
                <w:color w:val="202020"/>
                <w:sz w:val="19"/>
              </w:rPr>
              <w:t xml:space="preserve"> Clarizen dependency and relationship graph</w:t>
            </w:r>
          </w:p>
        </w:tc>
        <w:tc>
          <w:tcPr>
            <w:tcW w:type="dxa" w:w="1500"/>
          </w:tcPr>
          <w:p>
            <w:r>
              <w:rPr>
                <w:color w:val="202020"/>
                <w:sz w:val="19"/>
              </w:rPr>
              <w:t>Clarizen</w:t>
            </w:r>
          </w:p>
        </w:tc>
        <w:tc>
          <w:tcPr>
            <w:tcW w:type="dxa" w:w="5460"/>
          </w:tcPr>
          <w:p>
            <w:r>
              <w:rPr>
                <w:color w:val="202020"/>
                <w:sz w:val="19"/>
              </w:rPr>
              <w:t xml:space="preserve">Comments and Discussions </w:t>
            </w:r>
            <w:r>
              <w:rPr>
                <w:b/>
                <w:color w:val="202020"/>
                <w:sz w:val="19"/>
              </w:rPr>
              <w:t>are</w:t>
            </w:r>
            <w:r>
              <w:rPr>
                <w:color w:val="202020"/>
                <w:sz w:val="19"/>
              </w:rPr>
              <w:t xml:space="preserve"> ingested; project dependencies are not. Low grounding value relative to effort — schedule last or drop with the sponsor's agreement.</w:t>
            </w:r>
          </w:p>
        </w:tc>
      </w:tr>
    </w:tbl>
    <w:p>
      <w:pPr>
        <w:spacing w:after="40"/>
      </w:pPr>
    </w:p>
    <w:p>
      <w:r>
        <w:br w:type="page"/>
      </w:r>
    </w:p>
    <w:p>
      <w:pPr>
        <w:pStyle w:val="Heading1"/>
      </w:pPr>
      <w:r>
        <w:rPr>
          <w:color w:val="1F3864"/>
        </w:rPr>
        <w:t>6. Catalogued but deliberately not built</w:t>
      </w:r>
    </w:p>
    <w:p>
      <w:pPr>
        <w:spacing w:after="200"/>
      </w:pPr>
      <w:r>
        <w:rPr>
          <w:color w:val="595959"/>
          <w:sz w:val="23"/>
        </w:rPr>
        <w:t>These appear in the Feature Catalog but are not connector work. Each needs a named owner elsewhere in the bank — recording them here prevents them being assumed delivered.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6360"/>
      </w:tblGrid>
      <w:tr>
        <w:tc>
          <w:tcPr>
            <w:tcW w:type="dxa" w:w="3000"/>
            <w:shd w:val="clear" w:color="auto" w:fill="2E5496"/>
          </w:tcPr>
          <w:p>
            <w:r>
              <w:rPr>
                <w:b/>
                <w:color w:val="FFFFFF"/>
                <w:sz w:val="19"/>
              </w:rPr>
              <w:t>Catalogue item</w:t>
            </w:r>
          </w:p>
        </w:tc>
        <w:tc>
          <w:tcPr>
            <w:tcW w:type="dxa" w:w="6360"/>
            <w:shd w:val="clear" w:color="auto" w:fill="2E5496"/>
          </w:tcPr>
          <w:p>
            <w:r>
              <w:rPr>
                <w:b/>
                <w:color w:val="FFFFFF"/>
                <w:sz w:val="19"/>
              </w:rPr>
              <w:t>Justification and owner</w:t>
            </w:r>
          </w:p>
        </w:tc>
      </w:tr>
      <w:tr>
        <w:tc>
          <w:tcPr>
            <w:tcW w:type="dxa" w:w="3000"/>
          </w:tcPr>
          <w:p>
            <w:r>
              <w:rPr>
                <w:color w:val="202020"/>
                <w:sz w:val="19"/>
              </w:rPr>
              <w:t>OIDC and SAML interactive sign-in; Privileged Identity Management; CyberArk; no standing administrative credentials; access recertification</w:t>
            </w:r>
          </w:p>
        </w:tc>
        <w:tc>
          <w:tcPr>
            <w:tcW w:type="dxa" w:w="6360"/>
          </w:tcPr>
          <w:p>
            <w:r>
              <w:rPr>
                <w:b/>
                <w:color w:val="202020"/>
                <w:sz w:val="19"/>
              </w:rPr>
              <w:t>Tenant and identity-governance controls owned by the bank's identity team</w:t>
            </w:r>
            <w:r>
              <w:rPr>
                <w:color w:val="202020"/>
                <w:sz w:val="19"/>
              </w:rPr>
              <w:t>, not connector code. The connectors correctly use app-only OAuth 2.0 with certificate credentials and Azure Key Vault, and hold no interactive user session. Assign to Identity/IGA (for example Entra ID Governance or SailPoint) with an entry in the programme RACI.</w:t>
            </w:r>
          </w:p>
        </w:tc>
      </w:tr>
      <w:tr>
        <w:tc>
          <w:tcPr>
            <w:tcW w:type="dxa" w:w="3000"/>
            <w:shd w:val="clear" w:color="auto" w:fill="F7F9FC"/>
          </w:tcPr>
          <w:p>
            <w:r>
              <w:rPr>
                <w:color w:val="202020"/>
                <w:sz w:val="19"/>
              </w:rPr>
              <w:t>Mutual TLS between platform services</w:t>
            </w:r>
          </w:p>
        </w:tc>
        <w:tc>
          <w:tcPr>
            <w:tcW w:type="dxa" w:w="6360"/>
            <w:shd w:val="clear" w:color="auto" w:fill="F7F9FC"/>
          </w:tcPr>
          <w:p>
            <w:r>
              <w:rPr>
                <w:b/>
                <w:color w:val="202020"/>
                <w:sz w:val="19"/>
              </w:rPr>
              <w:t>Not applicable to this architecture.</w:t>
            </w:r>
            <w:r>
              <w:rPr>
                <w:color w:val="202020"/>
                <w:sz w:val="19"/>
              </w:rPr>
              <w:t xml:space="preserve"> Each connector is a standalone service that makes outbound TLS calls to its source and to Microsoft Graph; there is no inter-service mesh to mutually authenticate. Corporate proxy and TLS-inspection trust are already supported.</w:t>
            </w:r>
          </w:p>
        </w:tc>
      </w:tr>
      <w:tr>
        <w:tc>
          <w:tcPr>
            <w:tcW w:type="dxa" w:w="3000"/>
          </w:tcPr>
          <w:p>
            <w:r>
              <w:rPr>
                <w:color w:val="202020"/>
                <w:sz w:val="19"/>
              </w:rPr>
              <w:t>Tokenisation of identifiers</w:t>
            </w:r>
          </w:p>
        </w:tc>
        <w:tc>
          <w:tcPr>
            <w:tcW w:type="dxa" w:w="6360"/>
          </w:tcPr>
          <w:p>
            <w:r>
              <w:rPr>
                <w:b/>
                <w:color w:val="202020"/>
                <w:sz w:val="19"/>
              </w:rPr>
              <w:t>Deliberate alternative.</w:t>
            </w:r>
            <w:r>
              <w:rPr>
                <w:color w:val="202020"/>
                <w:sz w:val="19"/>
              </w:rPr>
              <w:t xml:space="preserve"> The platform redacts and SHA-256 hashes rather than tokenising. A reversible token vault is only justified where re-identification is a requirement; where it is not, one-way hashing is the stronger privacy posture and avoids operating a vault as a new high-value target. Revisit only if a re-identification use case is agreed.</w:t>
            </w:r>
          </w:p>
        </w:tc>
      </w:tr>
    </w:tbl>
    <w:p>
      <w:pPr>
        <w:spacing w:after="40"/>
      </w:pPr>
    </w:p>
    <w:p>
      <w:pPr>
        <w:pStyle w:val="Heading1"/>
      </w:pPr>
      <w:r>
        <w:rPr>
          <w:color w:val="1F3864"/>
        </w:rPr>
        <w:t>7. Already delivered — no action</w:t>
      </w:r>
    </w:p>
    <w:p>
      <w:pPr>
        <w:spacing w:after="120"/>
      </w:pPr>
      <w:r>
        <w:rPr>
          <w:color w:val="202020"/>
        </w:rPr>
        <w:t>Verified present in code and covered by the test suite. Listed so the assessment is not misread as a wholesale deficiency.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6160"/>
      </w:tblGrid>
      <w:tr>
        <w:tc>
          <w:tcPr>
            <w:tcW w:type="dxa" w:w="3200"/>
            <w:shd w:val="clear" w:color="auto" w:fill="2E5496"/>
          </w:tcPr>
          <w:p>
            <w:r>
              <w:rPr>
                <w:b/>
                <w:color w:val="FFFFFF"/>
                <w:sz w:val="19"/>
              </w:rPr>
              <w:t>Capability</w:t>
            </w:r>
          </w:p>
        </w:tc>
        <w:tc>
          <w:tcPr>
            <w:tcW w:type="dxa" w:w="6160"/>
            <w:shd w:val="clear" w:color="auto" w:fill="2E5496"/>
          </w:tcPr>
          <w:p>
            <w:r>
              <w:rPr>
                <w:b/>
                <w:color w:val="FFFFFF"/>
                <w:sz w:val="19"/>
              </w:rPr>
              <w:t>Evidence</w:t>
            </w:r>
          </w:p>
        </w:tc>
      </w:tr>
      <w:tr>
        <w:tc>
          <w:tcPr>
            <w:tcW w:type="dxa" w:w="3200"/>
          </w:tcPr>
          <w:p>
            <w:r>
              <w:rPr>
                <w:color w:val="202020"/>
                <w:sz w:val="19"/>
              </w:rPr>
              <w:t>ACL trimming from source entitlements</w:t>
            </w:r>
          </w:p>
        </w:tc>
        <w:tc>
          <w:tcPr>
            <w:tcW w:type="dxa" w:w="6160"/>
          </w:tcPr>
          <w:p>
            <w:r>
              <w:rPr>
                <w:color w:val="202020"/>
                <w:sz w:val="19"/>
              </w:rPr>
              <w:t>Per-item ACLs on every connector; never widened on an unresolved identity; proven by two-user tests</w:t>
            </w:r>
          </w:p>
        </w:tc>
      </w:tr>
      <w:tr>
        <w:tc>
          <w:tcPr>
            <w:tcW w:type="dxa" w:w="3200"/>
            <w:shd w:val="clear" w:color="auto" w:fill="F7F9FC"/>
          </w:tcPr>
          <w:p>
            <w:r>
              <w:rPr>
                <w:color w:val="202020"/>
                <w:sz w:val="19"/>
              </w:rPr>
              <w:t>Graph semantic labels</w:t>
            </w:r>
          </w:p>
        </w:tc>
        <w:tc>
          <w:tcPr>
            <w:tcW w:type="dxa" w:w="6160"/>
            <w:shd w:val="clear" w:color="auto" w:fill="F7F9FC"/>
          </w:tcPr>
          <w:p>
            <w:r>
              <w:rPr>
                <w:color w:val="202020"/>
                <w:sz w:val="19"/>
              </w:rPr>
              <w:t>Populated: Salesforce 15 properties, Clarizen 6, Seismic 3, Altrata 2, Hadoop 3</w:t>
            </w:r>
          </w:p>
        </w:tc>
      </w:tr>
      <w:tr>
        <w:tc>
          <w:tcPr>
            <w:tcW w:type="dxa" w:w="3200"/>
          </w:tcPr>
          <w:p>
            <w:r>
              <w:rPr>
                <w:color w:val="202020"/>
                <w:sz w:val="19"/>
              </w:rPr>
              <w:t>Normalised item push to a canonical schema</w:t>
            </w:r>
          </w:p>
        </w:tc>
        <w:tc>
          <w:tcPr>
            <w:tcW w:type="dxa" w:w="6160"/>
          </w:tcPr>
          <w:p>
            <w:r>
              <w:rPr>
                <w:color w:val="202020"/>
                <w:sz w:val="19"/>
              </w:rPr>
              <w:t>Canonical index schema per connector, mapped from source fields</w:t>
            </w:r>
          </w:p>
        </w:tc>
      </w:tr>
      <w:tr>
        <w:tc>
          <w:tcPr>
            <w:tcW w:type="dxa" w:w="3200"/>
            <w:shd w:val="clear" w:color="auto" w:fill="F7F9FC"/>
          </w:tcPr>
          <w:p>
            <w:r>
              <w:rPr>
                <w:color w:val="202020"/>
                <w:sz w:val="19"/>
              </w:rPr>
              <w:t>Dead letter and retry as a first-class stage</w:t>
            </w:r>
          </w:p>
        </w:tc>
        <w:tc>
          <w:tcPr>
            <w:tcW w:type="dxa" w:w="6160"/>
            <w:shd w:val="clear" w:color="auto" w:fill="F7F9FC"/>
          </w:tcPr>
          <w:p>
            <w:r>
              <w:rPr>
                <w:color w:val="202020"/>
                <w:sz w:val="19"/>
              </w:rPr>
              <w:t xml:space="preserve">JSONL and SQL backends, </w:t>
            </w:r>
            <w:r>
              <w:rPr>
                <w:rFonts w:ascii="Consolas" w:hAnsi="Consolas"/>
                <w:color w:val="202020"/>
                <w:sz w:val="19"/>
              </w:rPr>
              <w:t>retry-failed</w:t>
            </w:r>
            <w:r>
              <w:rPr>
                <w:color w:val="202020"/>
                <w:sz w:val="19"/>
              </w:rPr>
              <w:t>, crash-tail-safe appends, redacted by default</w:t>
            </w:r>
          </w:p>
        </w:tc>
      </w:tr>
      <w:tr>
        <w:tc>
          <w:tcPr>
            <w:tcW w:type="dxa" w:w="3200"/>
          </w:tcPr>
          <w:p>
            <w:r>
              <w:rPr>
                <w:color w:val="202020"/>
                <w:sz w:val="19"/>
              </w:rPr>
              <w:t>Circuit breakers and degraded mode</w:t>
            </w:r>
          </w:p>
        </w:tc>
        <w:tc>
          <w:tcPr>
            <w:tcW w:type="dxa" w:w="6160"/>
          </w:tcPr>
          <w:p>
            <w:r>
              <w:rPr>
                <w:color w:val="202020"/>
                <w:sz w:val="19"/>
              </w:rPr>
              <w:t>Closed/open/half-open per dependency, pausing at safe checkpoint boundaries</w:t>
            </w:r>
          </w:p>
        </w:tc>
      </w:tr>
      <w:tr>
        <w:tc>
          <w:tcPr>
            <w:tcW w:type="dxa" w:w="3200"/>
            <w:shd w:val="clear" w:color="auto" w:fill="F7F9FC"/>
          </w:tcPr>
          <w:p>
            <w:r>
              <w:rPr>
                <w:color w:val="202020"/>
                <w:sz w:val="19"/>
              </w:rPr>
              <w:t>Rate limiting and back-pressure</w:t>
            </w:r>
          </w:p>
        </w:tc>
        <w:tc>
          <w:tcPr>
            <w:tcW w:type="dxa" w:w="6160"/>
            <w:shd w:val="clear" w:color="auto" w:fill="F7F9FC"/>
          </w:tcPr>
          <w:p>
            <w:r>
              <w:rPr>
                <w:color w:val="202020"/>
                <w:sz w:val="19"/>
              </w:rPr>
              <w:t xml:space="preserve">Adaptive concurrency with exact </w:t>
            </w:r>
            <w:r>
              <w:rPr>
                <w:rFonts w:ascii="Consolas" w:hAnsi="Consolas"/>
                <w:color w:val="202020"/>
                <w:sz w:val="19"/>
              </w:rPr>
              <w:t>Retry-After</w:t>
            </w:r>
            <w:r>
              <w:rPr>
                <w:color w:val="202020"/>
                <w:sz w:val="19"/>
              </w:rPr>
              <w:t xml:space="preserve"> honouring and a 60-second clamp</w:t>
            </w:r>
          </w:p>
        </w:tc>
      </w:tr>
      <w:tr>
        <w:tc>
          <w:tcPr>
            <w:tcW w:type="dxa" w:w="3200"/>
          </w:tcPr>
          <w:p>
            <w:r>
              <w:rPr>
                <w:color w:val="202020"/>
                <w:sz w:val="19"/>
              </w:rPr>
              <w:t>Idempotent processing and stateless services</w:t>
            </w:r>
          </w:p>
        </w:tc>
        <w:tc>
          <w:tcPr>
            <w:tcW w:type="dxa" w:w="6160"/>
          </w:tcPr>
          <w:p>
            <w:r>
              <w:rPr>
                <w:color w:val="202020"/>
                <w:sz w:val="19"/>
              </w:rPr>
              <w:t>Replay produces no duplicate index entries; state externalised for active-active</w:t>
            </w:r>
          </w:p>
        </w:tc>
      </w:tr>
      <w:tr>
        <w:tc>
          <w:tcPr>
            <w:tcW w:type="dxa" w:w="3200"/>
            <w:shd w:val="clear" w:color="auto" w:fill="F7F9FC"/>
          </w:tcPr>
          <w:p>
            <w:r>
              <w:rPr>
                <w:color w:val="202020"/>
                <w:sz w:val="19"/>
              </w:rPr>
              <w:t>OpenTelemetry, metrics, traces, structured logs</w:t>
            </w:r>
          </w:p>
        </w:tc>
        <w:tc>
          <w:tcPr>
            <w:tcW w:type="dxa" w:w="6160"/>
            <w:shd w:val="clear" w:color="auto" w:fill="F7F9FC"/>
          </w:tcPr>
          <w:p>
            <w:r>
              <w:rPr>
                <w:color w:val="202020"/>
                <w:sz w:val="19"/>
              </w:rPr>
              <w:t>Spans from source call to index write; correlation ids on logs and dead letters</w:t>
            </w:r>
          </w:p>
        </w:tc>
      </w:tr>
      <w:tr>
        <w:tc>
          <w:tcPr>
            <w:tcW w:type="dxa" w:w="3200"/>
          </w:tcPr>
          <w:p>
            <w:r>
              <w:rPr>
                <w:color w:val="202020"/>
                <w:sz w:val="19"/>
              </w:rPr>
              <w:t>Health probes</w:t>
            </w:r>
          </w:p>
        </w:tc>
        <w:tc>
          <w:tcPr>
            <w:tcW w:type="dxa" w:w="6160"/>
          </w:tcPr>
          <w:p>
            <w:r>
              <w:rPr>
                <w:rFonts w:ascii="Consolas" w:hAnsi="Consolas"/>
                <w:color w:val="202020"/>
                <w:sz w:val="19"/>
              </w:rPr>
              <w:t>/health</w:t>
            </w:r>
            <w:r>
              <w:rPr>
                <w:color w:val="202020"/>
                <w:sz w:val="19"/>
              </w:rPr>
              <w:t xml:space="preserve"> liveness and </w:t>
            </w:r>
            <w:r>
              <w:rPr>
                <w:rFonts w:ascii="Consolas" w:hAnsi="Consolas"/>
                <w:color w:val="202020"/>
                <w:sz w:val="19"/>
              </w:rPr>
              <w:t>/ready</w:t>
            </w:r>
            <w:r>
              <w:rPr>
                <w:color w:val="202020"/>
                <w:sz w:val="19"/>
              </w:rPr>
              <w:t xml:space="preserve"> gated on breaker state</w:t>
            </w:r>
          </w:p>
        </w:tc>
      </w:tr>
      <w:tr>
        <w:tc>
          <w:tcPr>
            <w:tcW w:type="dxa" w:w="3200"/>
            <w:shd w:val="clear" w:color="auto" w:fill="F7F9FC"/>
          </w:tcPr>
          <w:p>
            <w:r>
              <w:rPr>
                <w:color w:val="202020"/>
                <w:sz w:val="19"/>
              </w:rPr>
              <w:t>Signed artefacts and SBOM</w:t>
            </w:r>
          </w:p>
        </w:tc>
        <w:tc>
          <w:tcPr>
            <w:tcW w:type="dxa" w:w="6160"/>
            <w:shd w:val="clear" w:color="auto" w:fill="F7F9FC"/>
          </w:tcPr>
          <w:p>
            <w:r>
              <w:rPr>
                <w:color w:val="202020"/>
                <w:sz w:val="19"/>
              </w:rPr>
              <w:t>CycloneDX SBOM with Authenticode/cosign signing in the release pipeline</w:t>
            </w:r>
          </w:p>
        </w:tc>
      </w:tr>
      <w:tr>
        <w:tc>
          <w:tcPr>
            <w:tcW w:type="dxa" w:w="3200"/>
          </w:tcPr>
          <w:p>
            <w:r>
              <w:rPr>
                <w:color w:val="202020"/>
                <w:sz w:val="19"/>
              </w:rPr>
              <w:t>Full, incremental, scheduled, delta and event ingestion</w:t>
            </w:r>
          </w:p>
        </w:tc>
        <w:tc>
          <w:tcPr>
            <w:tcW w:type="dxa" w:w="6160"/>
          </w:tcPr>
          <w:p>
            <w:r>
              <w:rPr>
                <w:color w:val="202020"/>
                <w:sz w:val="19"/>
              </w:rPr>
              <w:t>Checkpointed crawls with crash-resume; webhooks with signed-timestamp anti-replay</w:t>
            </w:r>
          </w:p>
        </w:tc>
      </w:tr>
    </w:tbl>
    <w:p>
      <w:pPr>
        <w:spacing w:after="40"/>
      </w:pPr>
    </w:p>
    <w:p>
      <w:r>
        <w:br w:type="page"/>
      </w:r>
    </w:p>
    <w:p>
      <w:pPr>
        <w:pStyle w:val="Heading1"/>
      </w:pPr>
      <w:r>
        <w:rPr>
          <w:color w:val="1F3864"/>
        </w:rPr>
        <w:t>8. Gap applicability by connector</w:t>
      </w:r>
    </w:p>
    <w:p>
      <w:pPr>
        <w:spacing w:after="120"/>
      </w:pPr>
      <w:r>
        <w:rPr>
          <w:color w:val="202020"/>
        </w:rPr>
        <w:t xml:space="preserve">Where a gap is platform-wide it is marked across all columns. </w:t>
      </w:r>
      <w:r>
        <w:rPr>
          <w:b/>
          <w:color w:val="202020"/>
        </w:rPr>
        <w:t>SF</w:t>
      </w:r>
      <w:r>
        <w:rPr>
          <w:color w:val="202020"/>
        </w:rPr>
        <w:t xml:space="preserve"> Salesforce · </w:t>
      </w:r>
      <w:r>
        <w:rPr>
          <w:b/>
          <w:color w:val="202020"/>
        </w:rPr>
        <w:t>CZ</w:t>
      </w:r>
      <w:r>
        <w:rPr>
          <w:color w:val="202020"/>
        </w:rPr>
        <w:t xml:space="preserve"> Clarizen · </w:t>
      </w:r>
      <w:r>
        <w:rPr>
          <w:b/>
          <w:color w:val="202020"/>
        </w:rPr>
        <w:t>SE</w:t>
      </w:r>
      <w:r>
        <w:rPr>
          <w:color w:val="202020"/>
        </w:rPr>
        <w:t xml:space="preserve"> Seismic · </w:t>
      </w:r>
      <w:r>
        <w:rPr>
          <w:b/>
          <w:color w:val="202020"/>
        </w:rPr>
        <w:t>AL</w:t>
      </w:r>
      <w:r>
        <w:rPr>
          <w:color w:val="202020"/>
        </w:rPr>
        <w:t xml:space="preserve"> Altrata · </w:t>
      </w:r>
      <w:r>
        <w:rPr>
          <w:b/>
          <w:color w:val="202020"/>
        </w:rPr>
        <w:t>HD</w:t>
      </w:r>
      <w:r>
        <w:rPr>
          <w:color w:val="202020"/>
        </w:rPr>
        <w:t xml:space="preserve"> Hadoop BDH.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760"/>
        <w:gridCol w:w="4200"/>
        <w:gridCol w:w="880"/>
        <w:gridCol w:w="880"/>
        <w:gridCol w:w="880"/>
        <w:gridCol w:w="880"/>
        <w:gridCol w:w="880"/>
      </w:tblGrid>
      <w:tr>
        <w:tc>
          <w:tcPr>
            <w:tcW w:type="dxa" w:w="760"/>
            <w:shd w:val="clear" w:color="auto" w:fill="2E5496"/>
          </w:tcPr>
          <w:p>
            <w:r>
              <w:rPr>
                <w:b/>
                <w:color w:val="FFFFFF"/>
                <w:sz w:val="19"/>
              </w:rPr>
              <w:t>ID</w:t>
            </w:r>
          </w:p>
        </w:tc>
        <w:tc>
          <w:tcPr>
            <w:tcW w:type="dxa" w:w="4200"/>
            <w:shd w:val="clear" w:color="auto" w:fill="2E5496"/>
          </w:tcPr>
          <w:p>
            <w:r>
              <w:rPr>
                <w:b/>
                <w:color w:val="FFFFFF"/>
                <w:sz w:val="19"/>
              </w:rPr>
              <w:t>Gap</w:t>
            </w:r>
          </w:p>
        </w:tc>
        <w:tc>
          <w:tcPr>
            <w:tcW w:type="dxa" w:w="880"/>
            <w:shd w:val="clear" w:color="auto" w:fill="2E5496"/>
          </w:tcPr>
          <w:p>
            <w:r>
              <w:rPr>
                <w:b/>
                <w:color w:val="FFFFFF"/>
                <w:sz w:val="19"/>
              </w:rPr>
              <w:t>SF</w:t>
            </w:r>
          </w:p>
        </w:tc>
        <w:tc>
          <w:tcPr>
            <w:tcW w:type="dxa" w:w="880"/>
            <w:shd w:val="clear" w:color="auto" w:fill="2E5496"/>
          </w:tcPr>
          <w:p>
            <w:r>
              <w:rPr>
                <w:b/>
                <w:color w:val="FFFFFF"/>
                <w:sz w:val="19"/>
              </w:rPr>
              <w:t>CZ</w:t>
            </w:r>
          </w:p>
        </w:tc>
        <w:tc>
          <w:tcPr>
            <w:tcW w:type="dxa" w:w="880"/>
            <w:shd w:val="clear" w:color="auto" w:fill="2E5496"/>
          </w:tcPr>
          <w:p>
            <w:r>
              <w:rPr>
                <w:b/>
                <w:color w:val="FFFFFF"/>
                <w:sz w:val="19"/>
              </w:rPr>
              <w:t>SE</w:t>
            </w:r>
          </w:p>
        </w:tc>
        <w:tc>
          <w:tcPr>
            <w:tcW w:type="dxa" w:w="880"/>
            <w:shd w:val="clear" w:color="auto" w:fill="2E5496"/>
          </w:tcPr>
          <w:p>
            <w:r>
              <w:rPr>
                <w:b/>
                <w:color w:val="FFFFFF"/>
                <w:sz w:val="19"/>
              </w:rPr>
              <w:t>AL</w:t>
            </w:r>
          </w:p>
        </w:tc>
        <w:tc>
          <w:tcPr>
            <w:tcW w:type="dxa" w:w="880"/>
            <w:shd w:val="clear" w:color="auto" w:fill="2E5496"/>
          </w:tcPr>
          <w:p>
            <w:r>
              <w:rPr>
                <w:b/>
                <w:color w:val="FFFFFF"/>
                <w:sz w:val="19"/>
              </w:rPr>
              <w:t>HD</w:t>
            </w:r>
          </w:p>
        </w:tc>
      </w:tr>
      <w:tr>
        <w:tc>
          <w:tcPr>
            <w:tcW w:type="dxa" w:w="760"/>
          </w:tcPr>
          <w:p>
            <w:r>
              <w:rPr>
                <w:color w:val="202020"/>
                <w:sz w:val="19"/>
              </w:rPr>
              <w:t>G1</w:t>
            </w:r>
          </w:p>
        </w:tc>
        <w:tc>
          <w:tcPr>
            <w:tcW w:type="dxa" w:w="4200"/>
          </w:tcPr>
          <w:p>
            <w:r>
              <w:rPr>
                <w:color w:val="202020"/>
                <w:sz w:val="19"/>
              </w:rPr>
              <w:t>Prompt-injection / malware scanning</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G2</w:t>
            </w:r>
          </w:p>
        </w:tc>
        <w:tc>
          <w:tcPr>
            <w:tcW w:type="dxa" w:w="4200"/>
            <w:shd w:val="clear" w:color="auto" w:fill="F7F9FC"/>
          </w:tcPr>
          <w:p>
            <w:r>
              <w:rPr>
                <w:color w:val="202020"/>
                <w:sz w:val="19"/>
              </w:rPr>
              <w:t>Field-level security not enforced</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G3</w:t>
            </w:r>
          </w:p>
        </w:tc>
        <w:tc>
          <w:tcPr>
            <w:tcW w:type="dxa" w:w="4200"/>
          </w:tcPr>
          <w:p>
            <w:r>
              <w:rPr>
                <w:color w:val="202020"/>
                <w:sz w:val="19"/>
              </w:rPr>
              <w:t>Coarse authorisation (Ranger absent)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G4</w:t>
            </w:r>
          </w:p>
        </w:tc>
        <w:tc>
          <w:tcPr>
            <w:tcW w:type="dxa" w:w="4200"/>
            <w:shd w:val="clear" w:color="auto" w:fill="F7F9FC"/>
          </w:tcPr>
          <w:p>
            <w:r>
              <w:rPr>
                <w:color w:val="202020"/>
                <w:sz w:val="19"/>
              </w:rPr>
              <w:t>Kerberos / SPNEGO + keytab lifecycle</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G5</w:t>
            </w:r>
          </w:p>
        </w:tc>
        <w:tc>
          <w:tcPr>
            <w:tcW w:type="dxa" w:w="4200"/>
          </w:tcPr>
          <w:p>
            <w:r>
              <w:rPr>
                <w:color w:val="202020"/>
                <w:sz w:val="19"/>
              </w:rPr>
              <w:t>Purview labels and DLP advisory only</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G6</w:t>
            </w:r>
          </w:p>
        </w:tc>
        <w:tc>
          <w:tcPr>
            <w:tcW w:type="dxa" w:w="4200"/>
            <w:shd w:val="clear" w:color="auto" w:fill="F7F9FC"/>
          </w:tcPr>
          <w:p>
            <w:r>
              <w:rPr>
                <w:color w:val="202020"/>
                <w:sz w:val="19"/>
              </w:rPr>
              <w:t>Immutable (WORM) audit storage</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G7</w:t>
            </w:r>
          </w:p>
        </w:tc>
        <w:tc>
          <w:tcPr>
            <w:tcW w:type="dxa" w:w="4200"/>
          </w:tcPr>
          <w:p>
            <w:r>
              <w:rPr>
                <w:color w:val="202020"/>
                <w:sz w:val="19"/>
              </w:rPr>
              <w:t>FIPS 140-3 (residual MD5)</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G8</w:t>
            </w:r>
          </w:p>
        </w:tc>
        <w:tc>
          <w:tcPr>
            <w:tcW w:type="dxa" w:w="4200"/>
            <w:shd w:val="clear" w:color="auto" w:fill="F7F9FC"/>
          </w:tcPr>
          <w:p>
            <w:r>
              <w:rPr>
                <w:color w:val="202020"/>
                <w:sz w:val="19"/>
              </w:rPr>
              <w:t>Metering, redistribution, entitlement freshness</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G9</w:t>
            </w:r>
          </w:p>
        </w:tc>
        <w:tc>
          <w:tcPr>
            <w:tcW w:type="dxa" w:w="4200"/>
          </w:tcPr>
          <w:p>
            <w:r>
              <w:rPr>
                <w:color w:val="202020"/>
                <w:sz w:val="19"/>
              </w:rPr>
              <w:t>Multi-region DR, backups, restore testing</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G10</w:t>
            </w:r>
          </w:p>
        </w:tc>
        <w:tc>
          <w:tcPr>
            <w:tcW w:type="dxa" w:w="4200"/>
            <w:shd w:val="clear" w:color="auto" w:fill="F7F9FC"/>
          </w:tcPr>
          <w:p>
            <w:r>
              <w:rPr>
                <w:color w:val="202020"/>
                <w:sz w:val="19"/>
              </w:rPr>
              <w:t>Infrastructure as code</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G11</w:t>
            </w:r>
          </w:p>
        </w:tc>
        <w:tc>
          <w:tcPr>
            <w:tcW w:type="dxa" w:w="4200"/>
          </w:tcPr>
          <w:p>
            <w:r>
              <w:rPr>
                <w:color w:val="202020"/>
                <w:sz w:val="19"/>
              </w:rPr>
              <w:t>Chaos testing</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G12</w:t>
            </w:r>
          </w:p>
        </w:tc>
        <w:tc>
          <w:tcPr>
            <w:tcW w:type="dxa" w:w="4200"/>
            <w:shd w:val="clear" w:color="auto" w:fill="F7F9FC"/>
          </w:tcPr>
          <w:p>
            <w:r>
              <w:rPr>
                <w:color w:val="202020"/>
                <w:sz w:val="19"/>
              </w:rPr>
              <w:t>Auto-scaling / self-healing</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G13</w:t>
            </w:r>
          </w:p>
        </w:tc>
        <w:tc>
          <w:tcPr>
            <w:tcW w:type="dxa" w:w="4200"/>
          </w:tcPr>
          <w:p>
            <w:r>
              <w:rPr>
                <w:color w:val="202020"/>
                <w:sz w:val="19"/>
              </w:rPr>
              <w:t>Hive metastore / Impala</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G14</w:t>
            </w:r>
          </w:p>
        </w:tc>
        <w:tc>
          <w:tcPr>
            <w:tcW w:type="dxa" w:w="4200"/>
            <w:shd w:val="clear" w:color="auto" w:fill="F7F9FC"/>
          </w:tcPr>
          <w:p>
            <w:r>
              <w:rPr>
                <w:color w:val="202020"/>
                <w:sz w:val="19"/>
              </w:rPr>
              <w:t>Data lineage (Atlas)</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r>
        <w:tc>
          <w:tcPr>
            <w:tcW w:type="dxa" w:w="760"/>
          </w:tcPr>
          <w:p>
            <w:r>
              <w:rPr>
                <w:color w:val="202020"/>
                <w:sz w:val="19"/>
              </w:rPr>
              <w:t>G15</w:t>
            </w:r>
          </w:p>
        </w:tc>
        <w:tc>
          <w:tcPr>
            <w:tcW w:type="dxa" w:w="4200"/>
          </w:tcPr>
          <w:p>
            <w:r>
              <w:rPr>
                <w:color w:val="202020"/>
                <w:sz w:val="19"/>
              </w:rPr>
              <w:t>Bulk API / Change Data Capture</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c>
          <w:tcPr>
            <w:tcW w:type="dxa" w:w="880"/>
          </w:tcPr>
          <w:p>
            <w:r>
              <w:rPr>
                <w:color w:val="202020"/>
                <w:sz w:val="19"/>
              </w:rPr>
              <w:t>—</w:t>
            </w:r>
          </w:p>
        </w:tc>
      </w:tr>
      <w:tr>
        <w:tc>
          <w:tcPr>
            <w:tcW w:type="dxa" w:w="760"/>
            <w:shd w:val="clear" w:color="auto" w:fill="F7F9FC"/>
          </w:tcPr>
          <w:p>
            <w:r>
              <w:rPr>
                <w:color w:val="202020"/>
                <w:sz w:val="19"/>
              </w:rPr>
              <w:t>G16</w:t>
            </w:r>
          </w:p>
        </w:tc>
        <w:tc>
          <w:tcPr>
            <w:tcW w:type="dxa" w:w="4200"/>
            <w:shd w:val="clear" w:color="auto" w:fill="F7F9FC"/>
          </w:tcPr>
          <w:p>
            <w:r>
              <w:rPr>
                <w:color w:val="202020"/>
                <w:sz w:val="19"/>
              </w:rPr>
              <w:t>Dependency / relationship graph</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c>
          <w:tcPr>
            <w:tcW w:type="dxa" w:w="880"/>
            <w:shd w:val="clear" w:color="auto" w:fill="F7F9FC"/>
          </w:tcPr>
          <w:p>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applies · ◐ applies conditionally (G2 on Hadoop via the Salesforce mirror; G14 partially met by correlation ids; G15 only if live Salesforce is reinstated) · — not applicable.</w:t>
            </w:r>
          </w:p>
        </w:tc>
      </w:tr>
    </w:tbl>
    <w:p>
      <w:pPr>
        <w:spacing w:after="40"/>
      </w:pPr>
    </w:p>
    <w:p>
      <w:pPr>
        <w:pStyle w:val="Heading1"/>
      </w:pPr>
      <w:r>
        <w:rPr>
          <w:color w:val="1F3864"/>
        </w:rPr>
        <w:t>9. Recommended sequencing</w:t>
      </w:r>
    </w:p>
    <w:p>
      <w:pPr>
        <w:pStyle w:val="ListNumber"/>
        <w:spacing w:after="40"/>
      </w:pPr>
      <w:r>
        <w:rPr>
          <w:b/>
          <w:color w:val="202020"/>
        </w:rPr>
        <w:t>Before the pilot goes to production:</w:t>
      </w:r>
      <w:r>
        <w:rPr>
          <w:color w:val="202020"/>
        </w:rPr>
        <w:t xml:space="preserve"> G1 (scanning), G2 (field-level security) and G4 (Kerberos, if Hadoop is in the pilot wave). G1 and G2 are exposures that exist the moment content is indexed; G4 prevents onboarding altogether.</w:t>
      </w:r>
    </w:p>
    <w:p>
      <w:pPr>
        <w:pStyle w:val="ListNumber"/>
        <w:spacing w:after="40"/>
      </w:pPr>
      <w:r>
        <w:rPr>
          <w:b/>
          <w:color w:val="202020"/>
        </w:rPr>
        <w:t>Validate, then decide:</w:t>
      </w:r>
      <w:r>
        <w:rPr>
          <w:color w:val="202020"/>
        </w:rPr>
        <w:t xml:space="preserve"> G5 — establish with Microsoft what Purview labelling and DLP actually support on Graph external items </w:t>
      </w:r>
      <w:r>
        <w:rPr>
          <w:b/>
          <w:color w:val="202020"/>
        </w:rPr>
        <w:t>before</w:t>
      </w:r>
      <w:r>
        <w:rPr>
          <w:color w:val="202020"/>
        </w:rPr>
        <w:t xml:space="preserve"> funding the work. If unsupported, adopt </w:t>
      </w:r>
      <w:r>
        <w:rPr>
          <w:rFonts w:ascii="Consolas" w:hAnsi="Consolas"/>
          <w:color w:val="202020"/>
          <w:sz w:val="19"/>
        </w:rPr>
        <w:t>CLASSIFICATION_ENFORCE_ACL</w:t>
      </w:r>
      <w:r>
        <w:rPr>
          <w:color w:val="202020"/>
        </w:rPr>
        <w:t xml:space="preserve"> as the control of record and say so in the control mapping.</w:t>
      </w:r>
    </w:p>
    <w:p>
      <w:pPr>
        <w:pStyle w:val="ListNumber"/>
        <w:spacing w:after="40"/>
      </w:pPr>
      <w:r>
        <w:rPr>
          <w:b/>
          <w:color w:val="202020"/>
        </w:rPr>
        <w:t>Alongside wave 2:</w:t>
      </w:r>
      <w:r>
        <w:rPr>
          <w:color w:val="202020"/>
        </w:rPr>
        <w:t xml:space="preserve"> G3 with G13 (Ranger needs column metadata), G7 (small, unblocks the cryptography assertion) and G6 (immutable evidence storage).</w:t>
      </w:r>
    </w:p>
    <w:p>
      <w:pPr>
        <w:pStyle w:val="ListNumber"/>
        <w:spacing w:after="40"/>
      </w:pPr>
      <w:r>
        <w:rPr>
          <w:b/>
          <w:color w:val="202020"/>
        </w:rPr>
        <w:t>Decide explicitly at the Architecture Review Board:</w:t>
      </w:r>
      <w:r>
        <w:rPr>
          <w:color w:val="202020"/>
        </w:rPr>
        <w:t xml:space="preserve"> G9 — single-region with fast rebuild plus protected Altrata state, versus full multi-region. Cost both; do not let the answer emerge by omission.</w:t>
      </w:r>
    </w:p>
    <w:p>
      <w:pPr>
        <w:pStyle w:val="ListNumber"/>
        <w:spacing w:after="40"/>
      </w:pPr>
      <w:r>
        <w:rPr>
          <w:b/>
          <w:color w:val="202020"/>
        </w:rPr>
        <w:t>Decide with the licensing owner:</w:t>
      </w:r>
      <w:r>
        <w:rPr>
          <w:color w:val="202020"/>
        </w:rPr>
        <w:t xml:space="preserve"> G8 — whether entitlement freshness is met by a shortened re-ACL cadence or by an agent-layer check, given per-call re-evaluation is not achievable.</w:t>
      </w:r>
    </w:p>
    <w:p>
      <w:pPr>
        <w:pStyle w:val="ListNumber"/>
        <w:spacing w:after="40"/>
      </w:pPr>
      <w:r>
        <w:rPr>
          <w:b/>
          <w:color w:val="202020"/>
        </w:rPr>
        <w:t>After the pilot:</w:t>
      </w:r>
      <w:r>
        <w:rPr>
          <w:color w:val="202020"/>
        </w:rPr>
        <w:t xml:space="preserve"> G10 to G16, sequenced by the programme plan's Phase 4 and beyond.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Sponsor decisions required to close this assessment: the malware-scanning integration contract (G1); the Knox/Kerberos position for Hadoop (G4); Microsoft's current Purview support for external items (G5); the availability tier and its cost (G9); and the Altrata entitlement-freshness approach (G8).</w:t>
            </w:r>
          </w:p>
        </w:tc>
      </w:tr>
    </w:tbl>
    <w:p>
      <w:pPr>
        <w:spacing w:after="40"/>
      </w:pPr>
    </w:p>
    <w:p>
      <w:pPr>
        <w:pStyle w:val="Heading1"/>
      </w:pPr>
      <w:r>
        <w:rPr>
          <w:color w:val="1F3864"/>
        </w:rPr>
        <w:t>10. Glossary</w:t>
      </w:r>
    </w:p>
    <w:p>
      <w:pPr>
        <w:spacing w:after="200"/>
      </w:pPr>
      <w:r>
        <w:rPr>
          <w:color w:val="595959"/>
          <w:sz w:val="23"/>
        </w:rPr>
        <w:t>Terms used in this assessment. Shared connector concepts are defined in the Tenant &amp; Common Concepts Guide (CONN-DOC-COMMON-01).</w:t>
      </w:r>
    </w:p>
    <w:p>
      <w:pPr>
        <w:spacing w:after="20"/>
        <w:keepNext/>
      </w:pPr>
      <w:r>
        <w:rPr>
          <w:b/>
          <w:color w:val="1F3864"/>
          <w:sz w:val="22"/>
        </w:rPr>
        <w:t>Indirect prompt injection</w:t>
      </w:r>
    </w:p>
    <w:p>
      <w:pPr>
        <w:spacing w:after="20"/>
        <w:ind w:left="240"/>
      </w:pPr>
      <w:r>
        <w:rPr>
          <w:b/>
          <w:color w:val="595959"/>
          <w:sz w:val="19"/>
        </w:rPr>
        <w:t xml:space="preserve">What it is  </w:t>
      </w:r>
      <w:r>
        <w:rPr>
          <w:color w:val="202020"/>
          <w:sz w:val="20"/>
        </w:rPr>
        <w:t>Instructions hidden inside content that a system ingests, which the language model then treats as direction rather than as data.</w:t>
      </w:r>
    </w:p>
    <w:p>
      <w:pPr>
        <w:spacing w:after="160"/>
        <w:ind w:left="240"/>
      </w:pPr>
      <w:r>
        <w:rPr>
          <w:b/>
          <w:color w:val="595959"/>
          <w:sz w:val="19"/>
        </w:rPr>
        <w:t xml:space="preserve">Why it matters  </w:t>
      </w:r>
      <w:r>
        <w:rPr>
          <w:color w:val="202020"/>
          <w:sz w:val="20"/>
        </w:rPr>
        <w:t>It is the risk this platform uniquely introduces: the connector faithfully indexes an attacker's document, and Copilot grounds an answer on it for an entirely different user.</w:t>
      </w:r>
    </w:p>
    <w:p>
      <w:pPr>
        <w:spacing w:after="20"/>
        <w:keepNext/>
      </w:pPr>
      <w:r>
        <w:rPr>
          <w:b/>
          <w:color w:val="1F3864"/>
          <w:sz w:val="22"/>
        </w:rPr>
        <w:t>Field-level security (FLS)</w:t>
      </w:r>
    </w:p>
    <w:p>
      <w:pPr>
        <w:spacing w:after="20"/>
        <w:ind w:left="240"/>
      </w:pPr>
      <w:r>
        <w:rPr>
          <w:b/>
          <w:color w:val="595959"/>
          <w:sz w:val="19"/>
        </w:rPr>
        <w:t xml:space="preserve">What it is  </w:t>
      </w:r>
      <w:r>
        <w:rPr>
          <w:color w:val="202020"/>
          <w:sz w:val="20"/>
        </w:rPr>
        <w:t>A Salesforce control that hides individual fields from a user even on records they are otherwise permitted to see.</w:t>
      </w:r>
    </w:p>
    <w:p>
      <w:pPr>
        <w:spacing w:after="160"/>
        <w:ind w:left="240"/>
      </w:pPr>
      <w:r>
        <w:rPr>
          <w:b/>
          <w:color w:val="595959"/>
          <w:sz w:val="19"/>
        </w:rPr>
        <w:t xml:space="preserve">Why it matters  </w:t>
      </w:r>
      <w:r>
        <w:rPr>
          <w:color w:val="202020"/>
          <w:sz w:val="20"/>
        </w:rPr>
        <w:t>Record-level sharing alone is not sufficient — without FLS the index can expose restricted fields on permitted records, which is invisible until someone asks Copilot the right question.</w:t>
      </w:r>
    </w:p>
    <w:p>
      <w:pPr>
        <w:spacing w:after="20"/>
        <w:keepNext/>
      </w:pPr>
      <w:r>
        <w:rPr>
          <w:b/>
          <w:color w:val="1F3864"/>
          <w:sz w:val="22"/>
        </w:rPr>
        <w:t>Apache Ranger</w:t>
      </w:r>
    </w:p>
    <w:p>
      <w:pPr>
        <w:spacing w:after="20"/>
        <w:ind w:left="240"/>
      </w:pPr>
      <w:r>
        <w:rPr>
          <w:b/>
          <w:color w:val="595959"/>
          <w:sz w:val="19"/>
        </w:rPr>
        <w:t xml:space="preserve">What it is  </w:t>
      </w:r>
      <w:r>
        <w:rPr>
          <w:color w:val="202020"/>
          <w:sz w:val="20"/>
        </w:rPr>
        <w:t>The policy engine that expresses row-, column- and file-level authorisation across a Hadoop estate.</w:t>
      </w:r>
    </w:p>
    <w:p>
      <w:pPr>
        <w:spacing w:after="160"/>
        <w:ind w:left="240"/>
      </w:pPr>
      <w:r>
        <w:rPr>
          <w:b/>
          <w:color w:val="595959"/>
          <w:sz w:val="19"/>
        </w:rPr>
        <w:t xml:space="preserve">Why it matters  </w:t>
      </w:r>
      <w:r>
        <w:rPr>
          <w:color w:val="202020"/>
          <w:sz w:val="20"/>
        </w:rPr>
        <w:t>It is the only place the cluster's real access rules live; without reading it the connector must fall back to coarse owner/group ACLs that cannot represent them.</w:t>
      </w:r>
    </w:p>
    <w:p>
      <w:pPr>
        <w:spacing w:after="20"/>
        <w:keepNext/>
      </w:pPr>
      <w:r>
        <w:rPr>
          <w:b/>
          <w:color w:val="1F3864"/>
          <w:sz w:val="22"/>
        </w:rPr>
        <w:t>Kerberos / SPNEGO, keytab</w:t>
      </w:r>
    </w:p>
    <w:p>
      <w:pPr>
        <w:spacing w:after="20"/>
        <w:ind w:left="240"/>
      </w:pPr>
      <w:r>
        <w:rPr>
          <w:b/>
          <w:color w:val="595959"/>
          <w:sz w:val="19"/>
        </w:rPr>
        <w:t xml:space="preserve">What it is  </w:t>
      </w:r>
      <w:r>
        <w:rPr>
          <w:color w:val="202020"/>
          <w:sz w:val="20"/>
        </w:rPr>
        <w:t>The authentication protocol used by Hadoop clusters, and the credential file allowing a service to obtain tickets without a human.</w:t>
      </w:r>
    </w:p>
    <w:p>
      <w:pPr>
        <w:spacing w:after="160"/>
        <w:ind w:left="240"/>
      </w:pPr>
      <w:r>
        <w:rPr>
          <w:b/>
          <w:color w:val="595959"/>
          <w:sz w:val="19"/>
        </w:rPr>
        <w:t xml:space="preserve">Why it matters  </w:t>
      </w:r>
      <w:r>
        <w:rPr>
          <w:color w:val="202020"/>
          <w:sz w:val="20"/>
        </w:rPr>
        <w:t>Regulated clusters normally refuse simple authentication, so this is what determines whether the connector can be onboarded at all.</w:t>
      </w:r>
    </w:p>
    <w:p>
      <w:pPr>
        <w:spacing w:after="20"/>
        <w:keepNext/>
      </w:pPr>
      <w:r>
        <w:rPr>
          <w:b/>
          <w:color w:val="1F3864"/>
          <w:sz w:val="22"/>
        </w:rPr>
        <w:t>Advisory classification tag vs. Purview label</w:t>
      </w:r>
    </w:p>
    <w:p>
      <w:pPr>
        <w:spacing w:after="20"/>
        <w:ind w:left="240"/>
      </w:pPr>
      <w:r>
        <w:rPr>
          <w:b/>
          <w:color w:val="595959"/>
          <w:sz w:val="19"/>
        </w:rPr>
        <w:t xml:space="preserve">What it is  </w:t>
      </w:r>
      <w:r>
        <w:rPr>
          <w:color w:val="202020"/>
          <w:sz w:val="20"/>
        </w:rPr>
        <w:t>The connector applies its own sensitivity tag; a Microsoft Purview label is a tenant-governed label carrying encryption and DLP enforcement.</w:t>
      </w:r>
    </w:p>
    <w:p>
      <w:pPr>
        <w:spacing w:after="160"/>
        <w:ind w:left="240"/>
      </w:pPr>
      <w:r>
        <w:rPr>
          <w:b/>
          <w:color w:val="595959"/>
          <w:sz w:val="19"/>
        </w:rPr>
        <w:t xml:space="preserve">Why it matters  </w:t>
      </w:r>
      <w:r>
        <w:rPr>
          <w:color w:val="202020"/>
          <w:sz w:val="20"/>
        </w:rPr>
        <w:t>The distinction is the difference between metadata that describes risk and a control that acts on it — conflating them creates false assurance in an audit.</w:t>
      </w:r>
    </w:p>
    <w:p>
      <w:pPr>
        <w:spacing w:after="20"/>
        <w:keepNext/>
      </w:pPr>
      <w:r>
        <w:rPr>
          <w:b/>
          <w:color w:val="1F3864"/>
          <w:sz w:val="22"/>
        </w:rPr>
        <w:t>WORM / immutable storage</w:t>
      </w:r>
    </w:p>
    <w:p>
      <w:pPr>
        <w:spacing w:after="20"/>
        <w:ind w:left="240"/>
      </w:pPr>
      <w:r>
        <w:rPr>
          <w:b/>
          <w:color w:val="595959"/>
          <w:sz w:val="19"/>
        </w:rPr>
        <w:t xml:space="preserve">What it is  </w:t>
      </w:r>
      <w:r>
        <w:rPr>
          <w:color w:val="202020"/>
          <w:sz w:val="20"/>
        </w:rPr>
        <w:t>Write-once storage with a retention lock that prevents deletion or alteration, including by an administrator.</w:t>
      </w:r>
    </w:p>
    <w:p>
      <w:pPr>
        <w:spacing w:after="160"/>
        <w:ind w:left="240"/>
      </w:pPr>
      <w:r>
        <w:rPr>
          <w:b/>
          <w:color w:val="595959"/>
          <w:sz w:val="19"/>
        </w:rPr>
        <w:t xml:space="preserve">Why it matters  </w:t>
      </w:r>
      <w:r>
        <w:rPr>
          <w:color w:val="202020"/>
          <w:sz w:val="20"/>
        </w:rPr>
        <w:t>Hash chains prove tampering *happened*; immutable storage prevents it. Audit regimes increasingly expect the second, not only the first.</w:t>
      </w:r>
    </w:p>
    <w:p>
      <w:pPr>
        <w:spacing w:after="20"/>
        <w:keepNext/>
      </w:pPr>
      <w:r>
        <w:rPr>
          <w:b/>
          <w:color w:val="1F3864"/>
          <w:sz w:val="22"/>
        </w:rPr>
        <w:t>RPO and RTO</w:t>
      </w:r>
    </w:p>
    <w:p>
      <w:pPr>
        <w:spacing w:after="20"/>
        <w:ind w:left="240"/>
      </w:pPr>
      <w:r>
        <w:rPr>
          <w:b/>
          <w:color w:val="595959"/>
          <w:sz w:val="19"/>
        </w:rPr>
        <w:t xml:space="preserve">What it is  </w:t>
      </w:r>
      <w:r>
        <w:rPr>
          <w:color w:val="202020"/>
          <w:sz w:val="20"/>
        </w:rPr>
        <w:t>Recovery point objective — how much data may be lost; recovery time objective — how long recovery may take.</w:t>
      </w:r>
    </w:p>
    <w:p>
      <w:pPr>
        <w:spacing w:after="160"/>
        <w:ind w:left="240"/>
      </w:pPr>
      <w:r>
        <w:rPr>
          <w:b/>
          <w:color w:val="595959"/>
          <w:sz w:val="19"/>
        </w:rPr>
        <w:t xml:space="preserve">Why it matters  </w:t>
      </w:r>
      <w:r>
        <w:rPr>
          <w:color w:val="202020"/>
          <w:sz w:val="20"/>
        </w:rPr>
        <w:t>They set the disaster-recovery budget. Most connector state is re-crawlable, so the objectives bind only on the small set of state that cannot be rebuilt from the source.</w:t>
      </w:r>
    </w:p>
    <w:p>
      <w:pPr>
        <w:spacing w:after="20"/>
        <w:keepNext/>
      </w:pPr>
      <w:r>
        <w:rPr>
          <w:b/>
          <w:color w:val="1F3864"/>
          <w:sz w:val="22"/>
        </w:rPr>
        <w:t>ACL trimming</w:t>
      </w:r>
    </w:p>
    <w:p>
      <w:pPr>
        <w:spacing w:after="20"/>
        <w:ind w:left="240"/>
      </w:pPr>
      <w:r>
        <w:rPr>
          <w:b/>
          <w:color w:val="595959"/>
          <w:sz w:val="19"/>
        </w:rPr>
        <w:t xml:space="preserve">What it is  </w:t>
      </w:r>
      <w:r>
        <w:rPr>
          <w:color w:val="202020"/>
          <w:sz w:val="20"/>
        </w:rPr>
        <w:t>Applying each item's access control list at query time so results are filtered per user.</w:t>
      </w:r>
    </w:p>
    <w:p>
      <w:pPr>
        <w:spacing w:after="160"/>
        <w:ind w:left="240"/>
      </w:pPr>
      <w:r>
        <w:rPr>
          <w:b/>
          <w:color w:val="595959"/>
          <w:sz w:val="19"/>
        </w:rPr>
        <w:t xml:space="preserve">Why it matters  </w:t>
      </w:r>
      <w:r>
        <w:rPr>
          <w:color w:val="202020"/>
          <w:sz w:val="20"/>
        </w:rPr>
        <w:t>It is the mechanism by which Copilot inherits source-system permissions instead of re-implementing them — the platform's central design principle, and already delivered.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Connector Platform — Gap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