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WZ-SOW-CONN-2026-01</w:t>
      </w:r>
    </w:p>
    <w:p>
      <w:pPr>
        <w:jc w:val="left"/>
        <w:pBdr>
          <w:bottom w:val="single" w:sz="18" w:space="4" w:color="2E5496"/>
        </w:pBdr>
      </w:pPr>
      <w:r>
        <w:rPr>
          <w:b/>
          <w:color w:val="1F3864"/>
          <w:sz w:val="60"/>
        </w:rPr>
        <w:t>Statement of Work</w:t>
      </w:r>
    </w:p>
    <w:p>
      <w:pPr>
        <w:spacing w:after="480"/>
      </w:pPr>
      <w:r>
        <w:rPr>
          <w:color w:val="2E5496"/>
          <w:sz w:val="28"/>
        </w:rPr>
        <w:t>Microsoft 365 Copilot Connector Programme — delivery by Webzion</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Provider</w:t>
            </w:r>
          </w:p>
        </w:tc>
        <w:tc>
          <w:tcPr>
            <w:tcW w:type="dxa" w:w="6760"/>
          </w:tcPr>
          <w:p>
            <w:r>
              <w:rPr>
                <w:color w:val="202020"/>
                <w:sz w:val="20"/>
              </w:rPr>
              <w:t>Webzion ([address / entity details])</w:t>
            </w:r>
          </w:p>
        </w:tc>
      </w:tr>
      <w:tr>
        <w:tc>
          <w:tcPr>
            <w:tcW w:type="dxa" w:w="2600"/>
            <w:shd w:val="clear" w:color="auto" w:fill="EEF2F8"/>
          </w:tcPr>
          <w:p>
            <w:r>
              <w:rPr>
                <w:b/>
                <w:color w:val="1F3864"/>
                <w:sz w:val="20"/>
              </w:rPr>
              <w:t>Client</w:t>
            </w:r>
          </w:p>
        </w:tc>
        <w:tc>
          <w:tcPr>
            <w:tcW w:type="dxa" w:w="6760"/>
          </w:tcPr>
          <w:p>
            <w:r>
              <w:rPr>
                <w:color w:val="202020"/>
                <w:sz w:val="20"/>
              </w:rPr>
              <w:t>[Client Bank] (“the Bank”)</w:t>
            </w:r>
          </w:p>
        </w:tc>
      </w:tr>
      <w:tr>
        <w:tc>
          <w:tcPr>
            <w:tcW w:type="dxa" w:w="2600"/>
            <w:shd w:val="clear" w:color="auto" w:fill="EEF2F8"/>
          </w:tcPr>
          <w:p>
            <w:r>
              <w:rPr>
                <w:b/>
                <w:color w:val="1F3864"/>
                <w:sz w:val="20"/>
              </w:rPr>
              <w:t>SoW reference</w:t>
            </w:r>
          </w:p>
        </w:tc>
        <w:tc>
          <w:tcPr>
            <w:tcW w:type="dxa" w:w="6760"/>
          </w:tcPr>
          <w:p>
            <w:r>
              <w:rPr>
                <w:color w:val="202020"/>
                <w:sz w:val="20"/>
              </w:rPr>
              <w:t>WZ-SOW-CONN-2026-01 (DRAFT for negotiation)</w:t>
            </w:r>
          </w:p>
        </w:tc>
      </w:tr>
      <w:tr>
        <w:tc>
          <w:tcPr>
            <w:tcW w:type="dxa" w:w="2600"/>
            <w:shd w:val="clear" w:color="auto" w:fill="EEF2F8"/>
          </w:tcPr>
          <w:p>
            <w:r>
              <w:rPr>
                <w:b/>
                <w:color w:val="1F3864"/>
                <w:sz w:val="20"/>
              </w:rPr>
              <w:t>Date</w:t>
            </w:r>
          </w:p>
        </w:tc>
        <w:tc>
          <w:tcPr>
            <w:tcW w:type="dxa" w:w="6760"/>
          </w:tcPr>
          <w:p>
            <w:r>
              <w:rPr>
                <w:color w:val="202020"/>
                <w:sz w:val="20"/>
              </w:rPr>
              <w:t>18 July 2026</w:t>
            </w:r>
          </w:p>
        </w:tc>
      </w:tr>
      <w:tr>
        <w:tc>
          <w:tcPr>
            <w:tcW w:type="dxa" w:w="2600"/>
            <w:shd w:val="clear" w:color="auto" w:fill="EEF2F8"/>
          </w:tcPr>
          <w:p>
            <w:r>
              <w:rPr>
                <w:b/>
                <w:color w:val="1F3864"/>
                <w:sz w:val="20"/>
              </w:rPr>
              <w:t>Programme term</w:t>
            </w:r>
          </w:p>
        </w:tc>
        <w:tc>
          <w:tcPr>
            <w:tcW w:type="dxa" w:w="6760"/>
          </w:tcPr>
          <w:p>
            <w:r>
              <w:rPr>
                <w:color w:val="202020"/>
                <w:sz w:val="20"/>
              </w:rPr>
              <w:t>17 August 2026 – 28 May 2027 (+30-day closure tail)</w:t>
            </w:r>
          </w:p>
        </w:tc>
      </w:tr>
      <w:tr>
        <w:tc>
          <w:tcPr>
            <w:tcW w:type="dxa" w:w="2600"/>
            <w:shd w:val="clear" w:color="auto" w:fill="EEF2F8"/>
          </w:tcPr>
          <w:p>
            <w:r>
              <w:rPr>
                <w:b/>
                <w:color w:val="1F3864"/>
                <w:sz w:val="20"/>
              </w:rPr>
              <w:t>Total fixed fee</w:t>
            </w:r>
          </w:p>
        </w:tc>
        <w:tc>
          <w:tcPr>
            <w:tcW w:type="dxa" w:w="6760"/>
          </w:tcPr>
          <w:p>
            <w:r>
              <w:rPr>
                <w:color w:val="202020"/>
                <w:sz w:val="20"/>
              </w:rPr>
              <w:t>USD 920,000 (milestone-based; see §6)</w:t>
            </w:r>
          </w:p>
        </w:tc>
      </w:tr>
      <w:tr>
        <w:tc>
          <w:tcPr>
            <w:tcW w:type="dxa" w:w="2600"/>
            <w:shd w:val="clear" w:color="auto" w:fill="EEF2F8"/>
          </w:tcPr>
          <w:p>
            <w:r>
              <w:rPr>
                <w:b/>
                <w:color w:val="1F3864"/>
                <w:sz w:val="20"/>
              </w:rPr>
              <w:t>Basis</w:t>
            </w:r>
          </w:p>
        </w:tc>
        <w:tc>
          <w:tcPr>
            <w:tcW w:type="dxa" w:w="6760"/>
          </w:tcPr>
          <w:p>
            <w:r>
              <w:rPr>
                <w:color w:val="202020"/>
                <w:sz w:val="20"/>
              </w:rPr>
              <w:t>Programme plan v3 (4 connectors; Salesforce deferred), US federal bank holidays + year-end blackout</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COMMERCIAL IN CONFIDENCE — DRAFT. </w:t>
            </w:r>
            <w:r>
              <w:rPr>
                <w:color w:val="202020"/>
                <w:sz w:val="19"/>
              </w:rPr>
              <w:t>Commercial terms between Webzion and [Client Bank]. Distribution limited to the parties' deal teams, legal and procurement. DRAFT — for negotiation; not an offer capable of acceptance until executed.</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rPr>
          <w:color w:val="1F3864"/>
        </w:rPr>
        <w:t>1. Purpose &amp; parties</w:t>
      </w:r>
    </w:p>
    <w:p>
      <w:pPr>
        <w:spacing w:after="120"/>
      </w:pPr>
      <w:r>
        <w:rPr>
          <w:color w:val="202020"/>
        </w:rPr>
        <w:t xml:space="preserve">This Statement of Work (“SoW”) sets out the services, deliverables, timeline and fees under which </w:t>
      </w:r>
      <w:r>
        <w:rPr>
          <w:b/>
          <w:color w:val="202020"/>
        </w:rPr>
        <w:t>Webzion</w:t>
      </w:r>
      <w:r>
        <w:rPr>
          <w:color w:val="202020"/>
        </w:rPr>
        <w:t xml:space="preserve"> (“Provider”) will deliver a production Microsoft 365 Copilot connector platform to </w:t>
      </w:r>
      <w:r>
        <w:rPr>
          <w:b/>
          <w:color w:val="202020"/>
        </w:rPr>
        <w:t>[Client Bank]</w:t>
      </w:r>
      <w:r>
        <w:rPr>
          <w:color w:val="202020"/>
        </w:rPr>
        <w:t xml:space="preserve"> (“the Bank”). It is governed by the Master Services Agreement between the parties dated [•] (“MSA”); in conflict, the MSA prevails except where this SoW expressly amends it.</w:t>
      </w:r>
    </w:p>
    <w:p>
      <w:pPr>
        <w:spacing w:after="120"/>
      </w:pPr>
      <w:r>
        <w:rPr>
          <w:color w:val="202020"/>
        </w:rPr>
        <w:t xml:space="preserve">The engagement delivers four production connectors (Seismic, Clarizen/Planview AdaptiveWork, Altrata, Hadoop BDH) plus a fifth (Salesforce, feature-complete) delivered as source but </w:t>
      </w:r>
      <w:r>
        <w:rPr>
          <w:b/>
          <w:color w:val="202020"/>
        </w:rPr>
        <w:t>deferred from deployment</w:t>
      </w:r>
      <w:r>
        <w:rPr>
          <w:color w:val="202020"/>
        </w:rPr>
        <w:t xml:space="preserve"> — the Hadoop BDH connector carries the Salesforce data (nightly mirror, ~24h lag). A decision checkpoint near programme close revisits deploying it (optional change order, §6.5).</w:t>
      </w:r>
    </w:p>
    <w:p>
      <w:pPr>
        <w:pStyle w:val="Heading1"/>
      </w:pPr>
      <w:r>
        <w:rPr>
          <w:color w:val="1F3864"/>
        </w:rPr>
        <w:t>2. Background &amp; solution summary</w:t>
      </w:r>
    </w:p>
    <w:p>
      <w:pPr>
        <w:spacing w:after="120"/>
      </w:pPr>
      <w:r>
        <w:rPr>
          <w:color w:val="202020"/>
        </w:rPr>
        <w:t>The solution is a suite of C#/.NET 10 Microsoft 365 Copilot Graph connectors built on one shared, production-hardened chassis project (Connector.Chassis, consumed by all five connectors by project reference; each connector keeps its own solution, tests, config, docs, CI and packaging). The software is pre-built and pre-hardened by Webzion: 4,827 automated tests (green on both Windows and Linux CI), two adversarial stress rounds, a diagnosability audit, an enterprise pack (threat models, runbooks, DR, SIEM integration, dashboards/alerting, MSI packaging, SBOM/signed releases), and a bank-grade security-hardening round that ships privacy- and compliance-safe defaults out of the box — dead-letter payload redaction by default, entitlement re-sync on incremental crawls, owner-only state directories, an advisory data-classification tag with optional ACL enforcement, stale-index item expiry, signed-timestamp webhook anti-replay, purpose-of-use authorization, and a tamper-evident hash-chained decision ledger. This SoW covers delivery of that intellectual property to the Bank plus the professional services to configure, integrate, test, deploy, stabilise and hand it over inside the Bank's environment and governance.</w:t>
      </w:r>
    </w:p>
    <w:p>
      <w:pPr>
        <w:pStyle w:val="Heading1"/>
      </w:pPr>
      <w:r>
        <w:rPr>
          <w:color w:val="1F3864"/>
        </w:rPr>
        <w:t>3. Scope of services &amp; deliverables</w:t>
      </w:r>
    </w:p>
    <w:p>
      <w:pPr>
        <w:pStyle w:val="Heading2"/>
      </w:pPr>
      <w:r>
        <w:rPr>
          <w:color w:val="2E5496"/>
        </w:rPr>
        <w:t>3.1 D1 — Software suite &amp; documentation IP (Milestone M1)</w:t>
      </w:r>
    </w:p>
    <w:p>
      <w:pPr>
        <w:pStyle w:val="ListBullet"/>
        <w:spacing w:after="40"/>
      </w:pPr>
      <w:r>
        <w:rPr>
          <w:color w:val="202020"/>
        </w:rPr>
        <w:t>Source repository transfer: five connectors (SeismicConnector, ClarizenConnector, AltrataConnector, HadoopConnector, SalesforceConnector-deferred) incl. full test suites (4,827 tests), the shared Connector.Chassis project, build/CI workflows, Docker + WiX MSI packaging, SBOM/signing pipeline</w:t>
      </w:r>
    </w:p>
    <w:p>
      <w:pPr>
        <w:pStyle w:val="ListBullet"/>
        <w:spacing w:after="40"/>
      </w:pPr>
      <w:r>
        <w:rPr>
          <w:color w:val="202020"/>
        </w:rPr>
        <w:t>Enterprise pack per connector: THREAT_MODEL, RUNBOOKS, DR, SIEM, DEPLOYMENT_ENTERPRISE, SECURITY, Grafana dashboard + Prometheus/Azure Monitor alert rules</w:t>
      </w:r>
    </w:p>
    <w:p>
      <w:pPr>
        <w:pStyle w:val="ListBullet"/>
        <w:spacing w:after="40"/>
      </w:pPr>
      <w:r>
        <w:rPr>
          <w:color w:val="202020"/>
        </w:rPr>
        <w:t>Fleet governance: TENANT_GOVERNANCE (Graph quota/capacity plan), architecture diagram (SVG)</w:t>
      </w:r>
    </w:p>
    <w:p>
      <w:pPr>
        <w:pStyle w:val="ListBullet"/>
        <w:spacing w:after="40"/>
      </w:pPr>
      <w:r>
        <w:rPr>
          <w:color w:val="202020"/>
        </w:rPr>
        <w:t>Operator documentation set: Tenant &amp; Common Concepts Guide + four connector operator guides (Word), quick-reference PDFs + Start Here index — written for the Bank's L2 operations staff</w:t>
      </w:r>
    </w:p>
    <w:p>
      <w:pPr>
        <w:pStyle w:val="ListBullet"/>
        <w:spacing w:after="40"/>
      </w:pPr>
      <w:r>
        <w:rPr>
          <w:color w:val="202020"/>
        </w:rPr>
        <w:t>Programme plan (Excel + MS Project XML) maintained through the engagement</w:t>
      </w:r>
    </w:p>
    <w:p>
      <w:pPr>
        <w:pStyle w:val="Heading2"/>
      </w:pPr>
      <w:r>
        <w:rPr>
          <w:color w:val="2E5496"/>
        </w:rPr>
        <w:t>3.2 D2 — Foundations configuration (Milestone M2)</w:t>
      </w:r>
    </w:p>
    <w:p>
      <w:pPr>
        <w:pStyle w:val="ListBullet"/>
        <w:spacing w:after="40"/>
      </w:pPr>
      <w:r>
        <w:rPr>
          <w:color w:val="202020"/>
        </w:rPr>
        <w:t>Entra app-registration execution + admin-consent walkthrough with the Bank's M365 platform team (4 apps; certificate-credential setup once PKI issues certificates)</w:t>
      </w:r>
    </w:p>
    <w:p>
      <w:pPr>
        <w:pStyle w:val="ListBullet"/>
        <w:spacing w:after="40"/>
      </w:pPr>
      <w:r>
        <w:rPr>
          <w:color w:val="202020"/>
        </w:rPr>
        <w:t>Azure Key Vault configuration and secret/cert loading</w:t>
      </w:r>
    </w:p>
    <w:p>
      <w:pPr>
        <w:pStyle w:val="ListBullet"/>
        <w:spacing w:after="40"/>
      </w:pPr>
      <w:r>
        <w:rPr>
          <w:color w:val="202020"/>
        </w:rPr>
        <w:t>CI/CD stand-up on Bank runners (build, coverage &amp; perf gates, SBOM, signing hooks)</w:t>
      </w:r>
    </w:p>
    <w:p>
      <w:pPr>
        <w:pStyle w:val="ListBullet"/>
        <w:spacing w:after="40"/>
      </w:pPr>
      <w:r>
        <w:rPr>
          <w:color w:val="202020"/>
        </w:rPr>
        <w:t>Grafana dashboards + alert-rule import; SIEM detection-rule content provided to InfoSec</w:t>
      </w:r>
    </w:p>
    <w:p>
      <w:pPr>
        <w:pStyle w:val="ListBullet"/>
        <w:spacing w:after="40"/>
      </w:pPr>
      <w:r>
        <w:rPr>
          <w:color w:val="202020"/>
        </w:rPr>
        <w:t>Threat-model remediation of any findings from the Bank's security review (code-side)</w:t>
      </w:r>
    </w:p>
    <w:p>
      <w:pPr>
        <w:pStyle w:val="ListBullet"/>
        <w:spacing w:after="40"/>
      </w:pPr>
      <w:r>
        <w:rPr>
          <w:color w:val="202020"/>
        </w:rPr>
        <w:t>Architecture Review Board pack authoring + attendance</w:t>
      </w:r>
    </w:p>
    <w:p>
      <w:pPr>
        <w:pStyle w:val="Heading2"/>
      </w:pPr>
      <w:r>
        <w:rPr>
          <w:color w:val="2E5496"/>
        </w:rPr>
        <w:t>3.3 D3 — Pilot go-live: Seismic (Milestone M3)</w:t>
      </w:r>
    </w:p>
    <w:p>
      <w:pPr>
        <w:pStyle w:val="ListBullet"/>
        <w:spacing w:after="40"/>
      </w:pPr>
      <w:r>
        <w:rPr>
          <w:color w:val="202020"/>
        </w:rPr>
        <w:t>Test-environment configuration; strict config validation</w:t>
      </w:r>
    </w:p>
    <w:p>
      <w:pPr>
        <w:pStyle w:val="ListBullet"/>
        <w:spacing w:after="40"/>
      </w:pPr>
      <w:r>
        <w:rPr>
          <w:color w:val="202020"/>
        </w:rPr>
        <w:t>End-to-end verification in the Bank's dev tenant: connection + schema + versioned crawl + webhooks, ACL trimming proven with two differently-permissioned users, No-MNE exclusion proven, deletion/version supersede verified, 2-week soak</w:t>
      </w:r>
    </w:p>
    <w:p>
      <w:pPr>
        <w:pStyle w:val="ListBullet"/>
        <w:spacing w:after="40"/>
      </w:pPr>
      <w:r>
        <w:rPr>
          <w:color w:val="202020"/>
        </w:rPr>
        <w:t>Pen-test support: environment readiness, finding remediation (code-side), retest support</w:t>
      </w:r>
    </w:p>
    <w:p>
      <w:pPr>
        <w:pStyle w:val="ListBullet"/>
        <w:spacing w:after="40"/>
      </w:pPr>
      <w:r>
        <w:rPr>
          <w:color w:val="202020"/>
        </w:rPr>
        <w:t>CAB submission pack authoring; production deployment (with Bank DevOps), first crawl verification, pilot-user validation support, hypercare (2 weeks), runbook walkthrough handover</w:t>
      </w:r>
    </w:p>
    <w:p>
      <w:pPr>
        <w:pStyle w:val="Heading2"/>
      </w:pPr>
      <w:r>
        <w:rPr>
          <w:color w:val="2E5496"/>
        </w:rPr>
        <w:t>3.4 D4 — Wave 2 go-lives: Clarizen + Hadoop BDH (Milestone M4)</w:t>
      </w:r>
    </w:p>
    <w:p>
      <w:pPr>
        <w:pStyle w:val="ListBullet"/>
        <w:spacing w:after="40"/>
      </w:pPr>
      <w:r>
        <w:rPr>
          <w:color w:val="202020"/>
        </w:rPr>
        <w:t>Clarizen: TDW bulk + webhook E2E, FINANCIAL_DATA_MODE verification in the governance-selected mode, CAB pack, production deployment + webhook enablement, hypercare + handover</w:t>
      </w:r>
    </w:p>
    <w:p>
      <w:pPr>
        <w:pStyle w:val="ListBullet"/>
        <w:spacing w:after="40"/>
      </w:pPr>
      <w:r>
        <w:rPr>
          <w:color w:val="202020"/>
        </w:rPr>
        <w:t>Hadoop BDH: filter-policy workshops (facilitation + filters.json authoring), fail-closed guard demonstration, filtered E2E + watermark + oversize handling, scale rehearsal, CAB pack, production deployment on a separate Graph connection, nightly schedule alignment, hypercare + handover</w:t>
      </w:r>
    </w:p>
    <w:p>
      <w:pPr>
        <w:pStyle w:val="Heading2"/>
      </w:pPr>
      <w:r>
        <w:rPr>
          <w:color w:val="2E5496"/>
        </w:rPr>
        <w:t>3.5 D5 — Wave 3 go-live: Altrata (Milestone M5)</w:t>
      </w:r>
    </w:p>
    <w:p>
      <w:pPr>
        <w:pStyle w:val="ListBullet"/>
        <w:spacing w:after="40"/>
      </w:pPr>
      <w:r>
        <w:rPr>
          <w:color w:val="202020"/>
        </w:rPr>
        <w:t>Feed ingest + manifest-validation E2E; seat-only entitlement verification (never-everyone)</w:t>
      </w:r>
    </w:p>
    <w:p>
      <w:pPr>
        <w:pStyle w:val="ListBullet"/>
        <w:spacing w:after="40"/>
      </w:pPr>
      <w:r>
        <w:rPr>
          <w:color w:val="202020"/>
        </w:rPr>
        <w:t>DSAR drill (forget-subject, suppression, ledger verification) rehearsed with Bank operations + DPO</w:t>
      </w:r>
    </w:p>
    <w:p>
      <w:pPr>
        <w:pStyle w:val="ListBullet"/>
        <w:spacing w:after="40"/>
      </w:pPr>
      <w:r>
        <w:rPr>
          <w:color w:val="202020"/>
        </w:rPr>
        <w:t>DSAR intake process documentation (ops rota + DPO countersign), strict-ACL state directories, CAB pack, production deployment, hypercare + handover</w:t>
      </w:r>
    </w:p>
    <w:p>
      <w:pPr>
        <w:pStyle w:val="Heading2"/>
      </w:pPr>
      <w:r>
        <w:rPr>
          <w:color w:val="2E5496"/>
        </w:rPr>
        <w:t>3.6 D6 — Operational readiness (Milestone M6)</w:t>
      </w:r>
    </w:p>
    <w:p>
      <w:pPr>
        <w:pStyle w:val="ListBullet"/>
        <w:spacing w:after="40"/>
      </w:pPr>
      <w:r>
        <w:rPr>
          <w:color w:val="202020"/>
        </w:rPr>
        <w:t>Operator training delivery to Bank L2 staff (Common Guide + per-connector, quick-refs)</w:t>
      </w:r>
    </w:p>
    <w:p>
      <w:pPr>
        <w:pStyle w:val="ListBullet"/>
        <w:spacing w:after="40"/>
      </w:pPr>
      <w:r>
        <w:rPr>
          <w:color w:val="202020"/>
        </w:rPr>
        <w:t>Runbook drills (dead-letter, breaker, guard-refusal) and DR drill facilitation</w:t>
      </w:r>
    </w:p>
    <w:p>
      <w:pPr>
        <w:pStyle w:val="ListBullet"/>
        <w:spacing w:after="40"/>
      </w:pPr>
      <w:r>
        <w:rPr>
          <w:color w:val="202020"/>
        </w:rPr>
        <w:t>Alert-threshold tuning on live telemetry; on-call/escalation model documentation</w:t>
      </w:r>
    </w:p>
    <w:p>
      <w:pPr>
        <w:pStyle w:val="Heading2"/>
      </w:pPr>
      <w:r>
        <w:rPr>
          <w:color w:val="2E5496"/>
        </w:rPr>
        <w:t>3.7 D7 — Stabilisation &amp; closure (Milestone M7)</w:t>
      </w:r>
    </w:p>
    <w:p>
      <w:pPr>
        <w:pStyle w:val="ListBullet"/>
        <w:spacing w:after="40"/>
      </w:pPr>
      <w:r>
        <w:rPr>
          <w:color w:val="202020"/>
        </w:rPr>
        <w:t>30-day stability review across the four live connectors; tenant capacity/quota review</w:t>
      </w:r>
    </w:p>
    <w:p>
      <w:pPr>
        <w:pStyle w:val="ListBullet"/>
        <w:spacing w:after="40"/>
      </w:pPr>
      <w:r>
        <w:rPr>
          <w:color w:val="202020"/>
        </w:rPr>
        <w:t>Knowledge transfer to the Bank's permanent .NET engineer (structured, incl. codebase walkthroughs)</w:t>
      </w:r>
    </w:p>
    <w:p>
      <w:pPr>
        <w:pStyle w:val="ListBullet"/>
        <w:spacing w:after="40"/>
      </w:pPr>
      <w:r>
        <w:rPr>
          <w:color w:val="202020"/>
        </w:rPr>
        <w:t>Lessons learned, final documentation refresh, closure report</w:t>
      </w:r>
    </w:p>
    <w:p>
      <w:pPr>
        <w:pStyle w:val="Heading1"/>
      </w:pPr>
      <w:r>
        <w:rPr>
          <w:color w:val="1F3864"/>
        </w:rPr>
        <w:t>4. Explicitly excluded — Bank responsibilities</w:t>
      </w:r>
    </w:p>
    <w:p>
      <w:pPr>
        <w:spacing w:after="120"/>
      </w:pPr>
      <w:r>
        <w:rPr>
          <w:color w:val="202020"/>
        </w:rPr>
        <w:t xml:space="preserve">The programme plan colour-codes these as BANK RESOURCE, SECURITY GATE and CAB/CHANGE items. They are </w:t>
      </w:r>
      <w:r>
        <w:rPr>
          <w:b/>
          <w:color w:val="202020"/>
        </w:rPr>
        <w:t>preconditions Webzion depends on</w:t>
      </w:r>
      <w:r>
        <w:rPr>
          <w:color w:val="202020"/>
        </w:rPr>
        <w:t>, not Webzion deliverables; delays in them are handled under §7 (assumptions) and §8 (change control).</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6260"/>
        <w:gridCol w:w="3100"/>
      </w:tblGrid>
      <w:tr>
        <w:tc>
          <w:tcPr>
            <w:tcW w:type="dxa" w:w="6260"/>
            <w:shd w:val="clear" w:color="auto" w:fill="2E5496"/>
          </w:tcPr>
          <w:p>
            <w:r>
              <w:rPr>
                <w:b/>
                <w:color w:val="FFFFFF"/>
                <w:sz w:val="19"/>
              </w:rPr>
              <w:t>Bank responsibility</w:t>
            </w:r>
          </w:p>
        </w:tc>
        <w:tc>
          <w:tcPr>
            <w:tcW w:type="dxa" w:w="3100"/>
            <w:shd w:val="clear" w:color="auto" w:fill="2E5496"/>
          </w:tcPr>
          <w:p>
            <w:r>
              <w:rPr>
                <w:b/>
                <w:color w:val="FFFFFF"/>
                <w:sz w:val="19"/>
              </w:rPr>
              <w:t>Owning bank function</w:t>
            </w:r>
          </w:p>
        </w:tc>
      </w:tr>
      <w:tr>
        <w:tc>
          <w:tcPr>
            <w:tcW w:type="dxa" w:w="6260"/>
          </w:tcPr>
          <w:p>
            <w:r>
              <w:rPr>
                <w:color w:val="202020"/>
                <w:sz w:val="19"/>
              </w:rPr>
              <w:t>Funding, business case, finance-committee and procurement approvals</w:t>
            </w:r>
          </w:p>
        </w:tc>
        <w:tc>
          <w:tcPr>
            <w:tcW w:type="dxa" w:w="3100"/>
          </w:tcPr>
          <w:p>
            <w:r>
              <w:rPr>
                <w:color w:val="202020"/>
                <w:sz w:val="19"/>
              </w:rPr>
              <w:t>Sponsor / Finance / Procurement</w:t>
            </w:r>
          </w:p>
        </w:tc>
      </w:tr>
      <w:tr>
        <w:tc>
          <w:tcPr>
            <w:tcW w:type="dxa" w:w="6260"/>
            <w:shd w:val="clear" w:color="auto" w:fill="F7F9FC"/>
          </w:tcPr>
          <w:p>
            <w:r>
              <w:rPr>
                <w:color w:val="202020"/>
                <w:sz w:val="19"/>
              </w:rPr>
              <w:t>Hiring of the permanent .NET engineer (Webzion provides interim cover + KT)</w:t>
            </w:r>
          </w:p>
        </w:tc>
        <w:tc>
          <w:tcPr>
            <w:tcW w:type="dxa" w:w="3100"/>
            <w:shd w:val="clear" w:color="auto" w:fill="F7F9FC"/>
          </w:tcPr>
          <w:p>
            <w:r>
              <w:rPr>
                <w:color w:val="202020"/>
                <w:sz w:val="19"/>
              </w:rPr>
              <w:t>HR / Recruitment</w:t>
            </w:r>
          </w:p>
        </w:tc>
      </w:tr>
      <w:tr>
        <w:tc>
          <w:tcPr>
            <w:tcW w:type="dxa" w:w="6260"/>
          </w:tcPr>
          <w:p>
            <w:r>
              <w:rPr>
                <w:color w:val="202020"/>
                <w:sz w:val="19"/>
              </w:rPr>
              <w:t>Release and line management of Bank ops analysts (2) and their access</w:t>
            </w:r>
          </w:p>
        </w:tc>
        <w:tc>
          <w:tcPr>
            <w:tcW w:type="dxa" w:w="3100"/>
          </w:tcPr>
          <w:p>
            <w:r>
              <w:rPr>
                <w:color w:val="202020"/>
                <w:sz w:val="19"/>
              </w:rPr>
              <w:t>IT Operations management</w:t>
            </w:r>
          </w:p>
        </w:tc>
      </w:tr>
      <w:tr>
        <w:tc>
          <w:tcPr>
            <w:tcW w:type="dxa" w:w="6260"/>
            <w:shd w:val="clear" w:color="auto" w:fill="F7F9FC"/>
          </w:tcPr>
          <w:p>
            <w:r>
              <w:rPr>
                <w:color w:val="202020"/>
                <w:sz w:val="19"/>
              </w:rPr>
              <w:t>Naming source-system liaisons; source credentials, scopes and admin actions (Seismic, Clarizen/TDW, Altrata feed/SFTP, Hadoop/BDH read-only principal)</w:t>
            </w:r>
          </w:p>
        </w:tc>
        <w:tc>
          <w:tcPr>
            <w:tcW w:type="dxa" w:w="3100"/>
            <w:shd w:val="clear" w:color="auto" w:fill="F7F9FC"/>
          </w:tcPr>
          <w:p>
            <w:r>
              <w:rPr>
                <w:color w:val="202020"/>
                <w:sz w:val="19"/>
              </w:rPr>
              <w:t>Source-system owners</w:t>
            </w:r>
          </w:p>
        </w:tc>
      </w:tr>
      <w:tr>
        <w:tc>
          <w:tcPr>
            <w:tcW w:type="dxa" w:w="6260"/>
          </w:tcPr>
          <w:p>
            <w:r>
              <w:rPr>
                <w:color w:val="202020"/>
                <w:sz w:val="19"/>
              </w:rPr>
              <w:t>Infrastructure execution queues: VMs (dev/test/prod HA), gMSA/service accounts, firewall changes, proxy/TLS CA distribution, SQL Server provisioning, SIEM pipeline onboarding</w:t>
            </w:r>
          </w:p>
        </w:tc>
        <w:tc>
          <w:tcPr>
            <w:tcW w:type="dxa" w:w="3100"/>
          </w:tcPr>
          <w:p>
            <w:r>
              <w:rPr>
                <w:color w:val="202020"/>
                <w:sz w:val="19"/>
              </w:rPr>
              <w:t>Infrastructure / Identity / Network / DBA / SecOps</w:t>
            </w:r>
          </w:p>
        </w:tc>
      </w:tr>
      <w:tr>
        <w:tc>
          <w:tcPr>
            <w:tcW w:type="dxa" w:w="6260"/>
            <w:shd w:val="clear" w:color="auto" w:fill="F7F9FC"/>
          </w:tcPr>
          <w:p>
            <w:r>
              <w:rPr>
                <w:color w:val="202020"/>
                <w:sz w:val="19"/>
              </w:rPr>
              <w:t>M365 tenant administration and admin consent; PKI certificate issuance</w:t>
            </w:r>
          </w:p>
        </w:tc>
        <w:tc>
          <w:tcPr>
            <w:tcW w:type="dxa" w:w="3100"/>
            <w:shd w:val="clear" w:color="auto" w:fill="F7F9FC"/>
          </w:tcPr>
          <w:p>
            <w:r>
              <w:rPr>
                <w:color w:val="202020"/>
                <w:sz w:val="19"/>
              </w:rPr>
              <w:t>M365 platform team / PKI</w:t>
            </w:r>
          </w:p>
        </w:tc>
      </w:tr>
      <w:tr>
        <w:tc>
          <w:tcPr>
            <w:tcW w:type="dxa" w:w="6260"/>
          </w:tcPr>
          <w:p>
            <w:r>
              <w:rPr>
                <w:color w:val="202020"/>
                <w:sz w:val="19"/>
              </w:rPr>
              <w:t>Security reviews and sign-offs: threat-model review, webhook exposure review, per-connector production sign-off; pen-test execution (Bank or Bank-procured third party)</w:t>
            </w:r>
          </w:p>
        </w:tc>
        <w:tc>
          <w:tcPr>
            <w:tcW w:type="dxa" w:w="3100"/>
          </w:tcPr>
          <w:p>
            <w:r>
              <w:rPr>
                <w:color w:val="202020"/>
                <w:sz w:val="19"/>
              </w:rPr>
              <w:t>InfoSec / Pen-test provider</w:t>
            </w:r>
          </w:p>
        </w:tc>
      </w:tr>
      <w:tr>
        <w:tc>
          <w:tcPr>
            <w:tcW w:type="dxa" w:w="6260"/>
            <w:shd w:val="clear" w:color="auto" w:fill="F7F9FC"/>
          </w:tcPr>
          <w:p>
            <w:r>
              <w:rPr>
                <w:color w:val="202020"/>
                <w:sz w:val="19"/>
              </w:rPr>
              <w:t>DPIA and legal approval for Altrata (personal data); DSAR accountability</w:t>
            </w:r>
          </w:p>
        </w:tc>
        <w:tc>
          <w:tcPr>
            <w:tcW w:type="dxa" w:w="3100"/>
            <w:shd w:val="clear" w:color="auto" w:fill="F7F9FC"/>
          </w:tcPr>
          <w:p>
            <w:r>
              <w:rPr>
                <w:color w:val="202020"/>
                <w:sz w:val="19"/>
              </w:rPr>
              <w:t>DPO / Legal</w:t>
            </w:r>
          </w:p>
        </w:tc>
      </w:tr>
      <w:tr>
        <w:tc>
          <w:tcPr>
            <w:tcW w:type="dxa" w:w="6260"/>
          </w:tcPr>
          <w:p>
            <w:r>
              <w:rPr>
                <w:color w:val="202020"/>
                <w:sz w:val="19"/>
              </w:rPr>
              <w:t>ARB and CAB approvals, change windows, freeze governance</w:t>
            </w:r>
          </w:p>
        </w:tc>
        <w:tc>
          <w:tcPr>
            <w:tcW w:type="dxa" w:w="3100"/>
          </w:tcPr>
          <w:p>
            <w:r>
              <w:rPr>
                <w:color w:val="202020"/>
                <w:sz w:val="19"/>
              </w:rPr>
              <w:t>Architecture board / CAB</w:t>
            </w:r>
          </w:p>
        </w:tc>
      </w:tr>
      <w:tr>
        <w:tc>
          <w:tcPr>
            <w:tcW w:type="dxa" w:w="6260"/>
            <w:shd w:val="clear" w:color="auto" w:fill="F7F9FC"/>
          </w:tcPr>
          <w:p>
            <w:r>
              <w:rPr>
                <w:color w:val="202020"/>
                <w:sz w:val="19"/>
              </w:rPr>
              <w:t>Licences and subscriptions: M365 Copilot, source-system licences (incl. Altrata seats), Azure consumption, monitoring/SIEM tooling</w:t>
            </w:r>
          </w:p>
        </w:tc>
        <w:tc>
          <w:tcPr>
            <w:tcW w:type="dxa" w:w="3100"/>
            <w:shd w:val="clear" w:color="auto" w:fill="F7F9FC"/>
          </w:tcPr>
          <w:p>
            <w:r>
              <w:rPr>
                <w:color w:val="202020"/>
                <w:sz w:val="19"/>
              </w:rPr>
              <w:t>Bank</w:t>
            </w:r>
          </w:p>
        </w:tc>
      </w:tr>
      <w:tr>
        <w:tc>
          <w:tcPr>
            <w:tcW w:type="dxa" w:w="6260"/>
          </w:tcPr>
          <w:p>
            <w:r>
              <w:rPr>
                <w:color w:val="202020"/>
                <w:sz w:val="19"/>
              </w:rPr>
              <w:t>Business pilot-user participation and acceptance</w:t>
            </w:r>
          </w:p>
        </w:tc>
        <w:tc>
          <w:tcPr>
            <w:tcW w:type="dxa" w:w="3100"/>
          </w:tcPr>
          <w:p>
            <w:r>
              <w:rPr>
                <w:color w:val="202020"/>
                <w:sz w:val="19"/>
              </w:rPr>
              <w:t>Sponsor / Business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Webzion prepares packs, evidence and remediation for every gate (ARB, CAB, security, DPIA) — the approvals themselves are the Bank's.</w:t>
            </w:r>
          </w:p>
        </w:tc>
      </w:tr>
    </w:tbl>
    <w:p>
      <w:pPr>
        <w:spacing w:after="40"/>
      </w:pPr>
    </w:p>
    <w:p>
      <w:pPr>
        <w:pStyle w:val="Heading1"/>
      </w:pPr>
      <w:r>
        <w:rPr>
          <w:color w:val="1F3864"/>
        </w:rPr>
        <w:t>5. Timeline &amp; milestones</w:t>
      </w:r>
    </w:p>
    <w:p>
      <w:pPr>
        <w:spacing w:after="120"/>
      </w:pPr>
      <w:r>
        <w:rPr>
          <w:color w:val="202020"/>
        </w:rPr>
        <w:t xml:space="preserve">Dates follow programme plan v3 (start 17-Aug-26; US federal bank holidays; year-end blackout 15-Dec-26 to 08-Jan-27 with no activity). Milestone invoicing follows </w:t>
      </w:r>
      <w:r>
        <w:rPr>
          <w:b/>
          <w:color w:val="202020"/>
        </w:rPr>
        <w:t>acceptance</w:t>
      </w:r>
      <w:r>
        <w:rPr>
          <w:color w:val="202020"/>
        </w:rPr>
        <w:t>, not calendar dates; dates shift per §8 if Bank-side preconditions move.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560"/>
        <w:gridCol w:w="1500"/>
        <w:gridCol w:w="4300"/>
      </w:tblGrid>
      <w:tr>
        <w:tc>
          <w:tcPr>
            <w:tcW w:type="dxa" w:w="3560"/>
            <w:shd w:val="clear" w:color="auto" w:fill="2E5496"/>
          </w:tcPr>
          <w:p>
            <w:r>
              <w:rPr>
                <w:b/>
                <w:color w:val="FFFFFF"/>
                <w:sz w:val="19"/>
              </w:rPr>
              <w:t>Milestone</w:t>
            </w:r>
          </w:p>
        </w:tc>
        <w:tc>
          <w:tcPr>
            <w:tcW w:type="dxa" w:w="1500"/>
            <w:shd w:val="clear" w:color="auto" w:fill="2E5496"/>
          </w:tcPr>
          <w:p>
            <w:r>
              <w:rPr>
                <w:b/>
                <w:color w:val="FFFFFF"/>
                <w:sz w:val="19"/>
              </w:rPr>
              <w:t>Target date</w:t>
            </w:r>
          </w:p>
        </w:tc>
        <w:tc>
          <w:tcPr>
            <w:tcW w:type="dxa" w:w="4300"/>
            <w:shd w:val="clear" w:color="auto" w:fill="2E5496"/>
          </w:tcPr>
          <w:p>
            <w:r>
              <w:rPr>
                <w:b/>
                <w:color w:val="FFFFFF"/>
                <w:sz w:val="19"/>
              </w:rPr>
              <w:t>Acceptance evidence</w:t>
            </w:r>
          </w:p>
        </w:tc>
      </w:tr>
      <w:tr>
        <w:tc>
          <w:tcPr>
            <w:tcW w:type="dxa" w:w="3560"/>
          </w:tcPr>
          <w:p>
            <w:r>
              <w:rPr>
                <w:color w:val="202020"/>
                <w:sz w:val="19"/>
              </w:rPr>
              <w:t>M1 — Mobilisation &amp; IP delivery</w:t>
            </w:r>
          </w:p>
        </w:tc>
        <w:tc>
          <w:tcPr>
            <w:tcW w:type="dxa" w:w="1500"/>
          </w:tcPr>
          <w:p>
            <w:r>
              <w:rPr>
                <w:color w:val="202020"/>
                <w:sz w:val="19"/>
              </w:rPr>
              <w:t>18-Sep-26</w:t>
            </w:r>
          </w:p>
        </w:tc>
        <w:tc>
          <w:tcPr>
            <w:tcW w:type="dxa" w:w="4300"/>
          </w:tcPr>
          <w:p>
            <w:r>
              <w:rPr>
                <w:color w:val="202020"/>
                <w:sz w:val="19"/>
              </w:rPr>
              <w:t>Repo transferred + builds green on Bank runners; architecture briefing delivered</w:t>
            </w:r>
          </w:p>
        </w:tc>
      </w:tr>
      <w:tr>
        <w:tc>
          <w:tcPr>
            <w:tcW w:type="dxa" w:w="3560"/>
            <w:shd w:val="clear" w:color="auto" w:fill="F7F9FC"/>
          </w:tcPr>
          <w:p>
            <w:r>
              <w:rPr>
                <w:color w:val="202020"/>
                <w:sz w:val="19"/>
              </w:rPr>
              <w:t>M2 — Foundations complete</w:t>
            </w:r>
          </w:p>
        </w:tc>
        <w:tc>
          <w:tcPr>
            <w:tcW w:type="dxa" w:w="1500"/>
            <w:shd w:val="clear" w:color="auto" w:fill="F7F9FC"/>
          </w:tcPr>
          <w:p>
            <w:r>
              <w:rPr>
                <w:color w:val="202020"/>
                <w:sz w:val="19"/>
              </w:rPr>
              <w:t>12-Nov-26</w:t>
            </w:r>
          </w:p>
        </w:tc>
        <w:tc>
          <w:tcPr>
            <w:tcW w:type="dxa" w:w="4300"/>
            <w:shd w:val="clear" w:color="auto" w:fill="F7F9FC"/>
          </w:tcPr>
          <w:p>
            <w:r>
              <w:rPr>
                <w:color w:val="202020"/>
                <w:sz w:val="19"/>
              </w:rPr>
              <w:t>App regs + Key Vault live; CI/CD green; dashboards imported; ARB conditions closed (code-side)</w:t>
            </w:r>
          </w:p>
        </w:tc>
      </w:tr>
      <w:tr>
        <w:tc>
          <w:tcPr>
            <w:tcW w:type="dxa" w:w="3560"/>
          </w:tcPr>
          <w:p>
            <w:r>
              <w:rPr>
                <w:color w:val="202020"/>
                <w:sz w:val="19"/>
              </w:rPr>
              <w:t>M3 — Pilot live (Seismic)</w:t>
            </w:r>
          </w:p>
        </w:tc>
        <w:tc>
          <w:tcPr>
            <w:tcW w:type="dxa" w:w="1500"/>
          </w:tcPr>
          <w:p>
            <w:r>
              <w:rPr>
                <w:color w:val="202020"/>
                <w:sz w:val="19"/>
              </w:rPr>
              <w:t>01-Apr-27</w:t>
            </w:r>
          </w:p>
        </w:tc>
        <w:tc>
          <w:tcPr>
            <w:tcW w:type="dxa" w:w="4300"/>
          </w:tcPr>
          <w:p>
            <w:r>
              <w:rPr>
                <w:color w:val="202020"/>
                <w:sz w:val="19"/>
              </w:rPr>
              <w:t>Production crawl verified; ACL trim + No-MNE proofs; hypercare exit; ops handover sign-off</w:t>
            </w:r>
          </w:p>
        </w:tc>
      </w:tr>
      <w:tr>
        <w:tc>
          <w:tcPr>
            <w:tcW w:type="dxa" w:w="3560"/>
            <w:shd w:val="clear" w:color="auto" w:fill="F7F9FC"/>
          </w:tcPr>
          <w:p>
            <w:r>
              <w:rPr>
                <w:color w:val="202020"/>
                <w:sz w:val="19"/>
              </w:rPr>
              <w:t>M4 — Wave 2 live (Clarizen + Hadoop BDH)</w:t>
            </w:r>
          </w:p>
        </w:tc>
        <w:tc>
          <w:tcPr>
            <w:tcW w:type="dxa" w:w="1500"/>
            <w:shd w:val="clear" w:color="auto" w:fill="F7F9FC"/>
          </w:tcPr>
          <w:p>
            <w:r>
              <w:rPr>
                <w:color w:val="202020"/>
                <w:sz w:val="19"/>
              </w:rPr>
              <w:t>22-Apr-27</w:t>
            </w:r>
          </w:p>
        </w:tc>
        <w:tc>
          <w:tcPr>
            <w:tcW w:type="dxa" w:w="4300"/>
            <w:shd w:val="clear" w:color="auto" w:fill="F7F9FC"/>
          </w:tcPr>
          <w:p>
            <w:r>
              <w:rPr>
                <w:color w:val="202020"/>
                <w:sz w:val="19"/>
              </w:rPr>
              <w:t>Both production-verified; financial-mode + fail-closed-guard proofs; handover sign-offs</w:t>
            </w:r>
          </w:p>
        </w:tc>
      </w:tr>
      <w:tr>
        <w:tc>
          <w:tcPr>
            <w:tcW w:type="dxa" w:w="3560"/>
          </w:tcPr>
          <w:p>
            <w:r>
              <w:rPr>
                <w:color w:val="202020"/>
                <w:sz w:val="19"/>
              </w:rPr>
              <w:t>M5 — Wave 3 live (Altrata)</w:t>
            </w:r>
          </w:p>
        </w:tc>
        <w:tc>
          <w:tcPr>
            <w:tcW w:type="dxa" w:w="1500"/>
          </w:tcPr>
          <w:p>
            <w:r>
              <w:rPr>
                <w:color w:val="202020"/>
                <w:sz w:val="19"/>
              </w:rPr>
              <w:t>20-Apr-27</w:t>
            </w:r>
          </w:p>
        </w:tc>
        <w:tc>
          <w:tcPr>
            <w:tcW w:type="dxa" w:w="4300"/>
          </w:tcPr>
          <w:p>
            <w:r>
              <w:rPr>
                <w:color w:val="202020"/>
                <w:sz w:val="19"/>
              </w:rPr>
              <w:t>Production feed ingest verified; seat-only + DSAR-drill proofs; handover sign-off</w:t>
            </w:r>
          </w:p>
        </w:tc>
      </w:tr>
      <w:tr>
        <w:tc>
          <w:tcPr>
            <w:tcW w:type="dxa" w:w="3560"/>
            <w:shd w:val="clear" w:color="auto" w:fill="F7F9FC"/>
          </w:tcPr>
          <w:p>
            <w:r>
              <w:rPr>
                <w:color w:val="202020"/>
                <w:sz w:val="19"/>
              </w:rPr>
              <w:t>M6 — Operational readiness</w:t>
            </w:r>
          </w:p>
        </w:tc>
        <w:tc>
          <w:tcPr>
            <w:tcW w:type="dxa" w:w="1500"/>
            <w:shd w:val="clear" w:color="auto" w:fill="F7F9FC"/>
          </w:tcPr>
          <w:p>
            <w:r>
              <w:rPr>
                <w:color w:val="202020"/>
                <w:sz w:val="19"/>
              </w:rPr>
              <w:t>30-Apr-27</w:t>
            </w:r>
          </w:p>
        </w:tc>
        <w:tc>
          <w:tcPr>
            <w:tcW w:type="dxa" w:w="4300"/>
            <w:shd w:val="clear" w:color="auto" w:fill="F7F9FC"/>
          </w:tcPr>
          <w:p>
            <w:r>
              <w:rPr>
                <w:color w:val="202020"/>
                <w:sz w:val="19"/>
              </w:rPr>
              <w:t>Training delivered; drills executed; on-call model ratified</w:t>
            </w:r>
          </w:p>
        </w:tc>
      </w:tr>
      <w:tr>
        <w:tc>
          <w:tcPr>
            <w:tcW w:type="dxa" w:w="3560"/>
          </w:tcPr>
          <w:p>
            <w:r>
              <w:rPr>
                <w:color w:val="202020"/>
                <w:sz w:val="19"/>
              </w:rPr>
              <w:t>M7 — Stabilisation &amp; closure</w:t>
            </w:r>
          </w:p>
        </w:tc>
        <w:tc>
          <w:tcPr>
            <w:tcW w:type="dxa" w:w="1500"/>
          </w:tcPr>
          <w:p>
            <w:r>
              <w:rPr>
                <w:color w:val="202020"/>
                <w:sz w:val="19"/>
              </w:rPr>
              <w:t>28-May-27</w:t>
            </w:r>
          </w:p>
        </w:tc>
        <w:tc>
          <w:tcPr>
            <w:tcW w:type="dxa" w:w="4300"/>
          </w:tcPr>
          <w:p>
            <w:r>
              <w:rPr>
                <w:color w:val="202020"/>
                <w:sz w:val="19"/>
              </w:rPr>
              <w:t>30-day review; KT to Bank engineer complete; closure report accepted</w:t>
            </w:r>
          </w:p>
        </w:tc>
      </w:tr>
    </w:tbl>
    <w:p>
      <w:pPr>
        <w:spacing w:after="40"/>
      </w:pPr>
    </w:p>
    <w:p>
      <w:pPr>
        <w:pStyle w:val="Heading1"/>
      </w:pPr>
      <w:r>
        <w:rPr>
          <w:color w:val="1F3864"/>
        </w:rPr>
        <w:t>6. Commercials</w:t>
      </w:r>
    </w:p>
    <w:p>
      <w:pPr>
        <w:pStyle w:val="Heading2"/>
      </w:pPr>
      <w:r>
        <w:rPr>
          <w:color w:val="2E5496"/>
        </w:rPr>
        <w:t>6.1 Pricing model</w:t>
      </w:r>
    </w:p>
    <w:p>
      <w:pPr>
        <w:spacing w:after="120"/>
      </w:pPr>
      <w:r>
        <w:rPr>
          <w:color w:val="202020"/>
        </w:rPr>
        <w:t xml:space="preserve">Fixed fee per milestone, derived from the effort model below at US-based rates. Remote-first delivery. Total fixed fee: </w:t>
      </w:r>
      <w:r>
        <w:rPr>
          <w:b/>
          <w:color w:val="202020"/>
        </w:rPr>
        <w:t>USD 920,000</w:t>
      </w:r>
      <w:r>
        <w:rPr>
          <w:color w:val="202020"/>
        </w:rPr>
        <w:t>.</w:t>
      </w:r>
    </w:p>
    <w:p>
      <w:pPr>
        <w:pStyle w:val="Heading2"/>
      </w:pPr>
      <w:r>
        <w:rPr>
          <w:color w:val="2E5496"/>
        </w:rPr>
        <w:t>6.2 Rate card (US-based; also governs change orders / T&amp;M)</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6260"/>
        <w:gridCol w:w="3100"/>
      </w:tblGrid>
      <w:tr>
        <w:tc>
          <w:tcPr>
            <w:tcW w:type="dxa" w:w="6260"/>
            <w:shd w:val="clear" w:color="auto" w:fill="2E5496"/>
          </w:tcPr>
          <w:p>
            <w:r>
              <w:rPr>
                <w:b/>
                <w:color w:val="FFFFFF"/>
                <w:sz w:val="19"/>
              </w:rPr>
              <w:t>Webzion role</w:t>
            </w:r>
          </w:p>
        </w:tc>
        <w:tc>
          <w:tcPr>
            <w:tcW w:type="dxa" w:w="3100"/>
            <w:shd w:val="clear" w:color="auto" w:fill="2E5496"/>
          </w:tcPr>
          <w:p>
            <w:r>
              <w:rPr>
                <w:b/>
                <w:color w:val="FFFFFF"/>
                <w:sz w:val="19"/>
              </w:rPr>
              <w:t>Rate (USD/hr)</w:t>
            </w:r>
          </w:p>
        </w:tc>
      </w:tr>
      <w:tr>
        <w:tc>
          <w:tcPr>
            <w:tcW w:type="dxa" w:w="6260"/>
          </w:tcPr>
          <w:p>
            <w:r>
              <w:rPr>
                <w:color w:val="202020"/>
                <w:sz w:val="19"/>
              </w:rPr>
              <w:t>Lead Architect &amp; Platform Owner</w:t>
            </w:r>
          </w:p>
        </w:tc>
        <w:tc>
          <w:tcPr>
            <w:tcW w:type="dxa" w:w="3100"/>
          </w:tcPr>
          <w:p>
            <w:r>
              <w:rPr>
                <w:color w:val="202020"/>
                <w:sz w:val="19"/>
              </w:rPr>
              <w:t>275</w:t>
            </w:r>
          </w:p>
        </w:tc>
      </w:tr>
      <w:tr>
        <w:tc>
          <w:tcPr>
            <w:tcW w:type="dxa" w:w="6260"/>
            <w:shd w:val="clear" w:color="auto" w:fill="F7F9FC"/>
          </w:tcPr>
          <w:p>
            <w:r>
              <w:rPr>
                <w:color w:val="202020"/>
                <w:sz w:val="19"/>
              </w:rPr>
              <w:t>Senior .NET Engineer</w:t>
            </w:r>
          </w:p>
        </w:tc>
        <w:tc>
          <w:tcPr>
            <w:tcW w:type="dxa" w:w="3100"/>
            <w:shd w:val="clear" w:color="auto" w:fill="F7F9FC"/>
          </w:tcPr>
          <w:p>
            <w:r>
              <w:rPr>
                <w:color w:val="202020"/>
                <w:sz w:val="19"/>
              </w:rPr>
              <w:t>200</w:t>
            </w:r>
          </w:p>
        </w:tc>
      </w:tr>
      <w:tr>
        <w:tc>
          <w:tcPr>
            <w:tcW w:type="dxa" w:w="6260"/>
          </w:tcPr>
          <w:p>
            <w:r>
              <w:rPr>
                <w:color w:val="202020"/>
                <w:sz w:val="19"/>
              </w:rPr>
              <w:t>M365 / Graph Engineer</w:t>
            </w:r>
          </w:p>
        </w:tc>
        <w:tc>
          <w:tcPr>
            <w:tcW w:type="dxa" w:w="3100"/>
          </w:tcPr>
          <w:p>
            <w:r>
              <w:rPr>
                <w:color w:val="202020"/>
                <w:sz w:val="19"/>
              </w:rPr>
              <w:t>195</w:t>
            </w:r>
          </w:p>
        </w:tc>
      </w:tr>
      <w:tr>
        <w:tc>
          <w:tcPr>
            <w:tcW w:type="dxa" w:w="6260"/>
            <w:shd w:val="clear" w:color="auto" w:fill="F7F9FC"/>
          </w:tcPr>
          <w:p>
            <w:r>
              <w:rPr>
                <w:color w:val="202020"/>
                <w:sz w:val="19"/>
              </w:rPr>
              <w:t>DevOps / Windows Engineer</w:t>
            </w:r>
          </w:p>
        </w:tc>
        <w:tc>
          <w:tcPr>
            <w:tcW w:type="dxa" w:w="3100"/>
            <w:shd w:val="clear" w:color="auto" w:fill="F7F9FC"/>
          </w:tcPr>
          <w:p>
            <w:r>
              <w:rPr>
                <w:color w:val="202020"/>
                <w:sz w:val="19"/>
              </w:rPr>
              <w:t>185</w:t>
            </w:r>
          </w:p>
        </w:tc>
      </w:tr>
      <w:tr>
        <w:tc>
          <w:tcPr>
            <w:tcW w:type="dxa" w:w="6260"/>
          </w:tcPr>
          <w:p>
            <w:r>
              <w:rPr>
                <w:color w:val="202020"/>
                <w:sz w:val="19"/>
              </w:rPr>
              <w:t>QA / Test Engineer</w:t>
            </w:r>
          </w:p>
        </w:tc>
        <w:tc>
          <w:tcPr>
            <w:tcW w:type="dxa" w:w="3100"/>
          </w:tcPr>
          <w:p>
            <w:r>
              <w:rPr>
                <w:color w:val="202020"/>
                <w:sz w:val="19"/>
              </w:rPr>
              <w:t>155</w:t>
            </w:r>
          </w:p>
        </w:tc>
      </w:tr>
    </w:tbl>
    <w:p>
      <w:pPr>
        <w:spacing w:after="40"/>
      </w:pPr>
    </w:p>
    <w:p>
      <w:pPr>
        <w:pStyle w:val="Heading2"/>
      </w:pPr>
      <w:r>
        <w:rPr>
          <w:color w:val="2E5496"/>
        </w:rPr>
        <w:t>6.3 Effort summary (professional services)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660"/>
        <w:gridCol w:w="1800"/>
        <w:gridCol w:w="2900"/>
      </w:tblGrid>
      <w:tr>
        <w:tc>
          <w:tcPr>
            <w:tcW w:type="dxa" w:w="4660"/>
            <w:shd w:val="clear" w:color="auto" w:fill="2E5496"/>
          </w:tcPr>
          <w:p>
            <w:r>
              <w:rPr>
                <w:b/>
                <w:color w:val="FFFFFF"/>
                <w:sz w:val="19"/>
              </w:rPr>
              <w:t>Role</w:t>
            </w:r>
          </w:p>
        </w:tc>
        <w:tc>
          <w:tcPr>
            <w:tcW w:type="dxa" w:w="1800"/>
            <w:shd w:val="clear" w:color="auto" w:fill="2E5496"/>
          </w:tcPr>
          <w:p>
            <w:r>
              <w:rPr>
                <w:b/>
                <w:color w:val="FFFFFF"/>
                <w:sz w:val="19"/>
              </w:rPr>
              <w:t>Hours</w:t>
            </w:r>
          </w:p>
        </w:tc>
        <w:tc>
          <w:tcPr>
            <w:tcW w:type="dxa" w:w="2900"/>
            <w:shd w:val="clear" w:color="auto" w:fill="2E5496"/>
          </w:tcPr>
          <w:p>
            <w:r>
              <w:rPr>
                <w:b/>
                <w:color w:val="FFFFFF"/>
                <w:sz w:val="19"/>
              </w:rPr>
              <w:t>Amount (USD)</w:t>
            </w:r>
          </w:p>
        </w:tc>
      </w:tr>
      <w:tr>
        <w:tc>
          <w:tcPr>
            <w:tcW w:type="dxa" w:w="4660"/>
          </w:tcPr>
          <w:p>
            <w:r>
              <w:rPr>
                <w:color w:val="202020"/>
                <w:sz w:val="19"/>
              </w:rPr>
              <w:t>Lead Architect &amp; Platform Owner</w:t>
            </w:r>
          </w:p>
        </w:tc>
        <w:tc>
          <w:tcPr>
            <w:tcW w:type="dxa" w:w="1800"/>
          </w:tcPr>
          <w:p>
            <w:r>
              <w:rPr>
                <w:color w:val="202020"/>
                <w:sz w:val="19"/>
              </w:rPr>
              <w:t>940</w:t>
            </w:r>
          </w:p>
        </w:tc>
        <w:tc>
          <w:tcPr>
            <w:tcW w:type="dxa" w:w="2900"/>
          </w:tcPr>
          <w:p>
            <w:r>
              <w:rPr>
                <w:color w:val="202020"/>
                <w:sz w:val="19"/>
              </w:rPr>
              <w:t>258,500</w:t>
            </w:r>
          </w:p>
        </w:tc>
      </w:tr>
      <w:tr>
        <w:tc>
          <w:tcPr>
            <w:tcW w:type="dxa" w:w="4660"/>
            <w:shd w:val="clear" w:color="auto" w:fill="F7F9FC"/>
          </w:tcPr>
          <w:p>
            <w:r>
              <w:rPr>
                <w:color w:val="202020"/>
                <w:sz w:val="19"/>
              </w:rPr>
              <w:t>Senior .NET Engineer</w:t>
            </w:r>
          </w:p>
        </w:tc>
        <w:tc>
          <w:tcPr>
            <w:tcW w:type="dxa" w:w="1800"/>
            <w:shd w:val="clear" w:color="auto" w:fill="F7F9FC"/>
          </w:tcPr>
          <w:p>
            <w:r>
              <w:rPr>
                <w:color w:val="202020"/>
                <w:sz w:val="19"/>
              </w:rPr>
              <w:t>1,140</w:t>
            </w:r>
          </w:p>
        </w:tc>
        <w:tc>
          <w:tcPr>
            <w:tcW w:type="dxa" w:w="2900"/>
            <w:shd w:val="clear" w:color="auto" w:fill="F7F9FC"/>
          </w:tcPr>
          <w:p>
            <w:r>
              <w:rPr>
                <w:color w:val="202020"/>
                <w:sz w:val="19"/>
              </w:rPr>
              <w:t>228,000</w:t>
            </w:r>
          </w:p>
        </w:tc>
      </w:tr>
      <w:tr>
        <w:tc>
          <w:tcPr>
            <w:tcW w:type="dxa" w:w="4660"/>
          </w:tcPr>
          <w:p>
            <w:r>
              <w:rPr>
                <w:color w:val="202020"/>
                <w:sz w:val="19"/>
              </w:rPr>
              <w:t>M365 / Graph Engineer</w:t>
            </w:r>
          </w:p>
        </w:tc>
        <w:tc>
          <w:tcPr>
            <w:tcW w:type="dxa" w:w="1800"/>
          </w:tcPr>
          <w:p>
            <w:r>
              <w:rPr>
                <w:color w:val="202020"/>
                <w:sz w:val="19"/>
              </w:rPr>
              <w:t>404</w:t>
            </w:r>
          </w:p>
        </w:tc>
        <w:tc>
          <w:tcPr>
            <w:tcW w:type="dxa" w:w="2900"/>
          </w:tcPr>
          <w:p>
            <w:r>
              <w:rPr>
                <w:color w:val="202020"/>
                <w:sz w:val="19"/>
              </w:rPr>
              <w:t>78,780</w:t>
            </w:r>
          </w:p>
        </w:tc>
      </w:tr>
      <w:tr>
        <w:tc>
          <w:tcPr>
            <w:tcW w:type="dxa" w:w="4660"/>
            <w:shd w:val="clear" w:color="auto" w:fill="F7F9FC"/>
          </w:tcPr>
          <w:p>
            <w:r>
              <w:rPr>
                <w:color w:val="202020"/>
                <w:sz w:val="19"/>
              </w:rPr>
              <w:t>DevOps / Windows Engineer</w:t>
            </w:r>
          </w:p>
        </w:tc>
        <w:tc>
          <w:tcPr>
            <w:tcW w:type="dxa" w:w="1800"/>
            <w:shd w:val="clear" w:color="auto" w:fill="F7F9FC"/>
          </w:tcPr>
          <w:p>
            <w:r>
              <w:rPr>
                <w:color w:val="202020"/>
                <w:sz w:val="19"/>
              </w:rPr>
              <w:t>584</w:t>
            </w:r>
          </w:p>
        </w:tc>
        <w:tc>
          <w:tcPr>
            <w:tcW w:type="dxa" w:w="2900"/>
            <w:shd w:val="clear" w:color="auto" w:fill="F7F9FC"/>
          </w:tcPr>
          <w:p>
            <w:r>
              <w:rPr>
                <w:color w:val="202020"/>
                <w:sz w:val="19"/>
              </w:rPr>
              <w:t>108,040</w:t>
            </w:r>
          </w:p>
        </w:tc>
      </w:tr>
      <w:tr>
        <w:tc>
          <w:tcPr>
            <w:tcW w:type="dxa" w:w="4660"/>
          </w:tcPr>
          <w:p>
            <w:r>
              <w:rPr>
                <w:color w:val="202020"/>
                <w:sz w:val="19"/>
              </w:rPr>
              <w:t>QA / Test Engineer</w:t>
            </w:r>
          </w:p>
        </w:tc>
        <w:tc>
          <w:tcPr>
            <w:tcW w:type="dxa" w:w="1800"/>
          </w:tcPr>
          <w:p>
            <w:r>
              <w:rPr>
                <w:color w:val="202020"/>
                <w:sz w:val="19"/>
              </w:rPr>
              <w:t>876</w:t>
            </w:r>
          </w:p>
        </w:tc>
        <w:tc>
          <w:tcPr>
            <w:tcW w:type="dxa" w:w="2900"/>
          </w:tcPr>
          <w:p>
            <w:r>
              <w:rPr>
                <w:color w:val="202020"/>
                <w:sz w:val="19"/>
              </w:rPr>
              <w:t>135,780</w:t>
            </w:r>
          </w:p>
        </w:tc>
      </w:tr>
      <w:tr>
        <w:tc>
          <w:tcPr>
            <w:tcW w:type="dxa" w:w="4660"/>
            <w:shd w:val="clear" w:color="auto" w:fill="F7F9FC"/>
          </w:tcPr>
          <w:p>
            <w:r>
              <w:rPr>
                <w:b/>
                <w:color w:val="202020"/>
                <w:sz w:val="19"/>
              </w:rPr>
              <w:t>Services subtotal</w:t>
            </w:r>
          </w:p>
        </w:tc>
        <w:tc>
          <w:tcPr>
            <w:tcW w:type="dxa" w:w="1800"/>
            <w:shd w:val="clear" w:color="auto" w:fill="F7F9FC"/>
          </w:tcPr>
          <w:p>
            <w:r>
              <w:rPr>
                <w:b/>
                <w:color w:val="202020"/>
                <w:sz w:val="19"/>
              </w:rPr>
              <w:t>3,944</w:t>
            </w:r>
          </w:p>
        </w:tc>
        <w:tc>
          <w:tcPr>
            <w:tcW w:type="dxa" w:w="2900"/>
            <w:shd w:val="clear" w:color="auto" w:fill="F7F9FC"/>
          </w:tcPr>
          <w:p>
            <w:r>
              <w:rPr>
                <w:b/>
                <w:color w:val="202020"/>
                <w:sz w:val="19"/>
              </w:rPr>
              <w:t>809,100</w:t>
            </w:r>
          </w:p>
        </w:tc>
      </w:tr>
      <w:tr>
        <w:tc>
          <w:tcPr>
            <w:tcW w:type="dxa" w:w="4660"/>
          </w:tcPr>
          <w:p>
            <w:r>
              <w:rPr>
                <w:color w:val="202020"/>
                <w:sz w:val="19"/>
              </w:rPr>
              <w:t>Software suite &amp; documentation IP (perpetual licence, §11)</w:t>
            </w:r>
          </w:p>
        </w:tc>
        <w:tc>
          <w:tcPr>
            <w:tcW w:type="dxa" w:w="1800"/>
          </w:tcPr>
          <w:p>
            <w:r>
              <w:rPr>
                <w:color w:val="202020"/>
                <w:sz w:val="19"/>
              </w:rPr>
              <w:t>—</w:t>
            </w:r>
          </w:p>
        </w:tc>
        <w:tc>
          <w:tcPr>
            <w:tcW w:type="dxa" w:w="2900"/>
          </w:tcPr>
          <w:p>
            <w:r>
              <w:rPr>
                <w:color w:val="202020"/>
                <w:sz w:val="19"/>
              </w:rPr>
              <w:t>110,000</w:t>
            </w:r>
          </w:p>
        </w:tc>
      </w:tr>
      <w:tr>
        <w:tc>
          <w:tcPr>
            <w:tcW w:type="dxa" w:w="4660"/>
            <w:shd w:val="clear" w:color="auto" w:fill="F7F9FC"/>
          </w:tcPr>
          <w:p>
            <w:r>
              <w:rPr>
                <w:b/>
                <w:color w:val="202020"/>
                <w:sz w:val="19"/>
              </w:rPr>
              <w:t>Total (rounded fixed fee)</w:t>
            </w:r>
          </w:p>
        </w:tc>
        <w:tc>
          <w:tcPr>
            <w:tcW w:type="dxa" w:w="1800"/>
            <w:shd w:val="clear" w:color="auto" w:fill="F7F9FC"/>
          </w:tcPr>
          <w:p/>
        </w:tc>
        <w:tc>
          <w:tcPr>
            <w:tcW w:type="dxa" w:w="2900"/>
            <w:shd w:val="clear" w:color="auto" w:fill="F7F9FC"/>
          </w:tcPr>
          <w:p>
            <w:r>
              <w:rPr>
                <w:b/>
                <w:color w:val="202020"/>
                <w:sz w:val="19"/>
              </w:rPr>
              <w:t>920,000</w:t>
            </w:r>
          </w:p>
        </w:tc>
      </w:tr>
    </w:tbl>
    <w:p>
      <w:pPr>
        <w:spacing w:after="40"/>
      </w:pPr>
    </w:p>
    <w:p>
      <w:pPr>
        <w:pStyle w:val="Heading2"/>
      </w:pPr>
      <w:r>
        <w:rPr>
          <w:color w:val="2E5496"/>
        </w:rPr>
        <w:t>6.4 Milestone fee schedule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660"/>
        <w:gridCol w:w="1800"/>
        <w:gridCol w:w="2900"/>
      </w:tblGrid>
      <w:tr>
        <w:tc>
          <w:tcPr>
            <w:tcW w:type="dxa" w:w="4660"/>
            <w:shd w:val="clear" w:color="auto" w:fill="2E5496"/>
          </w:tcPr>
          <w:p>
            <w:r>
              <w:rPr>
                <w:b/>
                <w:color w:val="FFFFFF"/>
                <w:sz w:val="19"/>
              </w:rPr>
              <w:t>Milestone</w:t>
            </w:r>
          </w:p>
        </w:tc>
        <w:tc>
          <w:tcPr>
            <w:tcW w:type="dxa" w:w="1800"/>
            <w:shd w:val="clear" w:color="auto" w:fill="2E5496"/>
          </w:tcPr>
          <w:p>
            <w:r>
              <w:rPr>
                <w:b/>
                <w:color w:val="FFFFFF"/>
                <w:sz w:val="19"/>
              </w:rPr>
              <w:t>Fee (USD)</w:t>
            </w:r>
          </w:p>
        </w:tc>
        <w:tc>
          <w:tcPr>
            <w:tcW w:type="dxa" w:w="2900"/>
            <w:shd w:val="clear" w:color="auto" w:fill="2E5496"/>
          </w:tcPr>
          <w:p>
            <w:r>
              <w:rPr>
                <w:b/>
                <w:color w:val="FFFFFF"/>
                <w:sz w:val="19"/>
              </w:rPr>
              <w:t>Invoicing</w:t>
            </w:r>
          </w:p>
        </w:tc>
      </w:tr>
      <w:tr>
        <w:tc>
          <w:tcPr>
            <w:tcW w:type="dxa" w:w="4660"/>
          </w:tcPr>
          <w:p>
            <w:r>
              <w:rPr>
                <w:color w:val="202020"/>
                <w:sz w:val="19"/>
              </w:rPr>
              <w:t>M1 — Mobilisation &amp; IP delivery</w:t>
            </w:r>
          </w:p>
        </w:tc>
        <w:tc>
          <w:tcPr>
            <w:tcW w:type="dxa" w:w="1800"/>
          </w:tcPr>
          <w:p>
            <w:r>
              <w:rPr>
                <w:color w:val="202020"/>
                <w:sz w:val="19"/>
              </w:rPr>
              <w:t>185,000</w:t>
            </w:r>
          </w:p>
        </w:tc>
        <w:tc>
          <w:tcPr>
            <w:tcW w:type="dxa" w:w="2900"/>
          </w:tcPr>
          <w:p>
            <w:r>
              <w:rPr>
                <w:color w:val="202020"/>
                <w:sz w:val="19"/>
              </w:rPr>
              <w:t>On acceptance; Net 30</w:t>
            </w:r>
          </w:p>
        </w:tc>
      </w:tr>
      <w:tr>
        <w:tc>
          <w:tcPr>
            <w:tcW w:type="dxa" w:w="4660"/>
            <w:shd w:val="clear" w:color="auto" w:fill="F7F9FC"/>
          </w:tcPr>
          <w:p>
            <w:r>
              <w:rPr>
                <w:color w:val="202020"/>
                <w:sz w:val="19"/>
              </w:rPr>
              <w:t>M2 — Foundations complete</w:t>
            </w:r>
          </w:p>
        </w:tc>
        <w:tc>
          <w:tcPr>
            <w:tcW w:type="dxa" w:w="1800"/>
            <w:shd w:val="clear" w:color="auto" w:fill="F7F9FC"/>
          </w:tcPr>
          <w:p>
            <w:r>
              <w:rPr>
                <w:color w:val="202020"/>
                <w:sz w:val="19"/>
              </w:rPr>
              <w:t>148,000</w:t>
            </w:r>
          </w:p>
        </w:tc>
        <w:tc>
          <w:tcPr>
            <w:tcW w:type="dxa" w:w="2900"/>
            <w:shd w:val="clear" w:color="auto" w:fill="F7F9FC"/>
          </w:tcPr>
          <w:p>
            <w:r>
              <w:rPr>
                <w:color w:val="202020"/>
                <w:sz w:val="19"/>
              </w:rPr>
              <w:t>On acceptance; Net 30</w:t>
            </w:r>
          </w:p>
        </w:tc>
      </w:tr>
      <w:tr>
        <w:tc>
          <w:tcPr>
            <w:tcW w:type="dxa" w:w="4660"/>
          </w:tcPr>
          <w:p>
            <w:r>
              <w:rPr>
                <w:color w:val="202020"/>
                <w:sz w:val="19"/>
              </w:rPr>
              <w:t>M3 — Pilot live (Seismic)</w:t>
            </w:r>
          </w:p>
        </w:tc>
        <w:tc>
          <w:tcPr>
            <w:tcW w:type="dxa" w:w="1800"/>
          </w:tcPr>
          <w:p>
            <w:r>
              <w:rPr>
                <w:color w:val="202020"/>
                <w:sz w:val="19"/>
              </w:rPr>
              <w:t>184,000</w:t>
            </w:r>
          </w:p>
        </w:tc>
        <w:tc>
          <w:tcPr>
            <w:tcW w:type="dxa" w:w="2900"/>
          </w:tcPr>
          <w:p>
            <w:r>
              <w:rPr>
                <w:color w:val="202020"/>
                <w:sz w:val="19"/>
              </w:rPr>
              <w:t>On acceptance; Net 30</w:t>
            </w:r>
          </w:p>
        </w:tc>
      </w:tr>
      <w:tr>
        <w:tc>
          <w:tcPr>
            <w:tcW w:type="dxa" w:w="4660"/>
            <w:shd w:val="clear" w:color="auto" w:fill="F7F9FC"/>
          </w:tcPr>
          <w:p>
            <w:r>
              <w:rPr>
                <w:color w:val="202020"/>
                <w:sz w:val="19"/>
              </w:rPr>
              <w:t>M4 — Wave 2 live (Clarizen + BDH)</w:t>
            </w:r>
          </w:p>
        </w:tc>
        <w:tc>
          <w:tcPr>
            <w:tcW w:type="dxa" w:w="1800"/>
            <w:shd w:val="clear" w:color="auto" w:fill="F7F9FC"/>
          </w:tcPr>
          <w:p>
            <w:r>
              <w:rPr>
                <w:color w:val="202020"/>
                <w:sz w:val="19"/>
              </w:rPr>
              <w:t>176,000</w:t>
            </w:r>
          </w:p>
        </w:tc>
        <w:tc>
          <w:tcPr>
            <w:tcW w:type="dxa" w:w="2900"/>
            <w:shd w:val="clear" w:color="auto" w:fill="F7F9FC"/>
          </w:tcPr>
          <w:p>
            <w:r>
              <w:rPr>
                <w:color w:val="202020"/>
                <w:sz w:val="19"/>
              </w:rPr>
              <w:t>On acceptance; Net 30</w:t>
            </w:r>
          </w:p>
        </w:tc>
      </w:tr>
      <w:tr>
        <w:tc>
          <w:tcPr>
            <w:tcW w:type="dxa" w:w="4660"/>
          </w:tcPr>
          <w:p>
            <w:r>
              <w:rPr>
                <w:color w:val="202020"/>
                <w:sz w:val="19"/>
              </w:rPr>
              <w:t>M5 — Wave 3 live (Altrata)</w:t>
            </w:r>
          </w:p>
        </w:tc>
        <w:tc>
          <w:tcPr>
            <w:tcW w:type="dxa" w:w="1800"/>
          </w:tcPr>
          <w:p>
            <w:r>
              <w:rPr>
                <w:color w:val="202020"/>
                <w:sz w:val="19"/>
              </w:rPr>
              <w:t>107,000</w:t>
            </w:r>
          </w:p>
        </w:tc>
        <w:tc>
          <w:tcPr>
            <w:tcW w:type="dxa" w:w="2900"/>
          </w:tcPr>
          <w:p>
            <w:r>
              <w:rPr>
                <w:color w:val="202020"/>
                <w:sz w:val="19"/>
              </w:rPr>
              <w:t>On acceptance; Net 30</w:t>
            </w:r>
          </w:p>
        </w:tc>
      </w:tr>
      <w:tr>
        <w:tc>
          <w:tcPr>
            <w:tcW w:type="dxa" w:w="4660"/>
            <w:shd w:val="clear" w:color="auto" w:fill="F7F9FC"/>
          </w:tcPr>
          <w:p>
            <w:r>
              <w:rPr>
                <w:color w:val="202020"/>
                <w:sz w:val="19"/>
              </w:rPr>
              <w:t>M6 — Operational readiness</w:t>
            </w:r>
          </w:p>
        </w:tc>
        <w:tc>
          <w:tcPr>
            <w:tcW w:type="dxa" w:w="1800"/>
            <w:shd w:val="clear" w:color="auto" w:fill="F7F9FC"/>
          </w:tcPr>
          <w:p>
            <w:r>
              <w:rPr>
                <w:color w:val="202020"/>
                <w:sz w:val="19"/>
              </w:rPr>
              <w:t>45,000</w:t>
            </w:r>
          </w:p>
        </w:tc>
        <w:tc>
          <w:tcPr>
            <w:tcW w:type="dxa" w:w="2900"/>
            <w:shd w:val="clear" w:color="auto" w:fill="F7F9FC"/>
          </w:tcPr>
          <w:p>
            <w:r>
              <w:rPr>
                <w:color w:val="202020"/>
                <w:sz w:val="19"/>
              </w:rPr>
              <w:t>On acceptance; Net 30</w:t>
            </w:r>
          </w:p>
        </w:tc>
      </w:tr>
      <w:tr>
        <w:tc>
          <w:tcPr>
            <w:tcW w:type="dxa" w:w="4660"/>
          </w:tcPr>
          <w:p>
            <w:r>
              <w:rPr>
                <w:color w:val="202020"/>
                <w:sz w:val="19"/>
              </w:rPr>
              <w:t>M7 — Stabilisation &amp; closure</w:t>
            </w:r>
          </w:p>
        </w:tc>
        <w:tc>
          <w:tcPr>
            <w:tcW w:type="dxa" w:w="1800"/>
          </w:tcPr>
          <w:p>
            <w:r>
              <w:rPr>
                <w:color w:val="202020"/>
                <w:sz w:val="19"/>
              </w:rPr>
              <w:t>75,000</w:t>
            </w:r>
          </w:p>
        </w:tc>
        <w:tc>
          <w:tcPr>
            <w:tcW w:type="dxa" w:w="2900"/>
          </w:tcPr>
          <w:p>
            <w:r>
              <w:rPr>
                <w:color w:val="202020"/>
                <w:sz w:val="19"/>
              </w:rPr>
              <w:t>On acceptance; Net 30</w:t>
            </w:r>
          </w:p>
        </w:tc>
      </w:tr>
      <w:tr>
        <w:tc>
          <w:tcPr>
            <w:tcW w:type="dxa" w:w="4660"/>
            <w:shd w:val="clear" w:color="auto" w:fill="F7F9FC"/>
          </w:tcPr>
          <w:p>
            <w:r>
              <w:rPr>
                <w:b/>
                <w:color w:val="202020"/>
                <w:sz w:val="19"/>
              </w:rPr>
              <w:t>Total</w:t>
            </w:r>
          </w:p>
        </w:tc>
        <w:tc>
          <w:tcPr>
            <w:tcW w:type="dxa" w:w="1800"/>
            <w:shd w:val="clear" w:color="auto" w:fill="F7F9FC"/>
          </w:tcPr>
          <w:p>
            <w:r>
              <w:rPr>
                <w:b/>
                <w:color w:val="202020"/>
                <w:sz w:val="19"/>
              </w:rPr>
              <w:t>920,000</w:t>
            </w:r>
          </w:p>
        </w:tc>
        <w:tc>
          <w:tcPr>
            <w:tcW w:type="dxa" w:w="2900"/>
            <w:shd w:val="clear" w:color="auto" w:fill="F7F9FC"/>
          </w:tcPr>
          <w:p/>
        </w:tc>
      </w:tr>
    </w:tbl>
    <w:p>
      <w:pPr>
        <w:spacing w:after="40"/>
      </w:pPr>
    </w:p>
    <w:p>
      <w:pPr>
        <w:pStyle w:val="Heading2"/>
      </w:pPr>
      <w:r>
        <w:rPr>
          <w:color w:val="2E5496"/>
        </w:rPr>
        <w:t>6.5 Optional change order — Salesforce connector deployment</w:t>
      </w:r>
    </w:p>
    <w:p>
      <w:pPr>
        <w:spacing w:after="120"/>
      </w:pPr>
      <w:r>
        <w:rPr>
          <w:color w:val="202020"/>
        </w:rPr>
        <w:t xml:space="preserve">If the Phase-4 checkpoint elects to deploy the deferred Salesforce connector (live-CRM freshness required), Webzion will deliver it under a pre-agreed fixed-fee change order: </w:t>
      </w:r>
      <w:r>
        <w:rPr>
          <w:b/>
          <w:color w:val="202020"/>
        </w:rPr>
        <w:t>USD 88,000</w:t>
      </w:r>
      <w:r>
        <w:rPr>
          <w:color w:val="202020"/>
        </w:rPr>
        <w:t xml:space="preserve"> (intake-through-hypercare per the wave pattern; Bank gates as §4). Valid for 12 months from M7.</w:t>
      </w:r>
    </w:p>
    <w:p>
      <w:pPr>
        <w:pStyle w:val="Heading2"/>
      </w:pPr>
      <w:r>
        <w:rPr>
          <w:color w:val="2E5496"/>
        </w:rPr>
        <w:t>6.6 Expenses &amp; taxes</w:t>
      </w:r>
    </w:p>
    <w:p>
      <w:pPr>
        <w:pStyle w:val="ListBullet"/>
        <w:spacing w:after="40"/>
      </w:pPr>
      <w:r>
        <w:rPr>
          <w:color w:val="202020"/>
        </w:rPr>
        <w:t>Remote-first: no routine travel. Bank-requested on-site attendance billed at cost, pre-approved, capped at 5% of fees.</w:t>
      </w:r>
    </w:p>
    <w:p>
      <w:pPr>
        <w:pStyle w:val="ListBullet"/>
        <w:spacing w:after="40"/>
      </w:pPr>
      <w:r>
        <w:rPr>
          <w:color w:val="202020"/>
        </w:rPr>
        <w:t>Fees exclude applicable taxes; the Bank bears sales/use taxes where applicable.</w:t>
      </w:r>
    </w:p>
    <w:p>
      <w:pPr>
        <w:pStyle w:val="Heading1"/>
      </w:pPr>
      <w:r>
        <w:rPr>
          <w:color w:val="1F3864"/>
        </w:rPr>
        <w:t>7. Assumptions</w:t>
      </w:r>
    </w:p>
    <w:p>
      <w:pPr>
        <w:pStyle w:val="ListBullet"/>
        <w:spacing w:after="40"/>
      </w:pPr>
      <w:r>
        <w:rPr>
          <w:color w:val="202020"/>
        </w:rPr>
        <w:t>Bank-side items in §4 are delivered per the programme plan's modelled lead times (finance committee 15wd; infra/PKI/identity/firewall/SIEM queues 10–15wd; security review queue +15wd; pen-test diary pre-booked at foundations; ARB +15wd; CAB +10wd per submission).</w:t>
      </w:r>
    </w:p>
    <w:p>
      <w:pPr>
        <w:pStyle w:val="ListBullet"/>
        <w:spacing w:after="40"/>
      </w:pPr>
      <w:r>
        <w:rPr>
          <w:color w:val="202020"/>
        </w:rPr>
        <w:t>Year-end blackout 15-Dec-26 – 08-Jan-27: no delivery activity is planned or billed.</w:t>
      </w:r>
    </w:p>
    <w:p>
      <w:pPr>
        <w:pStyle w:val="ListBullet"/>
        <w:spacing w:after="40"/>
      </w:pPr>
      <w:r>
        <w:rPr>
          <w:color w:val="202020"/>
        </w:rPr>
        <w:t>Webzion staff receive remote access, accounts and environments within 10 working days of request.</w:t>
      </w:r>
    </w:p>
    <w:p>
      <w:pPr>
        <w:pStyle w:val="ListBullet"/>
        <w:spacing w:after="40"/>
      </w:pPr>
      <w:r>
        <w:rPr>
          <w:color w:val="202020"/>
        </w:rPr>
        <w:t>The dev/test M365 tenant is available for E2E from Foundations; pilot users are available in the validation window.</w:t>
      </w:r>
    </w:p>
    <w:p>
      <w:pPr>
        <w:pStyle w:val="ListBullet"/>
        <w:spacing w:after="40"/>
      </w:pPr>
      <w:r>
        <w:rPr>
          <w:color w:val="202020"/>
        </w:rPr>
        <w:t>One consolidated security-remediation cycle per review is included per connector; additional cycles arising from new Bank policy are change-controlled.</w:t>
      </w:r>
    </w:p>
    <w:p>
      <w:pPr>
        <w:pStyle w:val="ListBullet"/>
        <w:spacing w:after="40"/>
      </w:pPr>
      <w:r>
        <w:rPr>
          <w:color w:val="202020"/>
        </w:rPr>
        <w:t>Documentation is delivered in Webzion's standard format; Bank re-branding is a minor include (logo/title page), deep template conversion is change-controlled.</w:t>
      </w:r>
    </w:p>
    <w:p>
      <w:pPr>
        <w:pStyle w:val="Heading1"/>
      </w:pPr>
      <w:r>
        <w:rPr>
          <w:color w:val="1F3864"/>
        </w:rPr>
        <w:t>8. Governance &amp; change control</w:t>
      </w:r>
    </w:p>
    <w:p>
      <w:pPr>
        <w:pStyle w:val="ListBullet"/>
        <w:spacing w:after="40"/>
      </w:pPr>
      <w:r>
        <w:rPr>
          <w:color w:val="202020"/>
        </w:rPr>
        <w:t>Weekly written status (progress, risks, dependency chase-list) + weekly 30-min call; monthly steering with Sponsor.</w:t>
      </w:r>
    </w:p>
    <w:p>
      <w:pPr>
        <w:pStyle w:val="ListBullet"/>
        <w:spacing w:after="40"/>
      </w:pPr>
      <w:r>
        <w:rPr>
          <w:color w:val="202020"/>
        </w:rPr>
        <w:t>Single-threaded owners: Webzion Lead Architect ↔ Bank programme sponsor/delegate.</w:t>
      </w:r>
    </w:p>
    <w:p>
      <w:pPr>
        <w:pStyle w:val="ListBullet"/>
        <w:spacing w:after="40"/>
      </w:pPr>
      <w:r>
        <w:rPr>
          <w:color w:val="202020"/>
        </w:rPr>
        <w:t>Change control: any scope addition, assumption breach, or Bank-side delay &gt;10 working days on the critical path is handled via written change order (rates §6.2) before work proceeds.</w:t>
      </w:r>
    </w:p>
    <w:p>
      <w:pPr>
        <w:pStyle w:val="ListBullet"/>
        <w:spacing w:after="40"/>
      </w:pPr>
      <w:r>
        <w:rPr>
          <w:color w:val="202020"/>
        </w:rPr>
        <w:t>Escalation: Leads → Sponsor/Webzion principal → MSA escalation path.</w:t>
      </w:r>
    </w:p>
    <w:p>
      <w:pPr>
        <w:pStyle w:val="Heading1"/>
      </w:pPr>
      <w:r>
        <w:rPr>
          <w:color w:val="1F3864"/>
        </w:rPr>
        <w:t>9. Acceptance</w:t>
      </w:r>
    </w:p>
    <w:p>
      <w:pPr>
        <w:spacing w:after="120"/>
      </w:pPr>
      <w:r>
        <w:rPr>
          <w:color w:val="202020"/>
        </w:rPr>
        <w:t xml:space="preserve">Each milestone is accepted against its evidence column in §5. The Bank has </w:t>
      </w:r>
      <w:r>
        <w:rPr>
          <w:b/>
          <w:color w:val="202020"/>
        </w:rPr>
        <w:t>10 working days</w:t>
      </w:r>
      <w:r>
        <w:rPr>
          <w:color w:val="202020"/>
        </w:rPr>
        <w:t xml:space="preserve"> to accept or reject in writing with specific deficiencies; absent a response, the milestone is deemed accepted. Rejections are remediated by Webzion and resubmitted; disputed items follow §8 escalation.</w:t>
      </w:r>
    </w:p>
    <w:p>
      <w:pPr>
        <w:pStyle w:val="Heading1"/>
      </w:pPr>
      <w:r>
        <w:rPr>
          <w:color w:val="1F3864"/>
        </w:rPr>
        <w:t>10. Key personnel &amp; staffing</w:t>
      </w:r>
    </w:p>
    <w:p>
      <w:pPr>
        <w:pStyle w:val="ListBullet"/>
        <w:spacing w:after="40"/>
      </w:pPr>
      <w:r>
        <w:rPr>
          <w:b/>
          <w:color w:val="202020"/>
        </w:rPr>
        <w:t>Lead Architect &amp; Platform Owner</w:t>
      </w:r>
      <w:r>
        <w:rPr>
          <w:color w:val="202020"/>
        </w:rPr>
        <w:t xml:space="preserve"> — named: [Joseph •], Webzion. Key person; replacement only with Bank consent to an equivalent profile.</w:t>
      </w:r>
    </w:p>
    <w:p>
      <w:pPr>
        <w:pStyle w:val="ListBullet"/>
        <w:spacing w:after="40"/>
      </w:pPr>
      <w:r>
        <w:rPr>
          <w:color w:val="202020"/>
        </w:rPr>
        <w:t>Senior .NET Engineer(s), M365/Graph Engineer, DevOps/Windows Engineer, QA/Test Engineer — Webzion-provided, US-based or US-hours coverage.</w:t>
      </w:r>
    </w:p>
    <w:p>
      <w:pPr>
        <w:pStyle w:val="ListBullet"/>
        <w:spacing w:after="40"/>
      </w:pPr>
      <w:r>
        <w:rPr>
          <w:color w:val="202020"/>
        </w:rPr>
        <w:t>Webzion provides interim development cover until the Bank's permanent engineer completes onboarding; structured knowledge transfer is part of M7.</w:t>
      </w:r>
    </w:p>
    <w:p>
      <w:pPr>
        <w:pStyle w:val="Heading1"/>
      </w:pPr>
      <w:r>
        <w:rPr>
          <w:color w:val="1F3864"/>
        </w:rPr>
        <w:t>11. Intellectual property &amp; licence</w:t>
      </w:r>
    </w:p>
    <w:p>
      <w:pPr>
        <w:pStyle w:val="ListBullet"/>
        <w:spacing w:after="40"/>
      </w:pPr>
      <w:r>
        <w:rPr>
          <w:color w:val="202020"/>
        </w:rPr>
        <w:t xml:space="preserve">Pre-existing IP (the connector suite, chassis, documentation set, tooling) remains Webzion's. On payment of M1, the Bank receives a </w:t>
      </w:r>
      <w:r>
        <w:rPr>
          <w:b/>
          <w:color w:val="202020"/>
        </w:rPr>
        <w:t>perpetual, irrevocable, enterprise-wide licence</w:t>
      </w:r>
      <w:r>
        <w:rPr>
          <w:color w:val="202020"/>
        </w:rPr>
        <w:t xml:space="preserve"> to use, modify and maintain the delivered source and documentation for internal purposes, including via contractors.</w:t>
      </w:r>
    </w:p>
    <w:p>
      <w:pPr>
        <w:pStyle w:val="ListBullet"/>
        <w:spacing w:after="40"/>
      </w:pPr>
      <w:r>
        <w:rPr>
          <w:color w:val="202020"/>
        </w:rPr>
        <w:t>Engagement-specific work product (Bank configurations, filter policies, runbook customisations, reports) is owned by the Bank on payment.</w:t>
      </w:r>
    </w:p>
    <w:p>
      <w:pPr>
        <w:pStyle w:val="ListBullet"/>
        <w:spacing w:after="40"/>
      </w:pPr>
      <w:r>
        <w:rPr>
          <w:color w:val="202020"/>
        </w:rPr>
        <w:t>Webzion retains the right to reuse generic know-how and the chassis in other engagements; no Bank confidential data or Bank-specific configuration is reused.</w:t>
      </w:r>
    </w:p>
    <w:p>
      <w:pPr>
        <w:pStyle w:val="ListBullet"/>
        <w:spacing w:after="40"/>
      </w:pPr>
      <w:r>
        <w:rPr>
          <w:color w:val="202020"/>
        </w:rPr>
        <w:t>No open-source copyleft is introduced without written approval; SBOMs are delivered per release.</w:t>
      </w:r>
    </w:p>
    <w:p>
      <w:pPr>
        <w:pStyle w:val="Heading1"/>
      </w:pPr>
      <w:r>
        <w:rPr>
          <w:color w:val="1F3864"/>
        </w:rPr>
        <w:t>12. Warranty, liability, security &amp; termination</w:t>
      </w:r>
    </w:p>
    <w:p>
      <w:pPr>
        <w:pStyle w:val="ListBullet"/>
        <w:spacing w:after="40"/>
      </w:pPr>
      <w:r>
        <w:rPr>
          <w:b/>
          <w:color w:val="202020"/>
        </w:rPr>
        <w:t>Warranty:</w:t>
      </w:r>
      <w:r>
        <w:rPr>
          <w:color w:val="202020"/>
        </w:rPr>
        <w:t xml:space="preserve"> 60 days post each go-live milestone for defects against documented behaviour; fixes at no charge. Thereafter support under a separate managed-support agreement (out of scope here).</w:t>
      </w:r>
    </w:p>
    <w:p>
      <w:pPr>
        <w:pStyle w:val="ListBullet"/>
        <w:spacing w:after="40"/>
      </w:pPr>
      <w:r>
        <w:rPr>
          <w:b/>
          <w:color w:val="202020"/>
        </w:rPr>
        <w:t>Liability:</w:t>
      </w:r>
      <w:r>
        <w:rPr>
          <w:color w:val="202020"/>
        </w:rPr>
        <w:t xml:space="preserve"> capped at fees paid under this SoW; no indirect/consequential damages — per MSA.</w:t>
      </w:r>
    </w:p>
    <w:p>
      <w:pPr>
        <w:pStyle w:val="ListBullet"/>
        <w:spacing w:after="40"/>
      </w:pPr>
      <w:r>
        <w:rPr>
          <w:b/>
          <w:color w:val="202020"/>
        </w:rPr>
        <w:t>Security &amp; confidentiality:</w:t>
      </w:r>
      <w:r>
        <w:rPr>
          <w:color w:val="202020"/>
        </w:rPr>
        <w:t xml:space="preserve"> Webzion staff comply with Bank security policies, background-check requirements and remote-access standards; all Bank data remains in Bank environments. This SoW and pricing are Commercial in Confidence.</w:t>
      </w:r>
    </w:p>
    <w:p>
      <w:pPr>
        <w:pStyle w:val="ListBullet"/>
        <w:spacing w:after="40"/>
      </w:pPr>
      <w:r>
        <w:rPr>
          <w:b/>
          <w:color w:val="202020"/>
        </w:rPr>
        <w:t>Termination for convenience:</w:t>
      </w:r>
      <w:r>
        <w:rPr>
          <w:color w:val="202020"/>
        </w:rPr>
        <w:t xml:space="preserve"> 30 days' written notice; Bank pays accepted milestones + pro-rata work-in-progress at §6.2 rates; licence per §11 survives for paid deliverables.</w:t>
      </w:r>
    </w:p>
    <w:p>
      <w:pPr>
        <w:pStyle w:val="Heading1"/>
      </w:pPr>
      <w:r>
        <w:rPr>
          <w:color w:val="1F3864"/>
        </w:rPr>
        <w:t>13. Signatures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800"/>
        <w:gridCol w:w="3780"/>
        <w:gridCol w:w="3780"/>
      </w:tblGrid>
      <w:tr>
        <w:tc>
          <w:tcPr>
            <w:tcW w:type="dxa" w:w="1800"/>
            <w:shd w:val="clear" w:color="auto" w:fill="2E5496"/>
          </w:tcPr>
          <w:p/>
        </w:tc>
        <w:tc>
          <w:tcPr>
            <w:tcW w:type="dxa" w:w="3780"/>
            <w:shd w:val="clear" w:color="auto" w:fill="2E5496"/>
          </w:tcPr>
          <w:p>
            <w:r>
              <w:rPr>
                <w:b/>
                <w:color w:val="FFFFFF"/>
                <w:sz w:val="19"/>
              </w:rPr>
              <w:t>Webzion</w:t>
            </w:r>
          </w:p>
        </w:tc>
        <w:tc>
          <w:tcPr>
            <w:tcW w:type="dxa" w:w="3780"/>
            <w:shd w:val="clear" w:color="auto" w:fill="2E5496"/>
          </w:tcPr>
          <w:p>
            <w:r>
              <w:rPr>
                <w:b/>
                <w:color w:val="FFFFFF"/>
                <w:sz w:val="19"/>
              </w:rPr>
              <w:t>[Client Bank]</w:t>
            </w:r>
          </w:p>
        </w:tc>
      </w:tr>
      <w:tr>
        <w:tc>
          <w:tcPr>
            <w:tcW w:type="dxa" w:w="1800"/>
          </w:tcPr>
          <w:p>
            <w:r>
              <w:rPr>
                <w:color w:val="202020"/>
                <w:sz w:val="19"/>
              </w:rPr>
              <w:t>Name</w:t>
            </w:r>
          </w:p>
        </w:tc>
        <w:tc>
          <w:tcPr>
            <w:tcW w:type="dxa" w:w="3780"/>
          </w:tcPr>
          <w:p/>
        </w:tc>
        <w:tc>
          <w:tcPr>
            <w:tcW w:type="dxa" w:w="3780"/>
          </w:tcPr>
          <w:p/>
        </w:tc>
      </w:tr>
      <w:tr>
        <w:tc>
          <w:tcPr>
            <w:tcW w:type="dxa" w:w="1800"/>
            <w:shd w:val="clear" w:color="auto" w:fill="F7F9FC"/>
          </w:tcPr>
          <w:p>
            <w:r>
              <w:rPr>
                <w:color w:val="202020"/>
                <w:sz w:val="19"/>
              </w:rPr>
              <w:t>Title</w:t>
            </w:r>
          </w:p>
        </w:tc>
        <w:tc>
          <w:tcPr>
            <w:tcW w:type="dxa" w:w="3780"/>
            <w:shd w:val="clear" w:color="auto" w:fill="F7F9FC"/>
          </w:tcPr>
          <w:p/>
        </w:tc>
        <w:tc>
          <w:tcPr>
            <w:tcW w:type="dxa" w:w="3780"/>
            <w:shd w:val="clear" w:color="auto" w:fill="F7F9FC"/>
          </w:tcPr>
          <w:p/>
        </w:tc>
      </w:tr>
      <w:tr>
        <w:tc>
          <w:tcPr>
            <w:tcW w:type="dxa" w:w="1800"/>
          </w:tcPr>
          <w:p>
            <w:r>
              <w:rPr>
                <w:color w:val="202020"/>
                <w:sz w:val="19"/>
              </w:rPr>
              <w:t>Signature</w:t>
            </w:r>
          </w:p>
        </w:tc>
        <w:tc>
          <w:tcPr>
            <w:tcW w:type="dxa" w:w="3780"/>
          </w:tcPr>
          <w:p/>
        </w:tc>
        <w:tc>
          <w:tcPr>
            <w:tcW w:type="dxa" w:w="3780"/>
          </w:tcPr>
          <w:p/>
        </w:tc>
      </w:tr>
      <w:tr>
        <w:tc>
          <w:tcPr>
            <w:tcW w:type="dxa" w:w="1800"/>
            <w:shd w:val="clear" w:color="auto" w:fill="F7F9FC"/>
          </w:tcPr>
          <w:p>
            <w:r>
              <w:rPr>
                <w:color w:val="202020"/>
                <w:sz w:val="19"/>
              </w:rPr>
              <w:t>Date</w:t>
            </w:r>
          </w:p>
        </w:tc>
        <w:tc>
          <w:tcPr>
            <w:tcW w:type="dxa" w:w="3780"/>
            <w:shd w:val="clear" w:color="auto" w:fill="F7F9FC"/>
          </w:tcPr>
          <w:p/>
        </w:tc>
        <w:tc>
          <w:tcPr>
            <w:tcW w:type="dxa" w:w="3780"/>
            <w:shd w:val="clear" w:color="auto" w:fill="F7F9FC"/>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DRAFT for internal review and negotiation. Not an offer capable of acceptance until executed by authorised signatories of both parties.</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Webzion SoW — Copilot Connector Programme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