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CONN-DOC-ARB-01</w:t>
      </w:r>
    </w:p>
    <w:p>
      <w:pPr>
        <w:jc w:val="left"/>
        <w:pBdr>
          <w:bottom w:val="single" w:sz="18" w:space="4" w:color="2E5496"/>
        </w:pBdr>
      </w:pPr>
      <w:r>
        <w:rPr>
          <w:b/>
          <w:color w:val="1F3864"/>
          <w:sz w:val="60"/>
        </w:rPr>
        <w:t>Availability Tier — Decision Paper</w:t>
      </w:r>
    </w:p>
    <w:p>
      <w:pPr>
        <w:spacing w:after="480"/>
      </w:pPr>
      <w:r>
        <w:rPr>
          <w:color w:val="2E5496"/>
          <w:sz w:val="28"/>
        </w:rPr>
        <w:t>Costing the 99.99% active-active multi-region target against a single-region alternative, with the state-loss evidence</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Lead Architect &amp; Platform Owner</w:t>
            </w:r>
          </w:p>
        </w:tc>
      </w:tr>
      <w:tr>
        <w:tc>
          <w:tcPr>
            <w:tcW w:type="dxa" w:w="2600"/>
            <w:shd w:val="clear" w:color="auto" w:fill="EEF2F8"/>
          </w:tcPr>
          <w:p>
            <w:r>
              <w:rPr>
                <w:b/>
                <w:color w:val="1F3864"/>
                <w:sz w:val="20"/>
              </w:rPr>
              <w:t>Decision forum</w:t>
            </w:r>
          </w:p>
        </w:tc>
        <w:tc>
          <w:tcPr>
            <w:tcW w:type="dxa" w:w="6760"/>
          </w:tcPr>
          <w:p>
            <w:r>
              <w:rPr>
                <w:color w:val="202020"/>
                <w:sz w:val="20"/>
              </w:rPr>
              <w:t>Architecture Review Board</w:t>
            </w:r>
          </w:p>
        </w:tc>
      </w:tr>
      <w:tr>
        <w:tc>
          <w:tcPr>
            <w:tcW w:type="dxa" w:w="2600"/>
            <w:shd w:val="clear" w:color="auto" w:fill="EEF2F8"/>
          </w:tcPr>
          <w:p>
            <w:r>
              <w:rPr>
                <w:b/>
                <w:color w:val="1F3864"/>
                <w:sz w:val="20"/>
              </w:rPr>
              <w:t>Decision required by</w:t>
            </w:r>
          </w:p>
        </w:tc>
        <w:tc>
          <w:tcPr>
            <w:tcW w:type="dxa" w:w="6760"/>
          </w:tcPr>
          <w:p>
            <w:r>
              <w:rPr>
                <w:color w:val="202020"/>
                <w:sz w:val="20"/>
              </w:rPr>
              <w:t>Not set — no ARB date is recorded. The infrastructure request and the DR work package stay blocked until the decision is taken.</w:t>
            </w:r>
          </w:p>
        </w:tc>
      </w:tr>
      <w:tr>
        <w:tc>
          <w:tcPr>
            <w:tcW w:type="dxa" w:w="2600"/>
            <w:shd w:val="clear" w:color="auto" w:fill="EEF2F8"/>
          </w:tcPr>
          <w:p>
            <w:r>
              <w:rPr>
                <w:b/>
                <w:color w:val="1F3864"/>
                <w:sz w:val="20"/>
              </w:rPr>
              <w:t>Source</w:t>
            </w:r>
          </w:p>
        </w:tc>
        <w:tc>
          <w:tcPr>
            <w:tcW w:type="dxa" w:w="6760"/>
          </w:tcPr>
          <w:p>
            <w:r>
              <w:rPr>
                <w:color w:val="202020"/>
                <w:sz w:val="20"/>
              </w:rPr>
              <w:t>Feature Catalog (availability slide) · Gap Analysis CONN-DOC-GAP-01 gap G9</w:t>
            </w:r>
          </w:p>
        </w:tc>
      </w:tr>
      <w:tr>
        <w:tc>
          <w:tcPr>
            <w:tcW w:type="dxa" w:w="2600"/>
            <w:shd w:val="clear" w:color="auto" w:fill="EEF2F8"/>
          </w:tcPr>
          <w:p>
            <w:r>
              <w:rPr>
                <w:b/>
                <w:color w:val="1F3864"/>
                <w:sz w:val="20"/>
              </w:rPr>
              <w:t>Evidence base</w:t>
            </w:r>
          </w:p>
        </w:tc>
        <w:tc>
          <w:tcPr>
            <w:tcW w:type="dxa" w:w="6760"/>
          </w:tcPr>
          <w:p>
            <w:r>
              <w:rPr>
                <w:color w:val="202020"/>
                <w:sz w:val="20"/>
              </w:rPr>
              <w:t>Per-connector state inventory verified against source code, 19 July 2026</w:t>
            </w:r>
          </w:p>
        </w:tc>
      </w:tr>
      <w:tr>
        <w:tc>
          <w:tcPr>
            <w:tcW w:type="dxa" w:w="2600"/>
            <w:shd w:val="clear" w:color="auto" w:fill="EEF2F8"/>
          </w:tcPr>
          <w:p>
            <w:r>
              <w:rPr>
                <w:b/>
                <w:color w:val="1F3864"/>
                <w:sz w:val="20"/>
              </w:rPr>
              <w:t>Version</w:t>
            </w:r>
          </w:p>
        </w:tc>
        <w:tc>
          <w:tcPr>
            <w:tcW w:type="dxa" w:w="6760"/>
          </w:tcPr>
          <w:p>
            <w:r>
              <w:rPr>
                <w:color w:val="202020"/>
                <w:sz w:val="20"/>
              </w:rPr>
              <w:t>1.0</w:t>
            </w:r>
          </w:p>
        </w:tc>
      </w:tr>
      <w:tr>
        <w:tc>
          <w:tcPr>
            <w:tcW w:type="dxa" w:w="2600"/>
            <w:shd w:val="clear" w:color="auto" w:fill="EEF2F8"/>
          </w:tcPr>
          <w:p>
            <w:r>
              <w:rPr>
                <w:b/>
                <w:color w:val="1F3864"/>
                <w:sz w:val="20"/>
              </w:rPr>
              <w:t>Date</w:t>
            </w:r>
          </w:p>
        </w:tc>
        <w:tc>
          <w:tcPr>
            <w:tcW w:type="dxa" w:w="6760"/>
          </w:tcPr>
          <w:p>
            <w:r>
              <w:rPr>
                <w:color w:val="202020"/>
                <w:sz w:val="20"/>
              </w:rPr>
              <w:t>19 July 2026</w:t>
            </w:r>
          </w:p>
        </w:tc>
      </w:tr>
      <w:tr>
        <w:tc>
          <w:tcPr>
            <w:tcW w:type="dxa" w:w="2600"/>
            <w:shd w:val="clear" w:color="auto" w:fill="EEF2F8"/>
          </w:tcPr>
          <w:p>
            <w:r>
              <w:rPr>
                <w:b/>
                <w:color w:val="1F3864"/>
                <w:sz w:val="20"/>
              </w:rPr>
              <w:t>Status</w:t>
            </w:r>
          </w:p>
        </w:tc>
        <w:tc>
          <w:tcPr>
            <w:tcW w:type="dxa" w:w="6760"/>
          </w:tcPr>
          <w:p>
            <w:r>
              <w:rPr>
                <w:color w:val="202020"/>
                <w:sz w:val="20"/>
              </w:rPr>
              <w:t>For decision — not yet approved. Re-checked 14 August 2026: still unapproved, with no ARB decision recorded against it, so the recommendation in section 6 remains unadopted. The paper's analysis stands; section 3 records what has changed in the platform since it was written.</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The decision required</w:t>
      </w:r>
    </w:p>
    <w:p>
      <w:pPr>
        <w:spacing w:after="200"/>
      </w:pPr>
      <w:r>
        <w:rPr>
          <w:color w:val="595959"/>
          <w:sz w:val="23"/>
        </w:rPr>
        <w:t>The Feature Catalog sets a 99.99% availability target delivered by active-active multi-region operation, with a recovery point objective under five minutes and a recovery time objective under thirty minutes. The catalog's own closing slide asks that this target be costed against a single-region alternative before it is committed. This paper does that costing, presents the evidence on what a regional loss would actually cost, and asks the Board to choose an option.</w:t>
      </w:r>
    </w:p>
    <w:p>
      <w:pPr>
        <w:spacing w:after="120"/>
      </w:pPr>
      <w:r>
        <w:rPr>
          <w:color w:val="202020"/>
        </w:rPr>
        <w:t xml:space="preserve">The paper argues that the target as written is </w:t>
      </w:r>
      <w:r>
        <w:rPr>
          <w:b/>
          <w:color w:val="202020"/>
        </w:rPr>
        <w:t>mis-specified for this platform</w:t>
      </w:r>
      <w:r>
        <w:rPr>
          <w:color w:val="202020"/>
        </w:rPr>
        <w:t xml:space="preserve"> — not too ambitious, but aimed at the wrong measurement. That argument is set out in section 2 and it changes what the Board is being asked to buy.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4800"/>
        <w:gridCol w:w="4560"/>
      </w:tblGrid>
      <w:tr>
        <w:tc>
          <w:tcPr>
            <w:tcW w:type="dxa" w:w="4800"/>
            <w:shd w:val="clear" w:color="auto" w:fill="2E5496"/>
          </w:tcPr>
          <w:p>
            <w:r>
              <w:rPr>
                <w:b/>
                <w:color w:val="FFFFFF"/>
                <w:sz w:val="19"/>
              </w:rPr>
              <w:t>The Board is asked to</w:t>
            </w:r>
          </w:p>
        </w:tc>
        <w:tc>
          <w:tcPr>
            <w:tcW w:type="dxa" w:w="4560"/>
            <w:shd w:val="clear" w:color="auto" w:fill="2E5496"/>
          </w:tcPr>
          <w:p>
            <w:r>
              <w:rPr>
                <w:b/>
                <w:color w:val="FFFFFF"/>
                <w:sz w:val="19"/>
              </w:rPr>
              <w:t>Why it cannot be deferred</w:t>
            </w:r>
          </w:p>
        </w:tc>
      </w:tr>
      <w:tr>
        <w:tc>
          <w:tcPr>
            <w:tcW w:type="dxa" w:w="4800"/>
          </w:tcPr>
          <w:p>
            <w:r>
              <w:rPr>
                <w:color w:val="202020"/>
                <w:sz w:val="19"/>
              </w:rPr>
              <w:t>Set the service level that actually matters (section 2) and choose an availability option (section 5)</w:t>
            </w:r>
          </w:p>
        </w:tc>
        <w:tc>
          <w:tcPr>
            <w:tcW w:type="dxa" w:w="4560"/>
          </w:tcPr>
          <w:p>
            <w:r>
              <w:rPr>
                <w:color w:val="202020"/>
                <w:sz w:val="19"/>
              </w:rPr>
              <w:t>The infrastructure request, the DR work package and the disaster-recovery runbooks all derive from this choice; none can be finalised without it</w:t>
            </w:r>
          </w:p>
        </w:tc>
      </w:tr>
      <w:tr>
        <w:tc>
          <w:tcPr>
            <w:tcW w:type="dxa" w:w="4800"/>
            <w:shd w:val="clear" w:color="auto" w:fill="F7F9FC"/>
          </w:tcPr>
          <w:p>
            <w:r>
              <w:rPr>
                <w:color w:val="202020"/>
                <w:sz w:val="19"/>
              </w:rPr>
              <w:t>Confirm the protection standard for the small set of non-reconstructible state (section 4)</w:t>
            </w:r>
          </w:p>
        </w:tc>
        <w:tc>
          <w:tcPr>
            <w:tcW w:type="dxa" w:w="4560"/>
            <w:shd w:val="clear" w:color="auto" w:fill="F7F9FC"/>
          </w:tcPr>
          <w:p>
            <w:r>
              <w:rPr>
                <w:color w:val="202020"/>
                <w:sz w:val="19"/>
              </w:rPr>
              <w:t>This is required under every option, including the cheapest — it is not contingent on the availability decision</w:t>
            </w:r>
          </w:p>
        </w:tc>
      </w:tr>
    </w:tbl>
    <w:p>
      <w:pPr>
        <w:spacing w:after="40"/>
      </w:pPr>
    </w:p>
    <w:p>
      <w:pPr>
        <w:pStyle w:val="Heading1"/>
      </w:pPr>
      <w:r>
        <w:rPr>
          <w:color w:val="1F3864"/>
        </w:rPr>
        <w:t>2. What a connector outage actually costs</w:t>
      </w:r>
    </w:p>
    <w:p>
      <w:pPr>
        <w:pStyle w:val="Heading3"/>
      </w:pPr>
      <w:r>
        <w:rPr>
          <w:color w:val="2E5496"/>
        </w:rPr>
        <w:t>The architectural fact that reframes the target</w:t>
      </w:r>
    </w:p>
    <w:p>
      <w:pPr>
        <w:spacing w:after="120"/>
      </w:pPr>
      <w:r>
        <w:rPr>
          <w:b/>
          <w:color w:val="202020"/>
        </w:rPr>
        <w:t>The connector tier is not in Copilot's query path.</w:t>
      </w:r>
      <w:r>
        <w:rPr>
          <w:color w:val="202020"/>
        </w:rPr>
        <w:t xml:space="preserve"> The connectors are an ingestion pipeline: they push items into the Microsoft 365 semantic index. Copilot and Microsoft Search then answer user questions by querying that index inside Microsoft's own infrastructure, security-trimmed against the access control list already stored on each item.</w:t>
      </w:r>
    </w:p>
    <w:p>
      <w:pPr>
        <w:spacing w:after="120"/>
      </w:pPr>
      <w:r>
        <w:rPr>
          <w:color w:val="202020"/>
        </w:rPr>
        <w:t>The consequence is that if the entire connector tier were lost — every virtual machine, in every region — the following would happen: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4200"/>
        <w:gridCol w:w="5160"/>
      </w:tblGrid>
      <w:tr>
        <w:tc>
          <w:tcPr>
            <w:tcW w:type="dxa" w:w="4200"/>
            <w:shd w:val="clear" w:color="auto" w:fill="2E5496"/>
          </w:tcPr>
          <w:p>
            <w:r>
              <w:rPr>
                <w:b/>
                <w:color w:val="FFFFFF"/>
                <w:sz w:val="19"/>
              </w:rPr>
              <w:t>What users experience</w:t>
            </w:r>
          </w:p>
        </w:tc>
        <w:tc>
          <w:tcPr>
            <w:tcW w:type="dxa" w:w="5160"/>
            <w:shd w:val="clear" w:color="auto" w:fill="2E5496"/>
          </w:tcPr>
          <w:p>
            <w:r>
              <w:rPr>
                <w:b/>
                <w:color w:val="FFFFFF"/>
                <w:sz w:val="19"/>
              </w:rPr>
              <w:t>Assessment</w:t>
            </w:r>
          </w:p>
        </w:tc>
      </w:tr>
      <w:tr>
        <w:tc>
          <w:tcPr>
            <w:tcW w:type="dxa" w:w="4200"/>
          </w:tcPr>
          <w:p>
            <w:r>
              <w:rPr>
                <w:color w:val="202020"/>
                <w:sz w:val="19"/>
              </w:rPr>
              <w:t>Copilot keeps answering questions from already-indexed content, correctly security-trimmed</w:t>
            </w:r>
          </w:p>
        </w:tc>
        <w:tc>
          <w:tcPr>
            <w:tcW w:type="dxa" w:w="5160"/>
          </w:tcPr>
          <w:p>
            <w:r>
              <w:rPr>
                <w:b/>
                <w:color w:val="202020"/>
                <w:sz w:val="19"/>
              </w:rPr>
              <w:t>Unaffected.</w:t>
            </w:r>
            <w:r>
              <w:rPr>
                <w:color w:val="202020"/>
                <w:sz w:val="19"/>
              </w:rPr>
              <w:t xml:space="preserve"> Answer availability does not depend on the connector tier being up</w:t>
            </w:r>
          </w:p>
        </w:tc>
      </w:tr>
      <w:tr>
        <w:tc>
          <w:tcPr>
            <w:tcW w:type="dxa" w:w="4200"/>
            <w:shd w:val="clear" w:color="auto" w:fill="F7F9FC"/>
          </w:tcPr>
          <w:p>
            <w:r>
              <w:rPr>
                <w:color w:val="202020"/>
                <w:sz w:val="19"/>
              </w:rPr>
              <w:t>New and changed source content stops being indexed</w:t>
            </w:r>
          </w:p>
        </w:tc>
        <w:tc>
          <w:tcPr>
            <w:tcW w:type="dxa" w:w="5160"/>
            <w:shd w:val="clear" w:color="auto" w:fill="F7F9FC"/>
          </w:tcPr>
          <w:p>
            <w:r>
              <w:rPr>
                <w:b/>
                <w:color w:val="202020"/>
                <w:sz w:val="19"/>
              </w:rPr>
              <w:t>Freshness degrades.</w:t>
            </w:r>
            <w:r>
              <w:rPr>
                <w:color w:val="202020"/>
                <w:sz w:val="19"/>
              </w:rPr>
              <w:t xml:space="preserve"> Content added during the outage is invisible to Copilot until the connectors return and catch up</w:t>
            </w:r>
          </w:p>
        </w:tc>
      </w:tr>
      <w:tr>
        <w:tc>
          <w:tcPr>
            <w:tcW w:type="dxa" w:w="4200"/>
          </w:tcPr>
          <w:p>
            <w:r>
              <w:rPr>
                <w:color w:val="202020"/>
                <w:sz w:val="19"/>
              </w:rPr>
              <w:t>Permission changes at the source stop propagating into the index</w:t>
            </w:r>
          </w:p>
        </w:tc>
        <w:tc>
          <w:tcPr>
            <w:tcW w:type="dxa" w:w="5160"/>
          </w:tcPr>
          <w:p>
            <w:r>
              <w:rPr>
                <w:b/>
                <w:color w:val="202020"/>
                <w:sz w:val="19"/>
              </w:rPr>
              <w:t>This is the real exposure</w:t>
            </w:r>
            <w:r>
              <w:rPr>
                <w:color w:val="202020"/>
                <w:sz w:val="19"/>
              </w:rPr>
              <w:t xml:space="preserve"> — see below</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The material risk of a connector outage is </w:t>
            </w:r>
            <w:r>
              <w:rPr>
                <w:b/>
                <w:color w:val="202020"/>
                <w:sz w:val="20"/>
              </w:rPr>
              <w:t>not lost availability — it is stale authorisation.</w:t>
            </w:r>
            <w:r>
              <w:rPr>
                <w:color w:val="202020"/>
                <w:sz w:val="20"/>
              </w:rPr>
              <w:t xml:space="preserve"> A user whose access is revoked in Salesforce, Seismic or the seat list keeps seeing that content through Copilot until the connector runs again and re-applies the access control list. An outage therefore converts, over time, into an over-sharing exposure. That is the same failure mode as the entitlement-freshness gap (G8) and it should be governed by the same number.</w:t>
            </w:r>
          </w:p>
        </w:tc>
      </w:tr>
    </w:tbl>
    <w:p>
      <w:pPr>
        <w:spacing w:after="40"/>
      </w:pPr>
    </w:p>
    <w:p>
      <w:pPr>
        <w:pStyle w:val="Heading3"/>
      </w:pPr>
      <w:r>
        <w:rPr>
          <w:color w:val="2E5496"/>
        </w:rPr>
        <w:t>The exposure is already bounded by a delivered control</w:t>
      </w:r>
    </w:p>
    <w:p>
      <w:pPr>
        <w:spacing w:after="120"/>
      </w:pPr>
      <w:r>
        <w:rPr>
          <w:color w:val="202020"/>
        </w:rPr>
        <w:t>The platform already ships stale-index item expiry: when a time-to-live is configured, every ingested item carries an expiration stamp that is refreshed on each crawl. If crawling stops, items expire and drain out of the index rather than being served stale indefinitely. This is a delivered safety valve that puts a hard ceiling on the worst case, and it materially reduces what a second region would be buying.</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Enabling item expiry in production is a prerequisite of the recommended option in section 6. It converts an unbounded staleness risk into a bounded one for the price of a configuration value.</w:t>
            </w:r>
          </w:p>
        </w:tc>
      </w:tr>
    </w:tbl>
    <w:p>
      <w:pPr>
        <w:spacing w:after="40"/>
      </w:pPr>
    </w:p>
    <w:p>
      <w:pPr>
        <w:pStyle w:val="Heading3"/>
      </w:pPr>
      <w:r>
        <w:rPr>
          <w:color w:val="2E5496"/>
        </w:rPr>
        <w:t>What the Board should specify instead</w:t>
      </w:r>
    </w:p>
    <w:p>
      <w:pPr>
        <w:spacing w:after="120"/>
      </w:pPr>
      <w:r>
        <w:rPr>
          <w:color w:val="202020"/>
        </w:rPr>
        <w:t>A 99.99% uptime target on an ingestion tier that is not in the query path buys very little. The service level that governs real risk on this platform is:</w:t>
      </w:r>
    </w:p>
    <w:p>
      <w:pPr>
        <w:pStyle w:val="ListNumber"/>
        <w:spacing w:after="40"/>
      </w:pPr>
      <w:r>
        <w:rPr>
          <w:b/>
          <w:color w:val="202020"/>
        </w:rPr>
        <w:t>Maximum tolerable authorisation staleness</w:t>
      </w:r>
      <w:r>
        <w:rPr>
          <w:color w:val="202020"/>
        </w:rPr>
        <w:t xml:space="preserve"> — how long may a revoked permission remain effective through Copilot? This is a security and compliance number, and it should be set by InfoSec and the data owners, not derived from an infrastructure convention.</w:t>
      </w:r>
    </w:p>
    <w:p>
      <w:pPr>
        <w:pStyle w:val="ListNumber"/>
        <w:spacing w:after="40"/>
      </w:pPr>
      <w:r>
        <w:rPr>
          <w:b/>
          <w:color w:val="202020"/>
        </w:rPr>
        <w:t>Maximum tolerable content staleness</w:t>
      </w:r>
      <w:r>
        <w:rPr>
          <w:color w:val="202020"/>
        </w:rPr>
        <w:t xml:space="preserve"> — how far behind may the index run before the business value of grounded answers degrades? This differs per source, and Hadoop BDH already carries an inherent 24-hour lag by design, which sets a floor for that connector.</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Once those two numbers exist, the availability architecture follows arithmetically: the platform must be able to complete a re-ACL pass within the authorisation-staleness budget. If that budget is hours, single-region with fast recovery satisfies it. If it is minutes, a second region becomes necessary — and so does a shorter crawl cadence, which is a separate cost.</w:t>
            </w:r>
          </w:p>
        </w:tc>
      </w:tr>
    </w:tbl>
    <w:p>
      <w:pPr>
        <w:spacing w:after="40"/>
      </w:pPr>
    </w:p>
    <w:p>
      <w:r>
        <w:br w:type="page"/>
      </w:r>
    </w:p>
    <w:p>
      <w:pPr>
        <w:pStyle w:val="Heading1"/>
      </w:pPr>
      <w:r>
        <w:rPr>
          <w:color w:val="1F3864"/>
        </w:rPr>
        <w:t>3. What is already delivered</w:t>
      </w:r>
    </w:p>
    <w:p>
      <w:pPr>
        <w:spacing w:after="120"/>
      </w:pPr>
      <w:r>
        <w:rPr>
          <w:color w:val="202020"/>
        </w:rPr>
        <w:t>The properties that make multi-region operation possible are already built and tested. This matters to the costing: the remaining work is infrastructure and drill discipline, not connector re-engineering. Since this paper was written those properties have been consolidated: as of 12 August 2026 all five connectors reference one shared Connector.Chassis project (version 1.18.0) directly, rather than each carrying its own copy, and the conformance workflow runs on every pull request, failing when a connector drops that reference or keeps an undeclared local copy. The sharing is partial and deliberately so — 67 per-connector divergences are declared in the register that workflow checks, lease-based coordination among them, which four of the five connectors still implement locally. None of this changes the options below; it changes where the code lives, not what the platform can survive.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600"/>
        <w:gridCol w:w="5760"/>
      </w:tblGrid>
      <w:tr>
        <w:tc>
          <w:tcPr>
            <w:tcW w:type="dxa" w:w="3600"/>
            <w:shd w:val="clear" w:color="auto" w:fill="2E5496"/>
          </w:tcPr>
          <w:p>
            <w:r>
              <w:rPr>
                <w:b/>
                <w:color w:val="FFFFFF"/>
                <w:sz w:val="19"/>
              </w:rPr>
              <w:t>Delivered capability</w:t>
            </w:r>
          </w:p>
        </w:tc>
        <w:tc>
          <w:tcPr>
            <w:tcW w:type="dxa" w:w="5760"/>
            <w:shd w:val="clear" w:color="auto" w:fill="2E5496"/>
          </w:tcPr>
          <w:p>
            <w:r>
              <w:rPr>
                <w:b/>
                <w:color w:val="FFFFFF"/>
                <w:sz w:val="19"/>
              </w:rPr>
              <w:t>Why it matters to this decision</w:t>
            </w:r>
          </w:p>
        </w:tc>
      </w:tr>
      <w:tr>
        <w:tc>
          <w:tcPr>
            <w:tcW w:type="dxa" w:w="3600"/>
          </w:tcPr>
          <w:p>
            <w:r>
              <w:rPr>
                <w:color w:val="202020"/>
                <w:sz w:val="19"/>
              </w:rPr>
              <w:t>Stateless services with externalised state</w:t>
            </w:r>
          </w:p>
        </w:tc>
        <w:tc>
          <w:tcPr>
            <w:tcW w:type="dxa" w:w="5760"/>
          </w:tcPr>
          <w:p>
            <w:r>
              <w:rPr>
                <w:color w:val="202020"/>
                <w:sz w:val="19"/>
              </w:rPr>
              <w:t>Any instance can serve any work; instances are disposable</w:t>
            </w:r>
          </w:p>
        </w:tc>
      </w:tr>
      <w:tr>
        <w:tc>
          <w:tcPr>
            <w:tcW w:type="dxa" w:w="3600"/>
            <w:shd w:val="clear" w:color="auto" w:fill="F7F9FC"/>
          </w:tcPr>
          <w:p>
            <w:r>
              <w:rPr>
                <w:color w:val="202020"/>
                <w:sz w:val="19"/>
              </w:rPr>
              <w:t>Active-active coordination within a region (lease-based claims)</w:t>
            </w:r>
          </w:p>
        </w:tc>
        <w:tc>
          <w:tcPr>
            <w:tcW w:type="dxa" w:w="5760"/>
            <w:shd w:val="clear" w:color="auto" w:fill="F7F9FC"/>
          </w:tcPr>
          <w:p>
            <w:r>
              <w:rPr>
                <w:color w:val="202020"/>
                <w:sz w:val="19"/>
              </w:rPr>
              <w:t>Multiple nodes already crawl concurrently without duplicating work — the coordination problem is solved, not merely designed</w:t>
            </w:r>
          </w:p>
        </w:tc>
      </w:tr>
      <w:tr>
        <w:tc>
          <w:tcPr>
            <w:tcW w:type="dxa" w:w="3600"/>
          </w:tcPr>
          <w:p>
            <w:r>
              <w:rPr>
                <w:color w:val="202020"/>
                <w:sz w:val="19"/>
              </w:rPr>
              <w:t>Idempotent processing</w:t>
            </w:r>
          </w:p>
        </w:tc>
        <w:tc>
          <w:tcPr>
            <w:tcW w:type="dxa" w:w="5760"/>
          </w:tcPr>
          <w:p>
            <w:r>
              <w:rPr>
                <w:color w:val="202020"/>
                <w:sz w:val="19"/>
              </w:rPr>
              <w:t>A replayed event produces no duplicate index entries, so recovery cannot corrupt the index</w:t>
            </w:r>
          </w:p>
        </w:tc>
      </w:tr>
      <w:tr>
        <w:tc>
          <w:tcPr>
            <w:tcW w:type="dxa" w:w="3600"/>
            <w:shd w:val="clear" w:color="auto" w:fill="F7F9FC"/>
          </w:tcPr>
          <w:p>
            <w:r>
              <w:rPr>
                <w:color w:val="202020"/>
                <w:sz w:val="19"/>
              </w:rPr>
              <w:t>Checkpointed crawls with crash resume</w:t>
            </w:r>
          </w:p>
        </w:tc>
        <w:tc>
          <w:tcPr>
            <w:tcW w:type="dxa" w:w="5760"/>
            <w:shd w:val="clear" w:color="auto" w:fill="F7F9FC"/>
          </w:tcPr>
          <w:p>
            <w:r>
              <w:rPr>
                <w:color w:val="202020"/>
                <w:sz w:val="19"/>
              </w:rPr>
              <w:t>An interrupted crawl resumes at its last safe boundary rather than restarting</w:t>
            </w:r>
          </w:p>
        </w:tc>
      </w:tr>
      <w:tr>
        <w:tc>
          <w:tcPr>
            <w:tcW w:type="dxa" w:w="3600"/>
          </w:tcPr>
          <w:p>
            <w:r>
              <w:rPr>
                <w:color w:val="202020"/>
                <w:sz w:val="19"/>
              </w:rPr>
              <w:t>Circuit breakers with degraded mode</w:t>
            </w:r>
          </w:p>
        </w:tc>
        <w:tc>
          <w:tcPr>
            <w:tcW w:type="dxa" w:w="5760"/>
          </w:tcPr>
          <w:p>
            <w:r>
              <w:rPr>
                <w:color w:val="202020"/>
                <w:sz w:val="19"/>
              </w:rPr>
              <w:t>The platform pauses safely at a checkpoint boundary instead of failing messily</w:t>
            </w:r>
          </w:p>
        </w:tc>
      </w:tr>
      <w:tr>
        <w:tc>
          <w:tcPr>
            <w:tcW w:type="dxa" w:w="3600"/>
            <w:shd w:val="clear" w:color="auto" w:fill="F7F9FC"/>
          </w:tcPr>
          <w:p>
            <w:r>
              <w:rPr>
                <w:color w:val="202020"/>
                <w:sz w:val="19"/>
              </w:rPr>
              <w:t>Stale-index item expiry</w:t>
            </w:r>
          </w:p>
        </w:tc>
        <w:tc>
          <w:tcPr>
            <w:tcW w:type="dxa" w:w="5760"/>
            <w:shd w:val="clear" w:color="auto" w:fill="F7F9FC"/>
          </w:tcPr>
          <w:p>
            <w:r>
              <w:rPr>
                <w:color w:val="202020"/>
                <w:sz w:val="19"/>
              </w:rPr>
              <w:t>Bounds the staleness exposure during any extended outage (section 2)</w:t>
            </w:r>
          </w:p>
        </w:tc>
      </w:tr>
    </w:tbl>
    <w:p>
      <w:pPr>
        <w:spacing w:after="40"/>
      </w:pP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5200"/>
        <w:gridCol w:w="4160"/>
      </w:tblGrid>
      <w:tr>
        <w:tc>
          <w:tcPr>
            <w:tcW w:type="dxa" w:w="5200"/>
            <w:shd w:val="clear" w:color="auto" w:fill="2E5496"/>
          </w:tcPr>
          <w:p>
            <w:r>
              <w:rPr>
                <w:b/>
                <w:color w:val="FFFFFF"/>
                <w:sz w:val="19"/>
              </w:rPr>
              <w:t>Not delivered</w:t>
            </w:r>
          </w:p>
        </w:tc>
        <w:tc>
          <w:tcPr>
            <w:tcW w:type="dxa" w:w="4160"/>
            <w:shd w:val="clear" w:color="auto" w:fill="2E5496"/>
          </w:tcPr>
          <w:p>
            <w:r>
              <w:rPr>
                <w:b/>
                <w:color w:val="FFFFFF"/>
                <w:sz w:val="19"/>
              </w:rPr>
              <w:t>Required by option</w:t>
            </w:r>
          </w:p>
        </w:tc>
      </w:tr>
      <w:tr>
        <w:tc>
          <w:tcPr>
            <w:tcW w:type="dxa" w:w="5200"/>
          </w:tcPr>
          <w:p>
            <w:r>
              <w:rPr>
                <w:color w:val="202020"/>
                <w:sz w:val="19"/>
              </w:rPr>
              <w:t>A second region and automated regional failover</w:t>
            </w:r>
          </w:p>
        </w:tc>
        <w:tc>
          <w:tcPr>
            <w:tcW w:type="dxa" w:w="4160"/>
          </w:tcPr>
          <w:p>
            <w:r>
              <w:rPr>
                <w:color w:val="202020"/>
                <w:sz w:val="19"/>
              </w:rPr>
              <w:t>B only</w:t>
            </w:r>
          </w:p>
        </w:tc>
      </w:tr>
      <w:tr>
        <w:tc>
          <w:tcPr>
            <w:tcW w:type="dxa" w:w="5200"/>
            <w:shd w:val="clear" w:color="auto" w:fill="F7F9FC"/>
          </w:tcPr>
          <w:p>
            <w:r>
              <w:rPr>
                <w:color w:val="202020"/>
                <w:sz w:val="19"/>
              </w:rPr>
              <w:t>Immutable, write-once backups of non-reconstructible state</w:t>
            </w:r>
          </w:p>
        </w:tc>
        <w:tc>
          <w:tcPr>
            <w:tcW w:type="dxa" w:w="4160"/>
            <w:shd w:val="clear" w:color="auto" w:fill="F7F9FC"/>
          </w:tcPr>
          <w:p>
            <w:r>
              <w:rPr>
                <w:b/>
                <w:color w:val="202020"/>
                <w:sz w:val="19"/>
              </w:rPr>
              <w:t>A, B and C — all options</w:t>
            </w:r>
          </w:p>
        </w:tc>
      </w:tr>
      <w:tr>
        <w:tc>
          <w:tcPr>
            <w:tcW w:type="dxa" w:w="5200"/>
          </w:tcPr>
          <w:p>
            <w:r>
              <w:rPr>
                <w:color w:val="202020"/>
                <w:sz w:val="19"/>
              </w:rPr>
              <w:t>Scheduled restore drills proving the objectives are met</w:t>
            </w:r>
          </w:p>
        </w:tc>
        <w:tc>
          <w:tcPr>
            <w:tcW w:type="dxa" w:w="4160"/>
          </w:tcPr>
          <w:p>
            <w:r>
              <w:rPr>
                <w:b/>
                <w:color w:val="202020"/>
                <w:sz w:val="19"/>
              </w:rPr>
              <w:t>A, B and C — all options</w:t>
            </w:r>
          </w:p>
        </w:tc>
      </w:tr>
    </w:tbl>
    <w:p>
      <w:pPr>
        <w:spacing w:after="40"/>
      </w:pPr>
    </w:p>
    <w:p>
      <w:pPr>
        <w:pStyle w:val="Heading1"/>
      </w:pPr>
      <w:r>
        <w:rPr>
          <w:color w:val="1F3864"/>
        </w:rPr>
        <w:t>4. The evidence — what would actually be lost</w:t>
      </w:r>
    </w:p>
    <w:p>
      <w:pPr>
        <w:spacing w:after="200"/>
      </w:pPr>
      <w:r>
        <w:rPr>
          <w:color w:val="595959"/>
          <w:sz w:val="23"/>
        </w:rPr>
        <w:t>Every persistent file and table across the five connectors was inventoried against the source code and classified as reconstructible or not. This is the factual basis for the options that follow, and it is the reason a cheaper option is defensible.</w:t>
      </w:r>
    </w:p>
    <w:p>
      <w:pPr>
        <w:pStyle w:val="Heading3"/>
      </w:pPr>
      <w:r>
        <w:rPr>
          <w:color w:val="2E5496"/>
        </w:rPr>
        <w:t>Reconstructible from source (the large majority)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700"/>
        <w:gridCol w:w="3300"/>
        <w:gridCol w:w="3360"/>
      </w:tblGrid>
      <w:tr>
        <w:tc>
          <w:tcPr>
            <w:tcW w:type="dxa" w:w="2700"/>
            <w:shd w:val="clear" w:color="auto" w:fill="2E5496"/>
          </w:tcPr>
          <w:p>
            <w:r>
              <w:rPr>
                <w:b/>
                <w:color w:val="FFFFFF"/>
                <w:sz w:val="19"/>
              </w:rPr>
              <w:t>State</w:t>
            </w:r>
          </w:p>
        </w:tc>
        <w:tc>
          <w:tcPr>
            <w:tcW w:type="dxa" w:w="3300"/>
            <w:shd w:val="clear" w:color="auto" w:fill="2E5496"/>
          </w:tcPr>
          <w:p>
            <w:r>
              <w:rPr>
                <w:b/>
                <w:color w:val="FFFFFF"/>
                <w:sz w:val="19"/>
              </w:rPr>
              <w:t>How it is rebuilt</w:t>
            </w:r>
          </w:p>
        </w:tc>
        <w:tc>
          <w:tcPr>
            <w:tcW w:type="dxa" w:w="3360"/>
            <w:shd w:val="clear" w:color="auto" w:fill="2E5496"/>
          </w:tcPr>
          <w:p>
            <w:r>
              <w:rPr>
                <w:b/>
                <w:color w:val="FFFFFF"/>
                <w:sz w:val="19"/>
              </w:rPr>
              <w:t>Cost of losing it</w:t>
            </w:r>
          </w:p>
        </w:tc>
      </w:tr>
      <w:tr>
        <w:tc>
          <w:tcPr>
            <w:tcW w:type="dxa" w:w="2700"/>
          </w:tcPr>
          <w:p>
            <w:r>
              <w:rPr>
                <w:color w:val="202020"/>
                <w:sz w:val="19"/>
              </w:rPr>
              <w:t>Sync watermarks / last-sync timestamps</w:t>
            </w:r>
          </w:p>
        </w:tc>
        <w:tc>
          <w:tcPr>
            <w:tcW w:type="dxa" w:w="3300"/>
          </w:tcPr>
          <w:p>
            <w:r>
              <w:rPr>
                <w:color w:val="202020"/>
                <w:sz w:val="19"/>
              </w:rPr>
              <w:t>Next crawl runs as a full crawl</w:t>
            </w:r>
          </w:p>
        </w:tc>
        <w:tc>
          <w:tcPr>
            <w:tcW w:type="dxa" w:w="3360"/>
          </w:tcPr>
          <w:p>
            <w:r>
              <w:rPr>
                <w:color w:val="202020"/>
                <w:sz w:val="19"/>
              </w:rPr>
              <w:t>One full crawl</w:t>
            </w:r>
          </w:p>
        </w:tc>
      </w:tr>
      <w:tr>
        <w:tc>
          <w:tcPr>
            <w:tcW w:type="dxa" w:w="2700"/>
            <w:shd w:val="clear" w:color="auto" w:fill="F7F9FC"/>
          </w:tcPr>
          <w:p>
            <w:r>
              <w:rPr>
                <w:color w:val="202020"/>
                <w:sz w:val="19"/>
              </w:rPr>
              <w:t>Crawl checkpoints</w:t>
            </w:r>
          </w:p>
        </w:tc>
        <w:tc>
          <w:tcPr>
            <w:tcW w:type="dxa" w:w="3300"/>
            <w:shd w:val="clear" w:color="auto" w:fill="F7F9FC"/>
          </w:tcPr>
          <w:p>
            <w:r>
              <w:rPr>
                <w:color w:val="202020"/>
                <w:sz w:val="19"/>
              </w:rPr>
              <w:t>Discarded; crawl restarts from the beginning</w:t>
            </w:r>
          </w:p>
        </w:tc>
        <w:tc>
          <w:tcPr>
            <w:tcW w:type="dxa" w:w="3360"/>
            <w:shd w:val="clear" w:color="auto" w:fill="F7F9FC"/>
          </w:tcPr>
          <w:p>
            <w:r>
              <w:rPr>
                <w:color w:val="202020"/>
                <w:sz w:val="19"/>
              </w:rPr>
              <w:t>Re-processing time only — writes are idempotent</w:t>
            </w:r>
          </w:p>
        </w:tc>
      </w:tr>
      <w:tr>
        <w:tc>
          <w:tcPr>
            <w:tcW w:type="dxa" w:w="2700"/>
          </w:tcPr>
          <w:p>
            <w:r>
              <w:rPr>
                <w:color w:val="202020"/>
                <w:sz w:val="19"/>
              </w:rPr>
              <w:t>Identity and principal stores</w:t>
            </w:r>
          </w:p>
        </w:tc>
        <w:tc>
          <w:tcPr>
            <w:tcW w:type="dxa" w:w="3300"/>
          </w:tcPr>
          <w:p>
            <w:r>
              <w:rPr>
                <w:color w:val="202020"/>
                <w:sz w:val="19"/>
              </w:rPr>
              <w:t>Rebuilt by the identity sync on the next crawl</w:t>
            </w:r>
          </w:p>
        </w:tc>
        <w:tc>
          <w:tcPr>
            <w:tcW w:type="dxa" w:w="3360"/>
          </w:tcPr>
          <w:p>
            <w:r>
              <w:rPr>
                <w:color w:val="202020"/>
                <w:sz w:val="19"/>
              </w:rPr>
              <w:t>One identity sync</w:t>
            </w:r>
          </w:p>
        </w:tc>
      </w:tr>
      <w:tr>
        <w:tc>
          <w:tcPr>
            <w:tcW w:type="dxa" w:w="2700"/>
            <w:shd w:val="clear" w:color="auto" w:fill="F7F9FC"/>
          </w:tcPr>
          <w:p>
            <w:r>
              <w:rPr>
                <w:color w:val="202020"/>
                <w:sz w:val="19"/>
              </w:rPr>
              <w:t>Item inventories</w:t>
            </w:r>
          </w:p>
        </w:tc>
        <w:tc>
          <w:tcPr>
            <w:tcW w:type="dxa" w:w="3300"/>
            <w:shd w:val="clear" w:color="auto" w:fill="F7F9FC"/>
          </w:tcPr>
          <w:p>
            <w:r>
              <w:rPr>
                <w:color w:val="202020"/>
                <w:sz w:val="19"/>
              </w:rPr>
              <w:t>Repopulated by a full crawl; reconcile command rebuilds</w:t>
            </w:r>
          </w:p>
        </w:tc>
        <w:tc>
          <w:tcPr>
            <w:tcW w:type="dxa" w:w="3360"/>
            <w:shd w:val="clear" w:color="auto" w:fill="F7F9FC"/>
          </w:tcPr>
          <w:p>
            <w:r>
              <w:rPr>
                <w:b/>
                <w:color w:val="202020"/>
                <w:sz w:val="19"/>
              </w:rPr>
              <w:t>Deletion detection is blind until repopulated</w:t>
            </w:r>
            <w:r>
              <w:rPr>
                <w:color w:val="202020"/>
                <w:sz w:val="19"/>
              </w:rPr>
              <w:t xml:space="preserve"> — source-deleted items linger in the index until the next full crawl or reconcile</w:t>
            </w:r>
          </w:p>
        </w:tc>
      </w:tr>
      <w:tr>
        <w:tc>
          <w:tcPr>
            <w:tcW w:type="dxa" w:w="2700"/>
          </w:tcPr>
          <w:p>
            <w:r>
              <w:rPr>
                <w:color w:val="202020"/>
                <w:sz w:val="19"/>
              </w:rPr>
              <w:t>Field caches (Salesforce)</w:t>
            </w:r>
          </w:p>
        </w:tc>
        <w:tc>
          <w:tcPr>
            <w:tcW w:type="dxa" w:w="3300"/>
          </w:tcPr>
          <w:p>
            <w:r>
              <w:rPr>
                <w:color w:val="202020"/>
                <w:sz w:val="19"/>
              </w:rPr>
              <w:t>Rebuilt automatically by field discovery</w:t>
            </w:r>
          </w:p>
        </w:tc>
        <w:tc>
          <w:tcPr>
            <w:tcW w:type="dxa" w:w="3360"/>
          </w:tcPr>
          <w:p>
            <w:r>
              <w:rPr>
                <w:color w:val="202020"/>
                <w:sz w:val="19"/>
              </w:rPr>
              <w:t>First-run latency only</w:t>
            </w:r>
          </w:p>
        </w:tc>
      </w:tr>
      <w:tr>
        <w:tc>
          <w:tcPr>
            <w:tcW w:type="dxa" w:w="2700"/>
            <w:shd w:val="clear" w:color="auto" w:fill="F7F9FC"/>
          </w:tcPr>
          <w:p>
            <w:r>
              <w:rPr>
                <w:color w:val="202020"/>
                <w:sz w:val="19"/>
              </w:rPr>
              <w:t>Classification manifests</w:t>
            </w:r>
          </w:p>
        </w:tc>
        <w:tc>
          <w:tcPr>
            <w:tcW w:type="dxa" w:w="3300"/>
            <w:shd w:val="clear" w:color="auto" w:fill="F7F9FC"/>
          </w:tcPr>
          <w:p>
            <w:r>
              <w:rPr>
                <w:color w:val="202020"/>
                <w:sz w:val="19"/>
              </w:rPr>
              <w:t>Regenerated on every classified crawl</w:t>
            </w:r>
          </w:p>
        </w:tc>
        <w:tc>
          <w:tcPr>
            <w:tcW w:type="dxa" w:w="3360"/>
            <w:shd w:val="clear" w:color="auto" w:fill="F7F9FC"/>
          </w:tcPr>
          <w:p>
            <w:r>
              <w:rPr>
                <w:color w:val="202020"/>
                <w:sz w:val="19"/>
              </w:rPr>
              <w:t>None</w:t>
            </w:r>
          </w:p>
        </w:tc>
      </w:tr>
      <w:tr>
        <w:tc>
          <w:tcPr>
            <w:tcW w:type="dxa" w:w="2700"/>
          </w:tcPr>
          <w:p>
            <w:r>
              <w:rPr>
                <w:color w:val="202020"/>
                <w:sz w:val="19"/>
              </w:rPr>
              <w:t>The Graph index itself</w:t>
            </w:r>
          </w:p>
        </w:tc>
        <w:tc>
          <w:tcPr>
            <w:tcW w:type="dxa" w:w="3300"/>
          </w:tcPr>
          <w:p>
            <w:r>
              <w:rPr>
                <w:color w:val="202020"/>
                <w:sz w:val="19"/>
              </w:rPr>
              <w:t>Re-crawl from source</w:t>
            </w:r>
          </w:p>
        </w:tc>
        <w:tc>
          <w:tcPr>
            <w:tcW w:type="dxa" w:w="3360"/>
          </w:tcPr>
          <w:p>
            <w:r>
              <w:rPr>
                <w:color w:val="202020"/>
                <w:sz w:val="19"/>
              </w:rPr>
              <w:t>Freshness only — Microsoft holds it</w:t>
            </w:r>
          </w:p>
        </w:tc>
      </w:tr>
    </w:tbl>
    <w:p>
      <w:pPr>
        <w:spacing w:after="40"/>
      </w:pPr>
    </w:p>
    <w:p>
      <w:pPr>
        <w:pStyle w:val="Heading3"/>
      </w:pPr>
      <w:r>
        <w:rPr>
          <w:color w:val="2E5496"/>
        </w:rPr>
        <w:t>NOT reconstructible — the protected set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This is the entire recovery-point-objective problem. It is far narrower than the catalog's blanket target implies, which is precisely why a targeted protection strategy is credible.</w:t>
            </w:r>
          </w:p>
        </w:tc>
      </w:tr>
    </w:tbl>
    <w:p>
      <w:pPr>
        <w:spacing w:after="40"/>
      </w:pP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1500"/>
        <w:gridCol w:w="5560"/>
      </w:tblGrid>
      <w:tr>
        <w:tc>
          <w:tcPr>
            <w:tcW w:type="dxa" w:w="2300"/>
            <w:shd w:val="clear" w:color="auto" w:fill="2E5496"/>
          </w:tcPr>
          <w:p>
            <w:r>
              <w:rPr>
                <w:b/>
                <w:color w:val="FFFFFF"/>
                <w:sz w:val="19"/>
              </w:rPr>
              <w:t>State</w:t>
            </w:r>
          </w:p>
        </w:tc>
        <w:tc>
          <w:tcPr>
            <w:tcW w:type="dxa" w:w="1500"/>
            <w:shd w:val="clear" w:color="auto" w:fill="2E5496"/>
          </w:tcPr>
          <w:p>
            <w:r>
              <w:rPr>
                <w:b/>
                <w:color w:val="FFFFFF"/>
                <w:sz w:val="19"/>
              </w:rPr>
              <w:t>Connector</w:t>
            </w:r>
          </w:p>
        </w:tc>
        <w:tc>
          <w:tcPr>
            <w:tcW w:type="dxa" w:w="5560"/>
            <w:shd w:val="clear" w:color="auto" w:fill="2E5496"/>
          </w:tcPr>
          <w:p>
            <w:r>
              <w:rPr>
                <w:b/>
                <w:color w:val="FFFFFF"/>
                <w:sz w:val="19"/>
              </w:rPr>
              <w:t>Why it cannot be rebuilt</w:t>
            </w:r>
          </w:p>
        </w:tc>
      </w:tr>
      <w:tr>
        <w:tc>
          <w:tcPr>
            <w:tcW w:type="dxa" w:w="2300"/>
          </w:tcPr>
          <w:p>
            <w:r>
              <w:rPr>
                <w:color w:val="202020"/>
                <w:sz w:val="19"/>
              </w:rPr>
              <w:t>Erasure suppression list</w:t>
            </w:r>
          </w:p>
        </w:tc>
        <w:tc>
          <w:tcPr>
            <w:tcW w:type="dxa" w:w="1500"/>
          </w:tcPr>
          <w:p>
            <w:r>
              <w:rPr>
                <w:color w:val="202020"/>
                <w:sz w:val="19"/>
              </w:rPr>
              <w:t>Altrata</w:t>
            </w:r>
          </w:p>
        </w:tc>
        <w:tc>
          <w:tcPr>
            <w:tcW w:type="dxa" w:w="5560"/>
          </w:tcPr>
          <w:p>
            <w:r>
              <w:rPr>
                <w:b/>
                <w:color w:val="202020"/>
                <w:sz w:val="19"/>
              </w:rPr>
              <w:t>The most critical item on the platform.</w:t>
            </w:r>
            <w:r>
              <w:rPr>
                <w:color w:val="202020"/>
                <w:sz w:val="19"/>
              </w:rPr>
              <w:t xml:space="preserve"> If lost, subjects who exercised their right to erasure are re-ingested on the next feed delivery — a regulatory failure, not an outage</w:t>
            </w:r>
          </w:p>
        </w:tc>
      </w:tr>
      <w:tr>
        <w:tc>
          <w:tcPr>
            <w:tcW w:type="dxa" w:w="2300"/>
            <w:shd w:val="clear" w:color="auto" w:fill="F7F9FC"/>
          </w:tcPr>
          <w:p>
            <w:r>
              <w:rPr>
                <w:color w:val="202020"/>
                <w:sz w:val="19"/>
              </w:rPr>
              <w:t>Erasure ledger</w:t>
            </w:r>
          </w:p>
        </w:tc>
        <w:tc>
          <w:tcPr>
            <w:tcW w:type="dxa" w:w="1500"/>
            <w:shd w:val="clear" w:color="auto" w:fill="F7F9FC"/>
          </w:tcPr>
          <w:p>
            <w:r>
              <w:rPr>
                <w:color w:val="202020"/>
                <w:sz w:val="19"/>
              </w:rPr>
              <w:t>Altrata</w:t>
            </w:r>
          </w:p>
        </w:tc>
        <w:tc>
          <w:tcPr>
            <w:tcW w:type="dxa" w:w="5560"/>
            <w:shd w:val="clear" w:color="auto" w:fill="F7F9FC"/>
          </w:tcPr>
          <w:p>
            <w:r>
              <w:rPr>
                <w:color w:val="202020"/>
                <w:sz w:val="19"/>
              </w:rPr>
              <w:t>The tamper-evident record that erasures were performed; it is the evidence for a data-subject-access-request audit</w:t>
            </w:r>
          </w:p>
        </w:tc>
      </w:tr>
      <w:tr>
        <w:tc>
          <w:tcPr>
            <w:tcW w:type="dxa" w:w="2300"/>
          </w:tcPr>
          <w:p>
            <w:r>
              <w:rPr>
                <w:color w:val="202020"/>
                <w:sz w:val="19"/>
              </w:rPr>
              <w:t>Purpose-of-use audit log</w:t>
            </w:r>
          </w:p>
        </w:tc>
        <w:tc>
          <w:tcPr>
            <w:tcW w:type="dxa" w:w="1500"/>
          </w:tcPr>
          <w:p>
            <w:r>
              <w:rPr>
                <w:color w:val="202020"/>
                <w:sz w:val="19"/>
              </w:rPr>
              <w:t>Altrata</w:t>
            </w:r>
          </w:p>
        </w:tc>
        <w:tc>
          <w:tcPr>
            <w:tcW w:type="dxa" w:w="5560"/>
          </w:tcPr>
          <w:p>
            <w:r>
              <w:rPr>
                <w:color w:val="202020"/>
                <w:sz w:val="19"/>
              </w:rPr>
              <w:t>Records why each licensed lookup was made; not derivable from any source</w:t>
            </w:r>
          </w:p>
        </w:tc>
      </w:tr>
      <w:tr>
        <w:tc>
          <w:tcPr>
            <w:tcW w:type="dxa" w:w="2300"/>
            <w:shd w:val="clear" w:color="auto" w:fill="F7F9FC"/>
          </w:tcPr>
          <w:p>
            <w:r>
              <w:rPr>
                <w:color w:val="202020"/>
                <w:sz w:val="19"/>
              </w:rPr>
              <w:t>Billable-lookup counter</w:t>
            </w:r>
          </w:p>
        </w:tc>
        <w:tc>
          <w:tcPr>
            <w:tcW w:type="dxa" w:w="1500"/>
            <w:shd w:val="clear" w:color="auto" w:fill="F7F9FC"/>
          </w:tcPr>
          <w:p>
            <w:r>
              <w:rPr>
                <w:color w:val="202020"/>
                <w:sz w:val="19"/>
              </w:rPr>
              <w:t>Altrata</w:t>
            </w:r>
          </w:p>
        </w:tc>
        <w:tc>
          <w:tcPr>
            <w:tcW w:type="dxa" w:w="5560"/>
            <w:shd w:val="clear" w:color="auto" w:fill="F7F9FC"/>
          </w:tcPr>
          <w:p>
            <w:r>
              <w:rPr>
                <w:color w:val="202020"/>
                <w:sz w:val="19"/>
              </w:rPr>
              <w:t>Vendor billing reconciliation; only recoverable from the vendor's own invoice</w:t>
            </w:r>
          </w:p>
        </w:tc>
      </w:tr>
      <w:tr>
        <w:tc>
          <w:tcPr>
            <w:tcW w:type="dxa" w:w="2300"/>
          </w:tcPr>
          <w:p>
            <w:r>
              <w:rPr>
                <w:color w:val="202020"/>
                <w:sz w:val="19"/>
              </w:rPr>
              <w:t>Decision ledgers</w:t>
            </w:r>
          </w:p>
        </w:tc>
        <w:tc>
          <w:tcPr>
            <w:tcW w:type="dxa" w:w="1500"/>
          </w:tcPr>
          <w:p>
            <w:r>
              <w:rPr>
                <w:color w:val="202020"/>
                <w:sz w:val="19"/>
              </w:rPr>
              <w:t>All five</w:t>
            </w:r>
          </w:p>
        </w:tc>
        <w:tc>
          <w:tcPr>
            <w:tcW w:type="dxa" w:w="5560"/>
          </w:tcPr>
          <w:p>
            <w:r>
              <w:rPr>
                <w:color w:val="202020"/>
                <w:sz w:val="19"/>
              </w:rPr>
              <w:t>Hash-chained record of exclusion and access-restriction decisions; a re-crawl writes new decisions but cannot reconstruct historical ones</w:t>
            </w:r>
          </w:p>
        </w:tc>
      </w:tr>
      <w:tr>
        <w:tc>
          <w:tcPr>
            <w:tcW w:type="dxa" w:w="2300"/>
            <w:shd w:val="clear" w:color="auto" w:fill="F7F9FC"/>
          </w:tcPr>
          <w:p>
            <w:r>
              <w:rPr>
                <w:color w:val="202020"/>
                <w:sz w:val="19"/>
              </w:rPr>
              <w:t>Dead-letter queues</w:t>
            </w:r>
          </w:p>
        </w:tc>
        <w:tc>
          <w:tcPr>
            <w:tcW w:type="dxa" w:w="1500"/>
            <w:shd w:val="clear" w:color="auto" w:fill="F7F9FC"/>
          </w:tcPr>
          <w:p>
            <w:r>
              <w:rPr>
                <w:color w:val="202020"/>
                <w:sz w:val="19"/>
              </w:rPr>
              <w:t>All five</w:t>
            </w:r>
          </w:p>
        </w:tc>
        <w:tc>
          <w:tcPr>
            <w:tcW w:type="dxa" w:w="5560"/>
            <w:shd w:val="clear" w:color="auto" w:fill="F7F9FC"/>
          </w:tcPr>
          <w:p>
            <w:r>
              <w:rPr>
                <w:color w:val="202020"/>
                <w:sz w:val="19"/>
              </w:rPr>
              <w:t>The pending-retry set and the failure audit. A full crawl re-ingests live items, but items that failed and have since disappeared from the source are lost silently</w:t>
            </w:r>
          </w:p>
        </w:tc>
      </w:tr>
      <w:tr>
        <w:tc>
          <w:tcPr>
            <w:tcW w:type="dxa" w:w="2300"/>
          </w:tcPr>
          <w:p>
            <w:r>
              <w:rPr>
                <w:color w:val="202020"/>
                <w:sz w:val="19"/>
              </w:rPr>
              <w:t>Crawl/sync session history</w:t>
            </w:r>
          </w:p>
        </w:tc>
        <w:tc>
          <w:tcPr>
            <w:tcW w:type="dxa" w:w="1500"/>
          </w:tcPr>
          <w:p>
            <w:r>
              <w:rPr>
                <w:color w:val="202020"/>
                <w:sz w:val="19"/>
              </w:rPr>
              <w:t>Salesforce, Clarizen</w:t>
            </w:r>
          </w:p>
        </w:tc>
        <w:tc>
          <w:tcPr>
            <w:tcW w:type="dxa" w:w="5560"/>
          </w:tcPr>
          <w:p>
            <w:r>
              <w:rPr>
                <w:color w:val="202020"/>
                <w:sz w:val="19"/>
              </w:rPr>
              <w:t>Operational audit history of what ran and when</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Recovery objectives should be stated separately for the two classes. For reconstructible state the recovery point is effectively one crawl cycle and the recovery time is one crawl duration — which for the Hadoop mart at 150M+ rows is the longest in the fleet and should be measured, not assumed. For the protected set the recovery point must be </w:t>
            </w:r>
            <w:r>
              <w:rPr>
                <w:b/>
                <w:color w:val="202020"/>
                <w:sz w:val="20"/>
              </w:rPr>
              <w:t>zero</w:t>
            </w:r>
            <w:r>
              <w:rPr>
                <w:color w:val="202020"/>
                <w:sz w:val="20"/>
              </w:rPr>
              <w:t>, achieved by writing each change to immutable storage synchronously rather than by replicating a region.</w:t>
            </w:r>
          </w:p>
        </w:tc>
      </w:tr>
    </w:tbl>
    <w:p>
      <w:pPr>
        <w:spacing w:after="40"/>
      </w:pPr>
    </w:p>
    <w:p>
      <w:r>
        <w:br w:type="page"/>
      </w:r>
    </w:p>
    <w:p>
      <w:pPr>
        <w:pStyle w:val="Heading1"/>
      </w:pPr>
      <w:r>
        <w:rPr>
          <w:color w:val="1F3864"/>
        </w:rPr>
        <w:t>5. The options</w:t>
      </w:r>
    </w:p>
    <w:p>
      <w:pPr>
        <w:pStyle w:val="Heading2"/>
      </w:pPr>
      <w:r>
        <w:rPr>
          <w:color w:val="2E5496"/>
        </w:rPr>
        <w:t>5.1 Option A — Single region, protected critical state, fast rebuild</w:t>
      </w:r>
    </w:p>
    <w:p>
      <w:pPr>
        <w:pStyle w:val="ListBullet"/>
        <w:spacing w:after="40"/>
      </w:pPr>
      <w:r>
        <w:rPr>
          <w:b/>
          <w:color w:val="202020"/>
        </w:rPr>
        <w:t>What it is:</w:t>
      </w:r>
      <w:r>
        <w:rPr>
          <w:color w:val="202020"/>
        </w:rPr>
        <w:t xml:space="preserve"> the current active-active-within-one-region deployment, plus immutable write-once backup of the non-reconstructible set from section 4, plus scheduled restore drills, plus item expiry enabled in production.</w:t>
      </w:r>
    </w:p>
    <w:p>
      <w:pPr>
        <w:pStyle w:val="ListBullet"/>
        <w:spacing w:after="40"/>
      </w:pPr>
      <w:r>
        <w:rPr>
          <w:b/>
          <w:color w:val="202020"/>
        </w:rPr>
        <w:t>What it buys:</w:t>
      </w:r>
      <w:r>
        <w:rPr>
          <w:color w:val="202020"/>
        </w:rPr>
        <w:t xml:space="preserve"> zero recovery point on the state that genuinely cannot be rebuilt; a bounded staleness exposure; a documented and rehearsed recovery path.</w:t>
      </w:r>
    </w:p>
    <w:p>
      <w:pPr>
        <w:pStyle w:val="ListBullet"/>
        <w:spacing w:after="40"/>
      </w:pPr>
      <w:r>
        <w:rPr>
          <w:b/>
          <w:color w:val="202020"/>
        </w:rPr>
        <w:t>What it costs:</w:t>
      </w:r>
      <w:r>
        <w:rPr>
          <w:color w:val="202020"/>
        </w:rPr>
        <w:t xml:space="preserve"> immutable storage (small — these are text ledgers and a suppression list), the engineering already scoped in the DR work package, and quarterly drill time.</w:t>
      </w:r>
    </w:p>
    <w:p>
      <w:pPr>
        <w:pStyle w:val="ListBullet"/>
        <w:spacing w:after="40"/>
      </w:pPr>
      <w:r>
        <w:rPr>
          <w:b/>
          <w:color w:val="202020"/>
        </w:rPr>
        <w:t>Residual risk:</w:t>
      </w:r>
      <w:r>
        <w:rPr>
          <w:color w:val="202020"/>
        </w:rPr>
        <w:t xml:space="preserve"> loss of the region means the connectors stop until rebuilt. Copilot keeps answering, but authorisation staleness grows for the duration, bounded by item expiry. Recovery time equals the rebuild plus a full crawl per connector.</w:t>
      </w:r>
    </w:p>
    <w:p>
      <w:pPr>
        <w:pStyle w:val="Heading2"/>
      </w:pPr>
      <w:r>
        <w:rPr>
          <w:color w:val="2E5496"/>
        </w:rPr>
        <w:t>5.2 Option B — Active-active multi-region (the catalog target)</w:t>
      </w:r>
    </w:p>
    <w:p>
      <w:pPr>
        <w:pStyle w:val="ListBullet"/>
        <w:spacing w:after="40"/>
      </w:pPr>
      <w:r>
        <w:rPr>
          <w:b/>
          <w:color w:val="202020"/>
        </w:rPr>
        <w:t>What it is:</w:t>
      </w:r>
      <w:r>
        <w:rPr>
          <w:color w:val="202020"/>
        </w:rPr>
        <w:t xml:space="preserve"> a second region running the same active-active connector tier, geo-replicated state store, health-driven automated traffic shift.</w:t>
      </w:r>
    </w:p>
    <w:p>
      <w:pPr>
        <w:pStyle w:val="ListBullet"/>
        <w:spacing w:after="40"/>
      </w:pPr>
      <w:r>
        <w:rPr>
          <w:b/>
          <w:color w:val="202020"/>
        </w:rPr>
        <w:t>What it buys:</w:t>
      </w:r>
      <w:r>
        <w:rPr>
          <w:color w:val="202020"/>
        </w:rPr>
        <w:t xml:space="preserve"> connector-tier survival of a regional loss, so authorisation staleness never grows beyond the normal crawl cadence.</w:t>
      </w:r>
    </w:p>
    <w:p>
      <w:pPr>
        <w:pStyle w:val="ListBullet"/>
        <w:spacing w:after="40"/>
      </w:pPr>
      <w:r>
        <w:rPr>
          <w:b/>
          <w:color w:val="202020"/>
        </w:rPr>
        <w:t>What it costs:</w:t>
      </w:r>
      <w:r>
        <w:rPr>
          <w:color w:val="202020"/>
        </w:rPr>
        <w:t xml:space="preserve"> roughly double the compute and state-store footprint, geo-replication licensing, cross-region coordination testing, failover automation and its own drill regime, and a materially more complex operating model for the team that runs it.</w:t>
      </w:r>
    </w:p>
    <w:p>
      <w:pPr>
        <w:pStyle w:val="ListBullet"/>
        <w:spacing w:after="40"/>
      </w:pPr>
      <w:r>
        <w:rPr>
          <w:b/>
          <w:color w:val="202020"/>
        </w:rPr>
        <w:t>Residual risk:</w:t>
      </w:r>
      <w:r>
        <w:rPr>
          <w:color w:val="202020"/>
        </w:rPr>
        <w:t xml:space="preserve"> complexity is itself a failure source. An automated failover that has not been exercised regularly is a liability rather than an asset — which is why the restore and failover drills in option A are prerequisites here too, not alternatives to it.</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A specific caution: the connectors coordinate through leases in a shared state store. Extending active-active across regions means that store must be writable in both regions with acceptable latency, or the coordination model changes. This is the single largest technical risk in option B and it should be prototyped before the option is costed as delivered.</w:t>
            </w:r>
          </w:p>
        </w:tc>
      </w:tr>
    </w:tbl>
    <w:p>
      <w:pPr>
        <w:spacing w:after="40"/>
      </w:pPr>
    </w:p>
    <w:p>
      <w:pPr>
        <w:pStyle w:val="Heading2"/>
      </w:pPr>
      <w:r>
        <w:rPr>
          <w:color w:val="2E5496"/>
        </w:rPr>
        <w:t>5.3 Option C — Single region with a warm standby</w:t>
      </w:r>
    </w:p>
    <w:p>
      <w:pPr>
        <w:pStyle w:val="ListBullet"/>
        <w:spacing w:after="40"/>
      </w:pPr>
      <w:r>
        <w:rPr>
          <w:b/>
          <w:color w:val="202020"/>
        </w:rPr>
        <w:t>What it is:</w:t>
      </w:r>
      <w:r>
        <w:rPr>
          <w:color w:val="202020"/>
        </w:rPr>
        <w:t xml:space="preserve"> infrastructure defined as code and pre-provisioned but idle in a second region, with state replicated; brought up manually on a regional loss.</w:t>
      </w:r>
    </w:p>
    <w:p>
      <w:pPr>
        <w:pStyle w:val="ListBullet"/>
        <w:spacing w:after="40"/>
      </w:pPr>
      <w:r>
        <w:rPr>
          <w:b/>
          <w:color w:val="202020"/>
        </w:rPr>
        <w:t>What it buys:</w:t>
      </w:r>
      <w:r>
        <w:rPr>
          <w:color w:val="202020"/>
        </w:rPr>
        <w:t xml:space="preserve"> a substantially shorter recovery time than option A without the cost and complexity of running two live regions.</w:t>
      </w:r>
    </w:p>
    <w:p>
      <w:pPr>
        <w:pStyle w:val="ListBullet"/>
        <w:spacing w:after="40"/>
      </w:pPr>
      <w:r>
        <w:rPr>
          <w:b/>
          <w:color w:val="202020"/>
        </w:rPr>
        <w:t>What it costs:</w:t>
      </w:r>
      <w:r>
        <w:rPr>
          <w:color w:val="202020"/>
        </w:rPr>
        <w:t xml:space="preserve"> the standby infrastructure, the replication, and the discipline to keep the standby current — a stale standby is a false assurance.</w:t>
      </w:r>
    </w:p>
    <w:p>
      <w:pPr>
        <w:pStyle w:val="ListBullet"/>
        <w:spacing w:after="40"/>
      </w:pPr>
      <w:r>
        <w:rPr>
          <w:b/>
          <w:color w:val="202020"/>
        </w:rPr>
        <w:t>Dependency:</w:t>
      </w:r>
      <w:r>
        <w:rPr>
          <w:color w:val="202020"/>
        </w:rPr>
        <w:t xml:space="preserve"> this option is only credible once infrastructure-as-code exists (gap G10). Today it does not, so option C cannot be delivered immediately.</w:t>
      </w:r>
    </w:p>
    <w:p>
      <w:pPr>
        <w:pStyle w:val="Heading1"/>
      </w:pPr>
      <w:r>
        <w:rPr>
          <w:color w:val="1F3864"/>
        </w:rPr>
        <w:t>6. Recommendation</w:t>
      </w:r>
    </w:p>
    <w:p>
      <w:pPr>
        <w:spacing w:after="120"/>
      </w:pPr>
      <w:r>
        <w:rPr>
          <w:b/>
          <w:color w:val="202020"/>
        </w:rPr>
        <w:t>Option A</w:t>
      </w:r>
      <w:r>
        <w:rPr>
          <w:color w:val="202020"/>
        </w:rPr>
        <w:t>, adopted explicitly rather than by omission, and conditional on all four of the following. The recommendation rests on the evidence in section 4: the state that cannot be rebuilt is small, well identified, and far better protected by immutable storage than by a second region.</w:t>
      </w:r>
    </w:p>
    <w:p>
      <w:pPr>
        <w:pStyle w:val="ListNumber"/>
        <w:spacing w:after="40"/>
      </w:pPr>
      <w:r>
        <w:rPr>
          <w:color w:val="202020"/>
        </w:rPr>
        <w:t xml:space="preserve">InfoSec and the data owners set a </w:t>
      </w:r>
      <w:r>
        <w:rPr>
          <w:b/>
          <w:color w:val="202020"/>
        </w:rPr>
        <w:t>maximum tolerable authorisation staleness</w:t>
      </w:r>
      <w:r>
        <w:rPr>
          <w:color w:val="202020"/>
        </w:rPr>
        <w:t>, and the platform demonstrates it can complete a re-ACL pass inside that budget. If the agreed number is shorter than the achievable rebuild time, this recommendation fails and option B should be revisited on that basis alone.</w:t>
      </w:r>
    </w:p>
    <w:p>
      <w:pPr>
        <w:pStyle w:val="ListNumber"/>
        <w:spacing w:after="40"/>
      </w:pPr>
      <w:r>
        <w:rPr>
          <w:color w:val="202020"/>
        </w:rPr>
        <w:t xml:space="preserve">The non-reconstructible set is written to </w:t>
      </w:r>
      <w:r>
        <w:rPr>
          <w:b/>
          <w:color w:val="202020"/>
        </w:rPr>
        <w:t>immutable, write-once storage with a retention lock</w:t>
      </w:r>
      <w:r>
        <w:rPr>
          <w:color w:val="202020"/>
        </w:rPr>
        <w:t xml:space="preserve"> — synchronously for Altrata erasure state, per-crawl for the ledgers and dead-letter queues.</w:t>
      </w:r>
    </w:p>
    <w:p>
      <w:pPr>
        <w:pStyle w:val="ListNumber"/>
        <w:spacing w:after="40"/>
      </w:pPr>
      <w:r>
        <w:rPr>
          <w:b/>
          <w:color w:val="202020"/>
        </w:rPr>
        <w:t>Restore drills are scheduled and executed</w:t>
      </w:r>
      <w:r>
        <w:rPr>
          <w:color w:val="202020"/>
        </w:rPr>
        <w:t xml:space="preserve"> — at least quarterly, including the mandatory erasure-reconciliation step for Altrata, with pass or fail recorded against the stated objectives.</w:t>
      </w:r>
    </w:p>
    <w:p>
      <w:pPr>
        <w:pStyle w:val="ListNumber"/>
        <w:spacing w:after="40"/>
      </w:pPr>
      <w:r>
        <w:rPr>
          <w:b/>
          <w:color w:val="202020"/>
        </w:rPr>
        <w:t>Item expiry is enabled in production</w:t>
      </w:r>
      <w:r>
        <w:rPr>
          <w:color w:val="202020"/>
        </w:rPr>
        <w:t xml:space="preserve"> on every connector, so an extended outage drains the index rather than serving stale, over-permissioned content indefinitely.</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If the Board prefers option B, that is a legitimate choice — but it should be made because the authorisation-staleness budget demands it, not because 99.99% appears in a catalog. Option B without conditions 2, 3 and 4 would be </w:t>
            </w:r>
            <w:r>
              <w:rPr>
                <w:b/>
                <w:color w:val="202020"/>
                <w:sz w:val="20"/>
              </w:rPr>
              <w:t>worse than option A with them</w:t>
            </w:r>
            <w:r>
              <w:rPr>
                <w:color w:val="202020"/>
                <w:sz w:val="20"/>
              </w:rPr>
              <w:t>: it protects against the failure that costs least and leaves the one that costs most unaddressed.</w:t>
            </w:r>
          </w:p>
        </w:tc>
      </w:tr>
    </w:tbl>
    <w:p>
      <w:pPr>
        <w:spacing w:after="40"/>
      </w:pPr>
    </w:p>
    <w:p>
      <w:pPr>
        <w:pStyle w:val="Heading1"/>
      </w:pPr>
      <w:r>
        <w:rPr>
          <w:color w:val="1F3864"/>
        </w:rPr>
        <w:t>7. What we need from the Board</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A recorded decision on: (1) the maximum tolerable authorisation-staleness figure and who owns it; (2) the availability option, A, B or C; (3) approval of the immutable-storage protection standard for the non-reconstructible set, which is required under every option; and (4) a named owner and cadence for the restore drills. Items 3 and 4 should be approved today even if the availability decision is deferred, because they are not contingent on it.</w:t>
            </w:r>
          </w:p>
        </w:tc>
      </w:tr>
    </w:tbl>
    <w:p>
      <w:pPr>
        <w:spacing w:after="40"/>
      </w:pP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800"/>
        <w:gridCol w:w="2200"/>
        <w:gridCol w:w="4360"/>
      </w:tblGrid>
      <w:tr>
        <w:tc>
          <w:tcPr>
            <w:tcW w:type="dxa" w:w="2800"/>
            <w:shd w:val="clear" w:color="auto" w:fill="2E5496"/>
          </w:tcPr>
          <w:p>
            <w:r>
              <w:rPr>
                <w:b/>
                <w:color w:val="FFFFFF"/>
                <w:sz w:val="19"/>
              </w:rPr>
              <w:t>Decision</w:t>
            </w:r>
          </w:p>
        </w:tc>
        <w:tc>
          <w:tcPr>
            <w:tcW w:type="dxa" w:w="2200"/>
            <w:shd w:val="clear" w:color="auto" w:fill="2E5496"/>
          </w:tcPr>
          <w:p>
            <w:r>
              <w:rPr>
                <w:b/>
                <w:color w:val="FFFFFF"/>
                <w:sz w:val="19"/>
              </w:rPr>
              <w:t>Owner</w:t>
            </w:r>
          </w:p>
        </w:tc>
        <w:tc>
          <w:tcPr>
            <w:tcW w:type="dxa" w:w="4360"/>
            <w:shd w:val="clear" w:color="auto" w:fill="2E5496"/>
          </w:tcPr>
          <w:p>
            <w:r>
              <w:rPr>
                <w:b/>
                <w:color w:val="FFFFFF"/>
                <w:sz w:val="19"/>
              </w:rPr>
              <w:t>Consequence if deferred</w:t>
            </w:r>
          </w:p>
        </w:tc>
      </w:tr>
      <w:tr>
        <w:tc>
          <w:tcPr>
            <w:tcW w:type="dxa" w:w="2800"/>
          </w:tcPr>
          <w:p>
            <w:r>
              <w:rPr>
                <w:color w:val="202020"/>
                <w:sz w:val="19"/>
              </w:rPr>
              <w:t>Authorisation-staleness service level</w:t>
            </w:r>
          </w:p>
        </w:tc>
        <w:tc>
          <w:tcPr>
            <w:tcW w:type="dxa" w:w="2200"/>
          </w:tcPr>
          <w:p>
            <w:r>
              <w:rPr>
                <w:color w:val="202020"/>
                <w:sz w:val="19"/>
              </w:rPr>
              <w:t>InfoSec + data owners</w:t>
            </w:r>
          </w:p>
        </w:tc>
        <w:tc>
          <w:tcPr>
            <w:tcW w:type="dxa" w:w="4360"/>
          </w:tcPr>
          <w:p>
            <w:r>
              <w:rPr>
                <w:color w:val="202020"/>
                <w:sz w:val="19"/>
              </w:rPr>
              <w:t>The availability option cannot be evaluated on its merits</w:t>
            </w:r>
          </w:p>
        </w:tc>
      </w:tr>
      <w:tr>
        <w:tc>
          <w:tcPr>
            <w:tcW w:type="dxa" w:w="2800"/>
            <w:shd w:val="clear" w:color="auto" w:fill="F7F9FC"/>
          </w:tcPr>
          <w:p>
            <w:r>
              <w:rPr>
                <w:color w:val="202020"/>
                <w:sz w:val="19"/>
              </w:rPr>
              <w:t>Availability option A / B / C</w:t>
            </w:r>
          </w:p>
        </w:tc>
        <w:tc>
          <w:tcPr>
            <w:tcW w:type="dxa" w:w="2200"/>
            <w:shd w:val="clear" w:color="auto" w:fill="F7F9FC"/>
          </w:tcPr>
          <w:p>
            <w:r>
              <w:rPr>
                <w:color w:val="202020"/>
                <w:sz w:val="19"/>
              </w:rPr>
              <w:t>Architecture Review Board</w:t>
            </w:r>
          </w:p>
        </w:tc>
        <w:tc>
          <w:tcPr>
            <w:tcW w:type="dxa" w:w="4360"/>
            <w:shd w:val="clear" w:color="auto" w:fill="F7F9FC"/>
          </w:tcPr>
          <w:p>
            <w:r>
              <w:rPr>
                <w:color w:val="202020"/>
                <w:sz w:val="19"/>
              </w:rPr>
              <w:t>Infrastructure request and DR runbooks stay blocked</w:t>
            </w:r>
          </w:p>
        </w:tc>
      </w:tr>
      <w:tr>
        <w:tc>
          <w:tcPr>
            <w:tcW w:type="dxa" w:w="2800"/>
          </w:tcPr>
          <w:p>
            <w:r>
              <w:rPr>
                <w:color w:val="202020"/>
                <w:sz w:val="19"/>
              </w:rPr>
              <w:t>Immutable-storage protection standard</w:t>
            </w:r>
          </w:p>
        </w:tc>
        <w:tc>
          <w:tcPr>
            <w:tcW w:type="dxa" w:w="2200"/>
          </w:tcPr>
          <w:p>
            <w:r>
              <w:rPr>
                <w:color w:val="202020"/>
                <w:sz w:val="19"/>
              </w:rPr>
              <w:t>InfoSec + Platform</w:t>
            </w:r>
          </w:p>
        </w:tc>
        <w:tc>
          <w:tcPr>
            <w:tcW w:type="dxa" w:w="4360"/>
          </w:tcPr>
          <w:p>
            <w:r>
              <w:rPr>
                <w:color w:val="202020"/>
                <w:sz w:val="19"/>
              </w:rPr>
              <w:t>The erasure suppression list and ledgers stay unprotected — the single largest regulatory exposure on the platform</w:t>
            </w:r>
          </w:p>
        </w:tc>
      </w:tr>
      <w:tr>
        <w:tc>
          <w:tcPr>
            <w:tcW w:type="dxa" w:w="2800"/>
            <w:shd w:val="clear" w:color="auto" w:fill="F7F9FC"/>
          </w:tcPr>
          <w:p>
            <w:r>
              <w:rPr>
                <w:color w:val="202020"/>
                <w:sz w:val="19"/>
              </w:rPr>
              <w:t>Restore-drill owner and cadence</w:t>
            </w:r>
          </w:p>
        </w:tc>
        <w:tc>
          <w:tcPr>
            <w:tcW w:type="dxa" w:w="2200"/>
            <w:shd w:val="clear" w:color="auto" w:fill="F7F9FC"/>
          </w:tcPr>
          <w:p>
            <w:r>
              <w:rPr>
                <w:color w:val="202020"/>
                <w:sz w:val="19"/>
              </w:rPr>
              <w:t>IT Operations</w:t>
            </w:r>
          </w:p>
        </w:tc>
        <w:tc>
          <w:tcPr>
            <w:tcW w:type="dxa" w:w="4360"/>
            <w:shd w:val="clear" w:color="auto" w:fill="F7F9FC"/>
          </w:tcPr>
          <w:p>
            <w:r>
              <w:rPr>
                <w:color w:val="202020"/>
                <w:sz w:val="19"/>
              </w:rPr>
              <w:t>Recovery objectives remain claimed but unproven</w:t>
            </w:r>
          </w:p>
        </w:tc>
      </w:tr>
    </w:tbl>
    <w:p>
      <w:pPr>
        <w:spacing w:after="40"/>
      </w:pPr>
    </w:p>
    <w:p>
      <w:pPr>
        <w:pStyle w:val="Heading1"/>
      </w:pPr>
      <w:r>
        <w:rPr>
          <w:color w:val="1F3864"/>
        </w:rPr>
        <w:t>8. Glossary</w:t>
      </w:r>
    </w:p>
    <w:p>
      <w:pPr>
        <w:spacing w:after="20"/>
        <w:keepNext/>
      </w:pPr>
      <w:r>
        <w:rPr>
          <w:b/>
          <w:color w:val="1F3864"/>
          <w:sz w:val="22"/>
        </w:rPr>
        <w:t>Query path</w:t>
      </w:r>
    </w:p>
    <w:p>
      <w:pPr>
        <w:spacing w:after="20"/>
        <w:ind w:left="240"/>
      </w:pPr>
      <w:r>
        <w:rPr>
          <w:b/>
          <w:color w:val="595959"/>
          <w:sz w:val="19"/>
        </w:rPr>
        <w:t xml:space="preserve">What it is  </w:t>
      </w:r>
      <w:r>
        <w:rPr>
          <w:color w:val="202020"/>
          <w:sz w:val="20"/>
        </w:rPr>
        <w:t>The set of components that must be running for a user to receive an answer.</w:t>
      </w:r>
    </w:p>
    <w:p>
      <w:pPr>
        <w:spacing w:after="160"/>
        <w:ind w:left="240"/>
      </w:pPr>
      <w:r>
        <w:rPr>
          <w:b/>
          <w:color w:val="595959"/>
          <w:sz w:val="19"/>
        </w:rPr>
        <w:t xml:space="preserve">Why it matters  </w:t>
      </w:r>
      <w:r>
        <w:rPr>
          <w:color w:val="202020"/>
          <w:sz w:val="20"/>
        </w:rPr>
        <w:t>The connectors are deliberately not in it — which is the central fact of this paper and the reason a connector outage does not stop Copilot answering.</w:t>
      </w:r>
    </w:p>
    <w:p>
      <w:pPr>
        <w:spacing w:after="20"/>
        <w:keepNext/>
      </w:pPr>
      <w:r>
        <w:rPr>
          <w:b/>
          <w:color w:val="1F3864"/>
          <w:sz w:val="22"/>
        </w:rPr>
        <w:t>Authorisation staleness</w:t>
      </w:r>
    </w:p>
    <w:p>
      <w:pPr>
        <w:spacing w:after="20"/>
        <w:ind w:left="240"/>
      </w:pPr>
      <w:r>
        <w:rPr>
          <w:b/>
          <w:color w:val="595959"/>
          <w:sz w:val="19"/>
        </w:rPr>
        <w:t xml:space="preserve">What it is  </w:t>
      </w:r>
      <w:r>
        <w:rPr>
          <w:color w:val="202020"/>
          <w:sz w:val="20"/>
        </w:rPr>
        <w:t>The delay between a permission being revoked at the source system and that revocation taking effect in what Copilot will show.</w:t>
      </w:r>
    </w:p>
    <w:p>
      <w:pPr>
        <w:spacing w:after="160"/>
        <w:ind w:left="240"/>
      </w:pPr>
      <w:r>
        <w:rPr>
          <w:b/>
          <w:color w:val="595959"/>
          <w:sz w:val="19"/>
        </w:rPr>
        <w:t xml:space="preserve">Why it matters  </w:t>
      </w:r>
      <w:r>
        <w:rPr>
          <w:color w:val="202020"/>
          <w:sz w:val="20"/>
        </w:rPr>
        <w:t>It is the real cost of a connector outage, and this paper argues it — not uptime — is the service level the Board should set.</w:t>
      </w:r>
    </w:p>
    <w:p>
      <w:pPr>
        <w:spacing w:after="20"/>
        <w:keepNext/>
      </w:pPr>
      <w:r>
        <w:rPr>
          <w:b/>
          <w:color w:val="1F3864"/>
          <w:sz w:val="22"/>
        </w:rPr>
        <w:t>Reconstructible state</w:t>
      </w:r>
    </w:p>
    <w:p>
      <w:pPr>
        <w:spacing w:after="20"/>
        <w:ind w:left="240"/>
      </w:pPr>
      <w:r>
        <w:rPr>
          <w:b/>
          <w:color w:val="595959"/>
          <w:sz w:val="19"/>
        </w:rPr>
        <w:t xml:space="preserve">What it is  </w:t>
      </w:r>
      <w:r>
        <w:rPr>
          <w:color w:val="202020"/>
          <w:sz w:val="20"/>
        </w:rPr>
        <w:t>State that can be rebuilt by re-reading the source system.</w:t>
      </w:r>
    </w:p>
    <w:p>
      <w:pPr>
        <w:spacing w:after="160"/>
        <w:ind w:left="240"/>
      </w:pPr>
      <w:r>
        <w:rPr>
          <w:b/>
          <w:color w:val="595959"/>
          <w:sz w:val="19"/>
        </w:rPr>
        <w:t xml:space="preserve">Why it matters  </w:t>
      </w:r>
      <w:r>
        <w:rPr>
          <w:color w:val="202020"/>
          <w:sz w:val="20"/>
        </w:rPr>
        <w:t>It determines what a regional loss actually costs. Most of this platform's state is reconstructible, which is what makes a cheaper availability option defensible.</w:t>
      </w:r>
    </w:p>
    <w:p>
      <w:pPr>
        <w:spacing w:after="20"/>
        <w:keepNext/>
      </w:pPr>
      <w:r>
        <w:rPr>
          <w:b/>
          <w:color w:val="1F3864"/>
          <w:sz w:val="22"/>
        </w:rPr>
        <w:t>Recovery point objective (RPO)</w:t>
      </w:r>
    </w:p>
    <w:p>
      <w:pPr>
        <w:spacing w:after="20"/>
        <w:ind w:left="240"/>
      </w:pPr>
      <w:r>
        <w:rPr>
          <w:b/>
          <w:color w:val="595959"/>
          <w:sz w:val="19"/>
        </w:rPr>
        <w:t xml:space="preserve">What it is  </w:t>
      </w:r>
      <w:r>
        <w:rPr>
          <w:color w:val="202020"/>
          <w:sz w:val="20"/>
        </w:rPr>
        <w:t>The maximum data loss, expressed as time, that is acceptable.</w:t>
      </w:r>
    </w:p>
    <w:p>
      <w:pPr>
        <w:spacing w:after="160"/>
        <w:ind w:left="240"/>
      </w:pPr>
      <w:r>
        <w:rPr>
          <w:b/>
          <w:color w:val="595959"/>
          <w:sz w:val="19"/>
        </w:rPr>
        <w:t xml:space="preserve">Why it matters  </w:t>
      </w:r>
      <w:r>
        <w:rPr>
          <w:color w:val="202020"/>
          <w:sz w:val="20"/>
        </w:rPr>
        <w:t>It should be stated separately per state class here: one crawl cycle for reconstructible state, but zero for the erasure and audit records.</w:t>
      </w:r>
    </w:p>
    <w:p>
      <w:pPr>
        <w:spacing w:after="20"/>
        <w:keepNext/>
      </w:pPr>
      <w:r>
        <w:rPr>
          <w:b/>
          <w:color w:val="1F3864"/>
          <w:sz w:val="22"/>
        </w:rPr>
        <w:t>Immutable / write-once storage</w:t>
      </w:r>
    </w:p>
    <w:p>
      <w:pPr>
        <w:spacing w:after="20"/>
        <w:ind w:left="240"/>
      </w:pPr>
      <w:r>
        <w:rPr>
          <w:b/>
          <w:color w:val="595959"/>
          <w:sz w:val="19"/>
        </w:rPr>
        <w:t xml:space="preserve">What it is  </w:t>
      </w:r>
      <w:r>
        <w:rPr>
          <w:color w:val="202020"/>
          <w:sz w:val="20"/>
        </w:rPr>
        <w:t>Storage with a retention lock that prevents deletion or alteration, including by an administrator.</w:t>
      </w:r>
    </w:p>
    <w:p>
      <w:pPr>
        <w:spacing w:after="160"/>
        <w:ind w:left="240"/>
      </w:pPr>
      <w:r>
        <w:rPr>
          <w:b/>
          <w:color w:val="595959"/>
          <w:sz w:val="19"/>
        </w:rPr>
        <w:t xml:space="preserve">Why it matters  </w:t>
      </w:r>
      <w:r>
        <w:rPr>
          <w:color w:val="202020"/>
          <w:sz w:val="20"/>
        </w:rPr>
        <w:t>It is what protects the non-reconstructible set, and it is required under every option in this paper — it is not part of the availability trade-off.</w:t>
      </w:r>
    </w:p>
    <w:p>
      <w:pPr>
        <w:spacing w:after="20"/>
        <w:keepNext/>
      </w:pPr>
      <w:r>
        <w:rPr>
          <w:b/>
          <w:color w:val="1F3864"/>
          <w:sz w:val="22"/>
        </w:rPr>
        <w:t>Stale-index item expiry</w:t>
      </w:r>
    </w:p>
    <w:p>
      <w:pPr>
        <w:spacing w:after="20"/>
        <w:ind w:left="240"/>
      </w:pPr>
      <w:r>
        <w:rPr>
          <w:b/>
          <w:color w:val="595959"/>
          <w:sz w:val="19"/>
        </w:rPr>
        <w:t xml:space="preserve">What it is  </w:t>
      </w:r>
      <w:r>
        <w:rPr>
          <w:color w:val="202020"/>
          <w:sz w:val="20"/>
        </w:rPr>
        <w:t>A time-to-live stamped on each indexed item and refreshed on every crawl.</w:t>
      </w:r>
    </w:p>
    <w:p>
      <w:pPr>
        <w:spacing w:after="160"/>
        <w:ind w:left="240"/>
      </w:pPr>
      <w:r>
        <w:rPr>
          <w:b/>
          <w:color w:val="595959"/>
          <w:sz w:val="19"/>
        </w:rPr>
        <w:t xml:space="preserve">Why it matters  </w:t>
      </w:r>
      <w:r>
        <w:rPr>
          <w:color w:val="202020"/>
          <w:sz w:val="20"/>
        </w:rPr>
        <w:t>It converts an unbounded staleness risk into a bounded one during an outage, and it is already built — enabling it is a configuration decision, not a project.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Availability Tier — ARB Decision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