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CONN-DOC-REQ-01</w:t>
      </w:r>
    </w:p>
    <w:p>
      <w:pPr>
        <w:jc w:val="left"/>
        <w:pBdr>
          <w:bottom w:val="single" w:sz="18" w:space="4" w:color="2E5496"/>
        </w:pBdr>
      </w:pPr>
      <w:r>
        <w:rPr>
          <w:b/>
          <w:color w:val="1F3864"/>
          <w:sz w:val="60"/>
        </w:rPr>
        <w:t>Wave 1 — External Dependency Requests</w:t>
      </w:r>
    </w:p>
    <w:p>
      <w:pPr>
        <w:spacing w:after="480"/>
      </w:pPr>
      <w:r>
        <w:rPr>
          <w:color w:val="2E5496"/>
          <w:sz w:val="28"/>
        </w:rPr>
        <w:t>Two blocking questions that must be answered before the dependent work can be scoped or funded</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Document owner</w:t>
            </w:r>
          </w:p>
        </w:tc>
        <w:tc>
          <w:tcPr>
            <w:tcW w:type="dxa" w:w="6760"/>
          </w:tcPr>
          <w:p>
            <w:r>
              <w:rPr>
                <w:color w:val="202020"/>
                <w:sz w:val="20"/>
              </w:rPr>
              <w:t>Lead Architect &amp; Platform Owner</w:t>
            </w:r>
          </w:p>
        </w:tc>
      </w:tr>
      <w:tr>
        <w:tc>
          <w:tcPr>
            <w:tcW w:type="dxa" w:w="2600"/>
            <w:shd w:val="clear" w:color="auto" w:fill="EEF2F8"/>
          </w:tcPr>
          <w:p>
            <w:r>
              <w:rPr>
                <w:b/>
                <w:color w:val="1F3864"/>
                <w:sz w:val="20"/>
              </w:rPr>
              <w:t>Raised by</w:t>
            </w:r>
          </w:p>
        </w:tc>
        <w:tc>
          <w:tcPr>
            <w:tcW w:type="dxa" w:w="6760"/>
          </w:tcPr>
          <w:p>
            <w:r>
              <w:rPr>
                <w:color w:val="202020"/>
                <w:sz w:val="20"/>
              </w:rPr>
              <w:t>Connector platform team</w:t>
            </w:r>
          </w:p>
        </w:tc>
      </w:tr>
      <w:tr>
        <w:tc>
          <w:tcPr>
            <w:tcW w:type="dxa" w:w="2600"/>
            <w:shd w:val="clear" w:color="auto" w:fill="EEF2F8"/>
          </w:tcPr>
          <w:p>
            <w:r>
              <w:rPr>
                <w:b/>
                <w:color w:val="1F3864"/>
                <w:sz w:val="20"/>
              </w:rPr>
              <w:t>Request 1 — goes to</w:t>
            </w:r>
          </w:p>
        </w:tc>
        <w:tc>
          <w:tcPr>
            <w:tcW w:type="dxa" w:w="6760"/>
          </w:tcPr>
          <w:p>
            <w:r>
              <w:rPr>
                <w:color w:val="202020"/>
                <w:sz w:val="20"/>
              </w:rPr>
              <w:t>Microsoft account team / FastTrack / support case</w:t>
            </w:r>
          </w:p>
        </w:tc>
      </w:tr>
      <w:tr>
        <w:tc>
          <w:tcPr>
            <w:tcW w:type="dxa" w:w="2600"/>
            <w:shd w:val="clear" w:color="auto" w:fill="EEF2F8"/>
          </w:tcPr>
          <w:p>
            <w:r>
              <w:rPr>
                <w:b/>
                <w:color w:val="1F3864"/>
                <w:sz w:val="20"/>
              </w:rPr>
              <w:t>Request 2 — goes to</w:t>
            </w:r>
          </w:p>
        </w:tc>
        <w:tc>
          <w:tcPr>
            <w:tcW w:type="dxa" w:w="6760"/>
          </w:tcPr>
          <w:p>
            <w:r>
              <w:rPr>
                <w:color w:val="202020"/>
                <w:sz w:val="20"/>
              </w:rPr>
              <w:t>Bank Hadoop platform team (BDH)</w:t>
            </w:r>
          </w:p>
        </w:tc>
      </w:tr>
      <w:tr>
        <w:tc>
          <w:tcPr>
            <w:tcW w:type="dxa" w:w="2600"/>
            <w:shd w:val="clear" w:color="auto" w:fill="EEF2F8"/>
          </w:tcPr>
          <w:p>
            <w:r>
              <w:rPr>
                <w:b/>
                <w:color w:val="1F3864"/>
                <w:sz w:val="20"/>
              </w:rPr>
              <w:t>Source</w:t>
            </w:r>
          </w:p>
        </w:tc>
        <w:tc>
          <w:tcPr>
            <w:tcW w:type="dxa" w:w="6760"/>
          </w:tcPr>
          <w:p>
            <w:r>
              <w:rPr>
                <w:color w:val="202020"/>
                <w:sz w:val="20"/>
              </w:rPr>
              <w:t>Connector Platform Gap Analysis (CONN-DOC-GAP-01), gaps G5 and G4</w:t>
            </w:r>
          </w:p>
        </w:tc>
      </w:tr>
      <w:tr>
        <w:tc>
          <w:tcPr>
            <w:tcW w:type="dxa" w:w="2600"/>
            <w:shd w:val="clear" w:color="auto" w:fill="EEF2F8"/>
          </w:tcPr>
          <w:p>
            <w:r>
              <w:rPr>
                <w:b/>
                <w:color w:val="1F3864"/>
                <w:sz w:val="20"/>
              </w:rPr>
              <w:t>Version</w:t>
            </w:r>
          </w:p>
        </w:tc>
        <w:tc>
          <w:tcPr>
            <w:tcW w:type="dxa" w:w="6760"/>
          </w:tcPr>
          <w:p>
            <w:r>
              <w:rPr>
                <w:color w:val="202020"/>
                <w:sz w:val="20"/>
              </w:rPr>
              <w:t>1.0</w:t>
            </w:r>
          </w:p>
        </w:tc>
      </w:tr>
      <w:tr>
        <w:tc>
          <w:tcPr>
            <w:tcW w:type="dxa" w:w="2600"/>
            <w:shd w:val="clear" w:color="auto" w:fill="EEF2F8"/>
          </w:tcPr>
          <w:p>
            <w:r>
              <w:rPr>
                <w:b/>
                <w:color w:val="1F3864"/>
                <w:sz w:val="20"/>
              </w:rPr>
              <w:t>Date</w:t>
            </w:r>
          </w:p>
        </w:tc>
        <w:tc>
          <w:tcPr>
            <w:tcW w:type="dxa" w:w="6760"/>
          </w:tcPr>
          <w:p>
            <w:r>
              <w:rPr>
                <w:color w:val="202020"/>
                <w:sz w:val="20"/>
              </w:rPr>
              <w:t>19 July 2026</w:t>
            </w:r>
          </w:p>
        </w:tc>
      </w:tr>
      <w:tr>
        <w:tc>
          <w:tcPr>
            <w:tcW w:type="dxa" w:w="2600"/>
            <w:shd w:val="clear" w:color="auto" w:fill="EEF2F8"/>
          </w:tcPr>
          <w:p>
            <w:r>
              <w:rPr>
                <w:b/>
                <w:color w:val="1F3864"/>
                <w:sz w:val="20"/>
              </w:rPr>
              <w:t>Response needed by</w:t>
            </w:r>
          </w:p>
        </w:tc>
        <w:tc>
          <w:tcPr>
            <w:tcW w:type="dxa" w:w="6760"/>
          </w:tcPr>
          <w:p>
            <w:r>
              <w:rPr>
                <w:color w:val="202020"/>
                <w:sz w:val="20"/>
              </w:rPr>
              <w:t>Not set — no send is recorded for either request, so no response clock has started. Both sit on the critical path for waves 4 and 6.</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Confidential — internal use. </w:t>
            </w:r>
            <w:r>
              <w:rPr>
                <w:color w:val="202020"/>
                <w:sz w:val="19"/>
              </w:rPr>
              <w:t>This document describes internal systems and their operation. Handle per your organisation's information-classification policy. Do not distribute outside the teams responsible for deploying, monitoring, or supporting this connector.</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r>
      <w:r>
        <w:rPr>
          <w:color w:val="595959"/>
        </w:rPr>
        <w:instrText xml:space="preserve"> TOC \o "1-3" \h \z \u </w:instrText>
      </w:r>
      <w:r>
        <w:rPr>
          <w:color w:val="595959"/>
        </w:rPr>
        <w:fldChar w:fldCharType="separate"/>
      </w:r>
      <w:r>
        <w:rPr>
          <w:color w:val="595959"/>
        </w:rPr>
        <w:t>Right-click here and choose “Update Field” to build the table of contents.</w:t>
      </w:r>
      <w:r>
        <w:rPr>
          <w:color w:val="595959"/>
        </w:rPr>
        <w:fldChar w:fldCharType="end"/>
      </w:r>
    </w:p>
    <w:p>
      <w:r>
        <w:br w:type="page"/>
      </w:r>
    </w:p>
    <w:p>
      <w:pPr>
        <w:pStyle w:val="Heading1"/>
      </w:pPr>
      <w:r>
        <w:rPr>
          <w:color w:val="1F3864"/>
        </w:rPr>
        <w:t>1. Why these two requests exist</w:t>
      </w:r>
    </w:p>
    <w:p>
      <w:pPr>
        <w:spacing w:after="200"/>
      </w:pPr>
      <w:r>
        <w:rPr>
          <w:color w:val="595959"/>
          <w:sz w:val="23"/>
        </w:rPr>
        <w:t>The gap analysis identified nine P0/P1 gaps. Seven of them can be closed with engineering work alone. Two cannot be scoped, costed or even confirmed as buildable until an external party answers a question. Both are therefore raised first, in wave 1, so the answers arrive before the work they gate.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700"/>
        <w:gridCol w:w="700"/>
        <w:gridCol w:w="3060"/>
        <w:gridCol w:w="2900"/>
      </w:tblGrid>
      <w:tr>
        <w:tc>
          <w:tcPr>
            <w:tcW w:type="dxa" w:w="2700"/>
            <w:shd w:val="clear" w:color="auto" w:fill="2E5496"/>
          </w:tcPr>
          <w:p>
            <w:r>
              <w:rPr>
                <w:b/>
                <w:color w:val="FFFFFF"/>
                <w:sz w:val="19"/>
              </w:rPr>
              <w:t>Request</w:t>
            </w:r>
          </w:p>
        </w:tc>
        <w:tc>
          <w:tcPr>
            <w:tcW w:type="dxa" w:w="700"/>
            <w:shd w:val="clear" w:color="auto" w:fill="2E5496"/>
          </w:tcPr>
          <w:p>
            <w:r>
              <w:rPr>
                <w:b/>
                <w:color w:val="FFFFFF"/>
                <w:sz w:val="19"/>
              </w:rPr>
              <w:t>Gap</w:t>
            </w:r>
          </w:p>
        </w:tc>
        <w:tc>
          <w:tcPr>
            <w:tcW w:type="dxa" w:w="3060"/>
            <w:shd w:val="clear" w:color="auto" w:fill="2E5496"/>
          </w:tcPr>
          <w:p>
            <w:r>
              <w:rPr>
                <w:b/>
                <w:color w:val="FFFFFF"/>
                <w:sz w:val="19"/>
              </w:rPr>
              <w:t>Gates</w:t>
            </w:r>
          </w:p>
        </w:tc>
        <w:tc>
          <w:tcPr>
            <w:tcW w:type="dxa" w:w="2900"/>
            <w:shd w:val="clear" w:color="auto" w:fill="2E5496"/>
          </w:tcPr>
          <w:p>
            <w:r>
              <w:rPr>
                <w:b/>
                <w:color w:val="FFFFFF"/>
                <w:sz w:val="19"/>
              </w:rPr>
              <w:t>Consequence of a late answer</w:t>
            </w:r>
          </w:p>
        </w:tc>
      </w:tr>
      <w:tr>
        <w:tc>
          <w:tcPr>
            <w:tcW w:type="dxa" w:w="2700"/>
          </w:tcPr>
          <w:p>
            <w:r>
              <w:rPr>
                <w:b/>
                <w:color w:val="202020"/>
                <w:sz w:val="19"/>
              </w:rPr>
              <w:t>R1</w:t>
            </w:r>
            <w:r>
              <w:rPr>
                <w:color w:val="202020"/>
                <w:sz w:val="19"/>
              </w:rPr>
              <w:t xml:space="preserve"> — Purview support for Graph external items</w:t>
            </w:r>
          </w:p>
        </w:tc>
        <w:tc>
          <w:tcPr>
            <w:tcW w:type="dxa" w:w="700"/>
          </w:tcPr>
          <w:p>
            <w:r>
              <w:rPr>
                <w:color w:val="202020"/>
                <w:sz w:val="19"/>
              </w:rPr>
              <w:t>G5</w:t>
            </w:r>
          </w:p>
        </w:tc>
        <w:tc>
          <w:tcPr>
            <w:tcW w:type="dxa" w:w="3060"/>
          </w:tcPr>
          <w:p>
            <w:r>
              <w:rPr>
                <w:color w:val="202020"/>
                <w:sz w:val="19"/>
              </w:rPr>
              <w:t>The entire Purview labelling and DLP work package across all five connectors</w:t>
            </w:r>
          </w:p>
        </w:tc>
        <w:tc>
          <w:tcPr>
            <w:tcW w:type="dxa" w:w="2900"/>
          </w:tcPr>
          <w:p>
            <w:r>
              <w:rPr>
                <w:color w:val="202020"/>
                <w:sz w:val="19"/>
              </w:rPr>
              <w:t>Wave 6 work cannot be funded; we risk building a control Microsoft does not support</w:t>
            </w:r>
          </w:p>
        </w:tc>
      </w:tr>
      <w:tr>
        <w:tc>
          <w:tcPr>
            <w:tcW w:type="dxa" w:w="2700"/>
            <w:shd w:val="clear" w:color="auto" w:fill="F7F9FC"/>
          </w:tcPr>
          <w:p>
            <w:r>
              <w:rPr>
                <w:b/>
                <w:color w:val="202020"/>
                <w:sz w:val="19"/>
              </w:rPr>
              <w:t>R2</w:t>
            </w:r>
            <w:r>
              <w:rPr>
                <w:color w:val="202020"/>
                <w:sz w:val="19"/>
              </w:rPr>
              <w:t xml:space="preserve"> — Hadoop authentication posture</w:t>
            </w:r>
          </w:p>
        </w:tc>
        <w:tc>
          <w:tcPr>
            <w:tcW w:type="dxa" w:w="700"/>
            <w:shd w:val="clear" w:color="auto" w:fill="F7F9FC"/>
          </w:tcPr>
          <w:p>
            <w:r>
              <w:rPr>
                <w:color w:val="202020"/>
                <w:sz w:val="19"/>
              </w:rPr>
              <w:t>G4</w:t>
            </w:r>
          </w:p>
        </w:tc>
        <w:tc>
          <w:tcPr>
            <w:tcW w:type="dxa" w:w="3060"/>
            <w:shd w:val="clear" w:color="auto" w:fill="F7F9FC"/>
          </w:tcPr>
          <w:p>
            <w:r>
              <w:rPr>
                <w:color w:val="202020"/>
                <w:sz w:val="19"/>
              </w:rPr>
              <w:t>Hadoop connector onboarding — and therefore the whole BDH wave</w:t>
            </w:r>
          </w:p>
        </w:tc>
        <w:tc>
          <w:tcPr>
            <w:tcW w:type="dxa" w:w="2900"/>
            <w:shd w:val="clear" w:color="auto" w:fill="F7F9FC"/>
          </w:tcPr>
          <w:p>
            <w:r>
              <w:rPr>
                <w:color w:val="202020"/>
                <w:sz w:val="19"/>
              </w:rPr>
              <w:t>The connector cannot be deployed at all; effort varies by a factor of six on the answer</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Neither request is a status update. Each asks a specific technical question whose answer changes what we build. Please forward the relevant section verbatim — the questions are written to be answerable without further context from us.</w:t>
            </w:r>
          </w:p>
        </w:tc>
      </w:tr>
    </w:tbl>
    <w:p>
      <w:pPr>
        <w:spacing w:after="40"/>
      </w:pPr>
    </w:p>
    <w:p>
      <w:r>
        <w:br w:type="page"/>
      </w:r>
    </w:p>
    <w:p>
      <w:pPr>
        <w:pStyle w:val="Heading1"/>
      </w:pPr>
      <w:r>
        <w:rPr>
          <w:color w:val="1F3864"/>
        </w:rPr>
        <w:t>2. Request 1 — Microsoft: Purview labelling and DLP on Graph connector external items</w:t>
      </w:r>
    </w:p>
    <w:p>
      <w:pPr>
        <w:pStyle w:val="Heading3"/>
      </w:pPr>
      <w:r>
        <w:rPr>
          <w:color w:val="2E5496"/>
        </w:rPr>
        <w:t>Who this goes to</w:t>
      </w:r>
    </w:p>
    <w:p>
      <w:pPr>
        <w:spacing w:after="120"/>
      </w:pPr>
      <w:r>
        <w:rPr>
          <w:color w:val="202020"/>
        </w:rPr>
        <w:t>Microsoft account team, FastTrack, or a Microsoft support case raised against the tenant. Please state the tenant id and the cloud (commercial, GCC, GCC High or other sovereign cloud) when raising it — the answer differs by cloud.</w:t>
      </w:r>
    </w:p>
    <w:p>
      <w:pPr>
        <w:pStyle w:val="Heading3"/>
      </w:pPr>
      <w:r>
        <w:rPr>
          <w:color w:val="2E5496"/>
        </w:rPr>
        <w:t>Context to give them</w:t>
      </w:r>
    </w:p>
    <w:p>
      <w:pPr>
        <w:spacing w:after="120"/>
      </w:pPr>
      <w:r>
        <w:rPr>
          <w:color w:val="202020"/>
        </w:rPr>
        <w:t xml:space="preserve">We operate five Microsoft Graph connectors that index external line-of-business content (Salesforce, Planview AdaptiveWork, Seismic, Altrata, and a Hadoop data mart) into Microsoft 365 Copilot. Our target-state control catalogue requires that a </w:t>
      </w:r>
      <w:r>
        <w:rPr>
          <w:b/>
          <w:color w:val="202020"/>
        </w:rPr>
        <w:t>Microsoft Purview sensitivity label travels with each indexed item and drives downstream protection and DLP policy</w:t>
      </w:r>
      <w:r>
        <w:rPr>
          <w:color w:val="202020"/>
        </w:rPr>
        <w:t>, including on Copilot responses grounded in that content. We currently apply our own connector-generated classification tag, which we document honestly as advisory metadata that enforces nothing. Before we invest in mapping our taxonomy onto real Purview labels, we need to know what is actually enforceable today.</w:t>
      </w:r>
    </w:p>
    <w:p>
      <w:pPr>
        <w:pStyle w:val="Heading3"/>
      </w:pPr>
      <w:r>
        <w:rPr>
          <w:color w:val="2E5496"/>
        </w:rPr>
        <w:t>The questions</w:t>
      </w:r>
    </w:p>
    <w:p>
      <w:pPr>
        <w:pStyle w:val="ListNumber"/>
        <w:spacing w:after="40"/>
      </w:pPr>
      <w:r>
        <w:rPr>
          <w:color w:val="202020"/>
        </w:rPr>
        <w:t xml:space="preserve">Can a Graph connector </w:t>
      </w:r>
      <w:r>
        <w:rPr>
          <w:b/>
          <w:color w:val="202020"/>
        </w:rPr>
        <w:t>external item</w:t>
      </w:r>
      <w:r>
        <w:rPr>
          <w:color w:val="202020"/>
        </w:rPr>
        <w:t xml:space="preserve"> carry a Microsoft Purview sensitivity label that is </w:t>
      </w:r>
      <w:r>
        <w:rPr>
          <w:b/>
          <w:color w:val="202020"/>
        </w:rPr>
        <w:t>enforced</w:t>
      </w:r>
      <w:r>
        <w:rPr>
          <w:color w:val="202020"/>
        </w:rPr>
        <w:t>, rather than stored as descriptive metadata? If so, which API or item property sets it, and what is its support status (generally available, preview, or roadmap) in our cloud?</w:t>
      </w:r>
    </w:p>
    <w:p>
      <w:pPr>
        <w:pStyle w:val="ListNumber"/>
        <w:spacing w:after="40"/>
      </w:pPr>
      <w:r>
        <w:rPr>
          <w:color w:val="202020"/>
        </w:rPr>
        <w:t xml:space="preserve">Do </w:t>
      </w:r>
      <w:r>
        <w:rPr>
          <w:b/>
          <w:color w:val="202020"/>
        </w:rPr>
        <w:t>Purview DLP policies evaluate external items</w:t>
      </w:r>
      <w:r>
        <w:rPr>
          <w:color w:val="202020"/>
        </w:rPr>
        <w:t xml:space="preserve"> from Graph connectors? If they do, at which point — at index time, at Copilot/Search retrieval time, or both?</w:t>
      </w:r>
    </w:p>
    <w:p>
      <w:pPr>
        <w:pStyle w:val="ListNumber"/>
        <w:spacing w:after="40"/>
      </w:pPr>
      <w:r>
        <w:rPr>
          <w:color w:val="202020"/>
        </w:rPr>
        <w:t xml:space="preserve">Do DLP policies apply to </w:t>
      </w:r>
      <w:r>
        <w:rPr>
          <w:b/>
          <w:color w:val="202020"/>
        </w:rPr>
        <w:t>Copilot responses that ground on external items</w:t>
      </w:r>
      <w:r>
        <w:rPr>
          <w:color w:val="202020"/>
        </w:rPr>
        <w:t xml:space="preserve"> — that is, can a policy prevent Copilot from surfacing restricted external content in a generated answer, as distinct from preventing the item being indexed?</w:t>
      </w:r>
    </w:p>
    <w:p>
      <w:pPr>
        <w:pStyle w:val="ListNumber"/>
        <w:spacing w:after="40"/>
      </w:pPr>
      <w:r>
        <w:rPr>
          <w:color w:val="202020"/>
        </w:rPr>
        <w:t xml:space="preserve">Does </w:t>
      </w:r>
      <w:r>
        <w:rPr>
          <w:b/>
          <w:color w:val="202020"/>
        </w:rPr>
        <w:t>label-based encryption or rights protection</w:t>
      </w:r>
      <w:r>
        <w:rPr>
          <w:color w:val="202020"/>
        </w:rPr>
        <w:t xml:space="preserve"> apply to external items, or is the label on external items metadata only even when applied through the supported API?</w:t>
      </w:r>
    </w:p>
    <w:p>
      <w:pPr>
        <w:pStyle w:val="ListNumber"/>
        <w:spacing w:after="40"/>
      </w:pPr>
      <w:r>
        <w:rPr>
          <w:color w:val="202020"/>
        </w:rPr>
        <w:t xml:space="preserve">If enforcement is not available today: what is the roadmap and expected timeframe, and what does Microsoft </w:t>
      </w:r>
      <w:r>
        <w:rPr>
          <w:b/>
          <w:color w:val="202020"/>
        </w:rPr>
        <w:t>recommend as the interim control</w:t>
      </w:r>
      <w:r>
        <w:rPr>
          <w:color w:val="202020"/>
        </w:rPr>
        <w:t xml:space="preserve"> for restricting access to top-tier classified external content?</w:t>
      </w:r>
    </w:p>
    <w:p>
      <w:pPr>
        <w:pStyle w:val="ListNumber"/>
        <w:spacing w:after="40"/>
      </w:pPr>
      <w:r>
        <w:rPr>
          <w:color w:val="202020"/>
        </w:rPr>
        <w:t>Are there licensing prerequisites (for example specific Purview or Copilot SKUs) attached to any of the above that we should confirm now?</w:t>
      </w:r>
    </w:p>
    <w:p>
      <w:pPr>
        <w:pStyle w:val="Heading3"/>
      </w:pPr>
      <w:r>
        <w:rPr>
          <w:color w:val="2E5496"/>
        </w:rPr>
        <w:t>What we will do with each answer</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400"/>
        <w:gridCol w:w="5960"/>
      </w:tblGrid>
      <w:tr>
        <w:tc>
          <w:tcPr>
            <w:tcW w:type="dxa" w:w="3400"/>
            <w:shd w:val="clear" w:color="auto" w:fill="2E5496"/>
          </w:tcPr>
          <w:p>
            <w:r>
              <w:rPr>
                <w:b/>
                <w:color w:val="FFFFFF"/>
                <w:sz w:val="19"/>
              </w:rPr>
              <w:t>If the answer is</w:t>
            </w:r>
          </w:p>
        </w:tc>
        <w:tc>
          <w:tcPr>
            <w:tcW w:type="dxa" w:w="5960"/>
            <w:shd w:val="clear" w:color="auto" w:fill="2E5496"/>
          </w:tcPr>
          <w:p>
            <w:r>
              <w:rPr>
                <w:b/>
                <w:color w:val="FFFFFF"/>
                <w:sz w:val="19"/>
              </w:rPr>
              <w:t>Our decision</w:t>
            </w:r>
          </w:p>
        </w:tc>
      </w:tr>
      <w:tr>
        <w:tc>
          <w:tcPr>
            <w:tcW w:type="dxa" w:w="3400"/>
          </w:tcPr>
          <w:p>
            <w:r>
              <w:rPr>
                <w:color w:val="202020"/>
                <w:sz w:val="19"/>
              </w:rPr>
              <w:t>Labels are enforceable on external items, and DLP evaluates them</w:t>
            </w:r>
          </w:p>
        </w:tc>
        <w:tc>
          <w:tcPr>
            <w:tcW w:type="dxa" w:w="5960"/>
          </w:tcPr>
          <w:p>
            <w:r>
              <w:rPr>
                <w:color w:val="202020"/>
                <w:sz w:val="19"/>
              </w:rPr>
              <w:t>Fund the Purview labelling work package: map our four-tier taxonomy to tenant label GUIDs, stamp the GUID on every item across all five connectors, and re-provision the Graph connection schemas. Estimated ten engineering days plus the tenant label-taxonomy work.</w:t>
            </w:r>
          </w:p>
        </w:tc>
      </w:tr>
      <w:tr>
        <w:tc>
          <w:tcPr>
            <w:tcW w:type="dxa" w:w="3400"/>
            <w:shd w:val="clear" w:color="auto" w:fill="F7F9FC"/>
          </w:tcPr>
          <w:p>
            <w:r>
              <w:rPr>
                <w:color w:val="202020"/>
                <w:sz w:val="19"/>
              </w:rPr>
              <w:t>Labels are metadata only, or DLP does not evaluate external items</w:t>
            </w:r>
          </w:p>
        </w:tc>
        <w:tc>
          <w:tcPr>
            <w:tcW w:type="dxa" w:w="5960"/>
            <w:shd w:val="clear" w:color="auto" w:fill="F7F9FC"/>
          </w:tcPr>
          <w:p>
            <w:r>
              <w:rPr>
                <w:color w:val="202020"/>
                <w:sz w:val="19"/>
              </w:rPr>
              <w:t xml:space="preserve">We do </w:t>
            </w:r>
            <w:r>
              <w:rPr>
                <w:b/>
                <w:color w:val="202020"/>
                <w:sz w:val="19"/>
              </w:rPr>
              <w:t>not</w:t>
            </w:r>
            <w:r>
              <w:rPr>
                <w:color w:val="202020"/>
                <w:sz w:val="19"/>
              </w:rPr>
              <w:t xml:space="preserve"> build it. We adopt the connector's existing optional ACL-enforcement control as the control of record — it converts our top classification tier into a real Graph ACL restriction to a named Entra group — and we record that substitution explicitly in the control mapping so no auditor is told a Purview control exists when it does not.</w:t>
            </w:r>
          </w:p>
        </w:tc>
      </w:tr>
      <w:tr>
        <w:tc>
          <w:tcPr>
            <w:tcW w:type="dxa" w:w="3400"/>
          </w:tcPr>
          <w:p>
            <w:r>
              <w:rPr>
                <w:color w:val="202020"/>
                <w:sz w:val="19"/>
              </w:rPr>
              <w:t>Roadmap only, with a date</w:t>
            </w:r>
          </w:p>
        </w:tc>
        <w:tc>
          <w:tcPr>
            <w:tcW w:type="dxa" w:w="5960"/>
          </w:tcPr>
          <w:p>
            <w:r>
              <w:rPr>
                <w:color w:val="202020"/>
                <w:sz w:val="19"/>
              </w:rPr>
              <w:t>Defer the work package to the roadmap date, run the ACL-enforcement control in the interim, and set a review checkpoint at the stated date.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From the Microsoft response we specifically need: a written statement of support status per question, the API or property name if enforcement exists, and any licensing prerequisite. A verbal 'yes it is supported' is not sufficient to close this gate — the control mapping needs something citable.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We are asking rather than assuming because Microsoft's support for Purview labelling and DLP over Graph </w:t>
            </w:r>
            <w:r>
              <w:rPr>
                <w:b/>
                <w:color w:val="202020"/>
                <w:sz w:val="20"/>
              </w:rPr>
              <w:t>external</w:t>
            </w:r>
            <w:r>
              <w:rPr>
                <w:color w:val="202020"/>
                <w:sz w:val="20"/>
              </w:rPr>
              <w:t xml:space="preserve"> items has historically been materially narrower than for native Microsoft 365 content, and has moved between preview and general availability. Building against an assumption here would either waste the work or, worse, create a documented control that does not actually enforce anything.</w:t>
            </w:r>
          </w:p>
        </w:tc>
      </w:tr>
    </w:tbl>
    <w:p>
      <w:pPr>
        <w:spacing w:after="40"/>
      </w:pPr>
    </w:p>
    <w:p>
      <w:r>
        <w:br w:type="page"/>
      </w:r>
    </w:p>
    <w:p>
      <w:pPr>
        <w:pStyle w:val="Heading1"/>
      </w:pPr>
      <w:r>
        <w:rPr>
          <w:color w:val="1F3864"/>
        </w:rPr>
        <w:t>3. Request 2 — Bank Hadoop platform team: BDH authentication posture</w:t>
      </w:r>
    </w:p>
    <w:p>
      <w:pPr>
        <w:pStyle w:val="Heading3"/>
      </w:pPr>
      <w:r>
        <w:rPr>
          <w:color w:val="2E5496"/>
        </w:rPr>
        <w:t>Who this goes to</w:t>
      </w:r>
    </w:p>
    <w:p>
      <w:pPr>
        <w:spacing w:after="120"/>
      </w:pPr>
      <w:r>
        <w:rPr>
          <w:color w:val="202020"/>
        </w:rPr>
        <w:t>The team that owns the BDH Hadoop cluster — specifically whoever owns its security configuration (Kerberos realm, Knox gateway, service principals and keytabs).</w:t>
      </w:r>
    </w:p>
    <w:p>
      <w:pPr>
        <w:pStyle w:val="Heading3"/>
      </w:pPr>
      <w:r>
        <w:rPr>
          <w:color w:val="2E5496"/>
        </w:rPr>
        <w:t>Context to give them</w:t>
      </w:r>
    </w:p>
    <w:p>
      <w:pPr>
        <w:spacing w:after="120"/>
      </w:pPr>
      <w:r>
        <w:rPr>
          <w:color w:val="202020"/>
        </w:rPr>
        <w:t xml:space="preserve">The BDH Copilot connector reads structured records from the data mart over </w:t>
      </w:r>
      <w:r>
        <w:rPr>
          <w:b/>
          <w:color w:val="202020"/>
        </w:rPr>
        <w:t>WebHDFS</w:t>
      </w:r>
      <w:r>
        <w:rPr>
          <w:color w:val="202020"/>
        </w:rPr>
        <w:t xml:space="preserve">. Today it authenticates with simple authentication (a </w:t>
      </w:r>
      <w:r>
        <w:rPr>
          <w:rFonts w:ascii="Consolas" w:hAnsi="Consolas"/>
          <w:color w:val="202020"/>
          <w:sz w:val="19"/>
        </w:rPr>
        <w:t>user.name</w:t>
      </w:r>
      <w:r>
        <w:rPr>
          <w:color w:val="202020"/>
        </w:rPr>
        <w:t xml:space="preserve"> parameter) and, optionally, an HTTP delegation token. It does </w:t>
      </w:r>
      <w:r>
        <w:rPr>
          <w:b/>
          <w:color w:val="202020"/>
        </w:rPr>
        <w:t>not</w:t>
      </w:r>
      <w:r>
        <w:rPr>
          <w:color w:val="202020"/>
        </w:rPr>
        <w:t xml:space="preserve"> implement Kerberos/SPNEGO. We expect a regulated cluster to refuse simple authentication outright, which would block onboarding entirely, so we need to confirm the required posture before scheduling the work. The engineering effort differs by roughly a factor of six depending on the answer.</w:t>
      </w:r>
    </w:p>
    <w:p>
      <w:pPr>
        <w:pStyle w:val="Heading3"/>
      </w:pPr>
      <w:r>
        <w:rPr>
          <w:color w:val="2E5496"/>
        </w:rPr>
        <w:t>The questions</w:t>
      </w:r>
    </w:p>
    <w:p>
      <w:pPr>
        <w:pStyle w:val="ListNumber"/>
        <w:spacing w:after="40"/>
      </w:pPr>
      <w:r>
        <w:rPr>
          <w:color w:val="202020"/>
        </w:rPr>
        <w:t xml:space="preserve">Is the BDH cluster running in </w:t>
      </w:r>
      <w:r>
        <w:rPr>
          <w:b/>
          <w:color w:val="202020"/>
        </w:rPr>
        <w:t>secure (Kerberised) mode</w:t>
      </w:r>
      <w:r>
        <w:rPr>
          <w:color w:val="202020"/>
        </w:rPr>
        <w:t>? If so, which realm, and which KDC endpoints should the connector host use?</w:t>
      </w:r>
    </w:p>
    <w:p>
      <w:pPr>
        <w:pStyle w:val="ListNumber"/>
        <w:spacing w:after="40"/>
      </w:pPr>
      <w:r>
        <w:rPr>
          <w:color w:val="202020"/>
        </w:rPr>
        <w:t xml:space="preserve">Is there an </w:t>
      </w:r>
      <w:r>
        <w:rPr>
          <w:b/>
          <w:color w:val="202020"/>
        </w:rPr>
        <w:t>Apache Knox gateway</w:t>
      </w:r>
      <w:r>
        <w:rPr>
          <w:color w:val="202020"/>
        </w:rPr>
        <w:t xml:space="preserve"> fronting WebHDFS for this cluster? If yes, please provide the gateway endpoint, the authentication method Knox expects from clients (basic, LDAP, SSO, client certificate), and confirm whether </w:t>
      </w:r>
      <w:r>
        <w:rPr>
          <w:b/>
          <w:color w:val="202020"/>
        </w:rPr>
        <w:t>Knox terminates Kerberos on the client's behalf</w:t>
      </w:r>
      <w:r>
        <w:rPr>
          <w:color w:val="202020"/>
        </w:rPr>
        <w:t xml:space="preserve"> — this is the single most important question in this request.</w:t>
      </w:r>
    </w:p>
    <w:p>
      <w:pPr>
        <w:pStyle w:val="ListNumber"/>
        <w:spacing w:after="40"/>
      </w:pPr>
      <w:r>
        <w:rPr>
          <w:color w:val="202020"/>
        </w:rPr>
        <w:t xml:space="preserve">If there is no Knox gateway: can a </w:t>
      </w:r>
      <w:r>
        <w:rPr>
          <w:b/>
          <w:color w:val="202020"/>
        </w:rPr>
        <w:t>service principal and keytab</w:t>
      </w:r>
      <w:r>
        <w:rPr>
          <w:color w:val="202020"/>
        </w:rPr>
        <w:t xml:space="preserve"> be issued for the connector's service account? What is the issuance process, the rotation cadence, and who owns it?</w:t>
      </w:r>
    </w:p>
    <w:p>
      <w:pPr>
        <w:pStyle w:val="ListNumber"/>
        <w:spacing w:after="40"/>
      </w:pPr>
      <w:r>
        <w:rPr>
          <w:color w:val="202020"/>
        </w:rPr>
        <w:t xml:space="preserve">Is </w:t>
      </w:r>
      <w:r>
        <w:rPr>
          <w:b/>
          <w:color w:val="202020"/>
        </w:rPr>
        <w:t>HTTP delegation-token issuance</w:t>
      </w:r>
      <w:r>
        <w:rPr>
          <w:color w:val="202020"/>
        </w:rPr>
        <w:t xml:space="preserve"> available and permitted as an alternative? If so, what is the token lifetime and the renewal mechanism?</w:t>
      </w:r>
    </w:p>
    <w:p>
      <w:pPr>
        <w:pStyle w:val="ListNumber"/>
        <w:spacing w:after="40"/>
      </w:pPr>
      <w:r>
        <w:rPr>
          <w:color w:val="202020"/>
        </w:rPr>
        <w:t xml:space="preserve">WebHDFS </w:t>
      </w:r>
      <w:r>
        <w:rPr>
          <w:rFonts w:ascii="Consolas" w:hAnsi="Consolas"/>
          <w:color w:val="202020"/>
          <w:sz w:val="19"/>
        </w:rPr>
        <w:t>OPEN</w:t>
      </w:r>
      <w:r>
        <w:rPr>
          <w:color w:val="202020"/>
        </w:rPr>
        <w:t xml:space="preserve"> requests are redirected from the namenode to a datanode (HTTP 307). Are those datanode hosts </w:t>
      </w:r>
      <w:r>
        <w:rPr>
          <w:b/>
          <w:color w:val="202020"/>
        </w:rPr>
        <w:t>directly reachable and authenticable</w:t>
      </w:r>
      <w:r>
        <w:rPr>
          <w:color w:val="202020"/>
        </w:rPr>
        <w:t xml:space="preserve"> from the connector host, or does all traffic have to traverse a gateway?</w:t>
      </w:r>
    </w:p>
    <w:p>
      <w:pPr>
        <w:pStyle w:val="ListNumber"/>
        <w:spacing w:after="40"/>
      </w:pPr>
      <w:r>
        <w:rPr>
          <w:color w:val="202020"/>
        </w:rPr>
        <w:t xml:space="preserve">The connector runs on </w:t>
      </w:r>
      <w:r>
        <w:rPr>
          <w:b/>
          <w:color w:val="202020"/>
        </w:rPr>
        <w:t>Windows Server</w:t>
      </w:r>
      <w:r>
        <w:rPr>
          <w:color w:val="202020"/>
        </w:rPr>
        <w:t>. Is a gMSA or machine-account Negotiate path viable against your KDC, or must we use an explicit keytab file? (This determines how we store and rotate the credential.)</w:t>
      </w:r>
    </w:p>
    <w:p>
      <w:pPr>
        <w:pStyle w:val="ListNumber"/>
        <w:spacing w:after="40"/>
      </w:pPr>
      <w:r>
        <w:rPr>
          <w:color w:val="202020"/>
        </w:rPr>
        <w:t xml:space="preserve">Is there an existing </w:t>
      </w:r>
      <w:r>
        <w:rPr>
          <w:b/>
          <w:color w:val="202020"/>
        </w:rPr>
        <w:t>read-only service account</w:t>
      </w:r>
      <w:r>
        <w:rPr>
          <w:color w:val="202020"/>
        </w:rPr>
        <w:t xml:space="preserve"> pattern for programmatic BDH consumers we should adopt, rather than requesting a new one?</w:t>
      </w:r>
    </w:p>
    <w:p>
      <w:pPr>
        <w:pStyle w:val="Heading3"/>
      </w:pPr>
      <w:r>
        <w:rPr>
          <w:color w:val="2E5496"/>
        </w:rPr>
        <w:t>What we will do with each answer</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400"/>
        <w:gridCol w:w="5960"/>
      </w:tblGrid>
      <w:tr>
        <w:tc>
          <w:tcPr>
            <w:tcW w:type="dxa" w:w="3400"/>
            <w:shd w:val="clear" w:color="auto" w:fill="2E5496"/>
          </w:tcPr>
          <w:p>
            <w:r>
              <w:rPr>
                <w:b/>
                <w:color w:val="FFFFFF"/>
                <w:sz w:val="19"/>
              </w:rPr>
              <w:t>If the answer is</w:t>
            </w:r>
          </w:p>
        </w:tc>
        <w:tc>
          <w:tcPr>
            <w:tcW w:type="dxa" w:w="5960"/>
            <w:shd w:val="clear" w:color="auto" w:fill="2E5496"/>
          </w:tcPr>
          <w:p>
            <w:r>
              <w:rPr>
                <w:b/>
                <w:color w:val="FFFFFF"/>
                <w:sz w:val="19"/>
              </w:rPr>
              <w:t>Our decision and effort</w:t>
            </w:r>
          </w:p>
        </w:tc>
      </w:tr>
      <w:tr>
        <w:tc>
          <w:tcPr>
            <w:tcW w:type="dxa" w:w="3400"/>
          </w:tcPr>
          <w:p>
            <w:r>
              <w:rPr>
                <w:color w:val="202020"/>
                <w:sz w:val="19"/>
              </w:rPr>
              <w:t>A Knox gateway fronts the cluster and terminates Kerberos</w:t>
            </w:r>
          </w:p>
        </w:tc>
        <w:tc>
          <w:tcPr>
            <w:tcW w:type="dxa" w:w="5960"/>
          </w:tcPr>
          <w:p>
            <w:r>
              <w:rPr>
                <w:b/>
                <w:color w:val="202020"/>
                <w:sz w:val="19"/>
              </w:rPr>
              <w:t>Roughly one day.</w:t>
            </w:r>
            <w:r>
              <w:rPr>
                <w:color w:val="202020"/>
                <w:sz w:val="19"/>
              </w:rPr>
              <w:t xml:space="preserve"> No new authentication code — we configure the connector against the Knox endpoint and add an end-to-end test. This is by far the cheapest outcome and is what our current documentation already anticipates.</w:t>
            </w:r>
          </w:p>
        </w:tc>
      </w:tr>
      <w:tr>
        <w:tc>
          <w:tcPr>
            <w:tcW w:type="dxa" w:w="3400"/>
            <w:shd w:val="clear" w:color="auto" w:fill="F7F9FC"/>
          </w:tcPr>
          <w:p>
            <w:r>
              <w:rPr>
                <w:color w:val="202020"/>
                <w:sz w:val="19"/>
              </w:rPr>
              <w:t>Kerberised, no Knox — keytab can be issued</w:t>
            </w:r>
          </w:p>
        </w:tc>
        <w:tc>
          <w:tcPr>
            <w:tcW w:type="dxa" w:w="5960"/>
            <w:shd w:val="clear" w:color="auto" w:fill="F7F9FC"/>
          </w:tcPr>
          <w:p>
            <w:r>
              <w:rPr>
                <w:b/>
                <w:color w:val="202020"/>
                <w:sz w:val="19"/>
              </w:rPr>
              <w:t>Roughly six engineering days</w:t>
            </w:r>
            <w:r>
              <w:rPr>
                <w:color w:val="202020"/>
                <w:sz w:val="19"/>
              </w:rPr>
              <w:t xml:space="preserve"> plus the bank's keytab issuance lead time. We implement SPNEGO/Negotiate on the WebHDFS client, keytab-based ticket acquisition with automatic renewal, credential storage in Key Vault, and a renewal-failure alert. We must also verify that credentials survive the namenode-to-datanode redirect.</w:t>
            </w:r>
          </w:p>
        </w:tc>
      </w:tr>
      <w:tr>
        <w:tc>
          <w:tcPr>
            <w:tcW w:type="dxa" w:w="3400"/>
          </w:tcPr>
          <w:p>
            <w:r>
              <w:rPr>
                <w:color w:val="202020"/>
                <w:sz w:val="19"/>
              </w:rPr>
              <w:t>Simple authentication or delegation tokens are genuinely acceptable</w:t>
            </w:r>
          </w:p>
        </w:tc>
        <w:tc>
          <w:tcPr>
            <w:tcW w:type="dxa" w:w="5960"/>
          </w:tcPr>
          <w:p>
            <w:r>
              <w:rPr>
                <w:b/>
                <w:color w:val="202020"/>
                <w:sz w:val="19"/>
              </w:rPr>
              <w:t>No work.</w:t>
            </w:r>
            <w:r>
              <w:rPr>
                <w:color w:val="202020"/>
                <w:sz w:val="19"/>
              </w:rPr>
              <w:t xml:space="preserve"> The connector already supports both. We would ask for that acceptance in writing, because it will be questioned at the security review.</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The minimum we need to proceed: a yes/no on Knox with its endpoint if it exists; and, if there is no Knox, confirmation that a keytab can be issued together with the realm, KDC endpoints and service principal name.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If the answer to the Knox question is yes, this gap closes for about a day of work and the Hadoop connector stops being the long pole in its wave. It is worth chasing that single question first, ahead of the rest of the request.</w:t>
            </w:r>
          </w:p>
        </w:tc>
      </w:tr>
    </w:tbl>
    <w:p>
      <w:pPr>
        <w:spacing w:after="40"/>
      </w:pPr>
    </w:p>
    <w:p>
      <w:r>
        <w:br w:type="page"/>
      </w:r>
    </w:p>
    <w:p>
      <w:pPr>
        <w:pStyle w:val="Heading1"/>
      </w:pPr>
      <w:r>
        <w:rPr>
          <w:color w:val="1F3864"/>
        </w:rPr>
        <w:t>4. Tracking</w:t>
      </w:r>
    </w:p>
    <w:p>
      <w:pPr>
        <w:spacing w:after="120"/>
      </w:pPr>
      <w:r>
        <w:rPr>
          <w:color w:val="202020"/>
        </w:rPr>
        <w:t>Both requests should be logged against the programme's dependency register with a named owner and a response date, and reviewed at the weekly status meeting until closed. They are bank-side dependencies in the sense used by the programme plan: the platform team prepares and chases, but cannot close them unilaterally. As of 14 August 2026 neither request has been sent: the register below records a drafting date and no dispatch. No response date can be set until they go out, and the work each one gates stays blocked in the meantime. Sending them is the outstanding action.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600"/>
        <w:gridCol w:w="3260"/>
        <w:gridCol w:w="2400"/>
        <w:gridCol w:w="1100"/>
        <w:gridCol w:w="1100"/>
        <w:gridCol w:w="900"/>
      </w:tblGrid>
      <w:tr>
        <w:tc>
          <w:tcPr>
            <w:tcW w:type="dxa" w:w="600"/>
            <w:shd w:val="clear" w:color="auto" w:fill="2E5496"/>
          </w:tcPr>
          <w:p>
            <w:r>
              <w:rPr>
                <w:b/>
                <w:color w:val="FFFFFF"/>
                <w:sz w:val="19"/>
              </w:rPr>
              <w:t>Ref</w:t>
            </w:r>
          </w:p>
        </w:tc>
        <w:tc>
          <w:tcPr>
            <w:tcW w:type="dxa" w:w="3260"/>
            <w:shd w:val="clear" w:color="auto" w:fill="2E5496"/>
          </w:tcPr>
          <w:p>
            <w:r>
              <w:rPr>
                <w:b/>
                <w:color w:val="FFFFFF"/>
                <w:sz w:val="19"/>
              </w:rPr>
              <w:t>Request</w:t>
            </w:r>
          </w:p>
        </w:tc>
        <w:tc>
          <w:tcPr>
            <w:tcW w:type="dxa" w:w="2400"/>
            <w:shd w:val="clear" w:color="auto" w:fill="2E5496"/>
          </w:tcPr>
          <w:p>
            <w:r>
              <w:rPr>
                <w:b/>
                <w:color w:val="FFFFFF"/>
                <w:sz w:val="19"/>
              </w:rPr>
              <w:t>Owner to name</w:t>
            </w:r>
          </w:p>
        </w:tc>
        <w:tc>
          <w:tcPr>
            <w:tcW w:type="dxa" w:w="1100"/>
            <w:shd w:val="clear" w:color="auto" w:fill="2E5496"/>
          </w:tcPr>
          <w:p>
            <w:r>
              <w:rPr>
                <w:b/>
                <w:color w:val="FFFFFF"/>
                <w:sz w:val="19"/>
              </w:rPr>
              <w:t>Raised</w:t>
            </w:r>
          </w:p>
        </w:tc>
        <w:tc>
          <w:tcPr>
            <w:tcW w:type="dxa" w:w="1100"/>
            <w:shd w:val="clear" w:color="auto" w:fill="2E5496"/>
          </w:tcPr>
          <w:p>
            <w:r>
              <w:rPr>
                <w:b/>
                <w:color w:val="FFFFFF"/>
                <w:sz w:val="19"/>
              </w:rPr>
              <w:t>Response due</w:t>
            </w:r>
          </w:p>
        </w:tc>
        <w:tc>
          <w:tcPr>
            <w:tcW w:type="dxa" w:w="900"/>
            <w:shd w:val="clear" w:color="auto" w:fill="2E5496"/>
          </w:tcPr>
          <w:p>
            <w:r>
              <w:rPr>
                <w:b/>
                <w:color w:val="FFFFFF"/>
                <w:sz w:val="19"/>
              </w:rPr>
              <w:t>Status</w:t>
            </w:r>
          </w:p>
        </w:tc>
      </w:tr>
      <w:tr>
        <w:tc>
          <w:tcPr>
            <w:tcW w:type="dxa" w:w="600"/>
          </w:tcPr>
          <w:p>
            <w:r>
              <w:rPr>
                <w:color w:val="202020"/>
                <w:sz w:val="19"/>
              </w:rPr>
              <w:t>R1</w:t>
            </w:r>
          </w:p>
        </w:tc>
        <w:tc>
          <w:tcPr>
            <w:tcW w:type="dxa" w:w="3260"/>
          </w:tcPr>
          <w:p>
            <w:r>
              <w:rPr>
                <w:color w:val="202020"/>
                <w:sz w:val="19"/>
              </w:rPr>
              <w:t>Purview support for Graph external items</w:t>
            </w:r>
          </w:p>
        </w:tc>
        <w:tc>
          <w:tcPr>
            <w:tcW w:type="dxa" w:w="2400"/>
          </w:tcPr>
          <w:p>
            <w:r>
              <w:rPr>
                <w:color w:val="202020"/>
                <w:sz w:val="19"/>
              </w:rPr>
              <w:t>M365 platform / Microsoft account team</w:t>
            </w:r>
          </w:p>
        </w:tc>
        <w:tc>
          <w:tcPr>
            <w:tcW w:type="dxa" w:w="1100"/>
          </w:tcPr>
          <w:p>
            <w:r>
              <w:rPr>
                <w:color w:val="202020"/>
                <w:sz w:val="19"/>
              </w:rPr>
              <w:t>Drafted 19-Jul-26; no send recorded</w:t>
            </w:r>
          </w:p>
        </w:tc>
        <w:tc>
          <w:tcPr>
            <w:tcW w:type="dxa" w:w="1100"/>
          </w:tcPr>
          <w:p>
            <w:r>
              <w:rPr>
                <w:color w:val="202020"/>
                <w:sz w:val="19"/>
              </w:rPr>
              <w:t>Not set — starts on the send date</w:t>
            </w:r>
          </w:p>
        </w:tc>
        <w:tc>
          <w:tcPr>
            <w:tcW w:type="dxa" w:w="900"/>
          </w:tcPr>
          <w:p>
            <w:r>
              <w:rPr>
                <w:color w:val="202020"/>
                <w:sz w:val="19"/>
              </w:rPr>
              <w:t>Open — not yet sent</w:t>
            </w:r>
          </w:p>
        </w:tc>
      </w:tr>
      <w:tr>
        <w:tc>
          <w:tcPr>
            <w:tcW w:type="dxa" w:w="600"/>
            <w:shd w:val="clear" w:color="auto" w:fill="F7F9FC"/>
          </w:tcPr>
          <w:p>
            <w:r>
              <w:rPr>
                <w:color w:val="202020"/>
                <w:sz w:val="19"/>
              </w:rPr>
              <w:t>R2</w:t>
            </w:r>
          </w:p>
        </w:tc>
        <w:tc>
          <w:tcPr>
            <w:tcW w:type="dxa" w:w="3260"/>
            <w:shd w:val="clear" w:color="auto" w:fill="F7F9FC"/>
          </w:tcPr>
          <w:p>
            <w:r>
              <w:rPr>
                <w:color w:val="202020"/>
                <w:sz w:val="19"/>
              </w:rPr>
              <w:t>BDH authentication posture (Knox vs Kerberos)</w:t>
            </w:r>
          </w:p>
        </w:tc>
        <w:tc>
          <w:tcPr>
            <w:tcW w:type="dxa" w:w="2400"/>
            <w:shd w:val="clear" w:color="auto" w:fill="F7F9FC"/>
          </w:tcPr>
          <w:p>
            <w:r>
              <w:rPr>
                <w:color w:val="202020"/>
                <w:sz w:val="19"/>
              </w:rPr>
              <w:t>Hadoop platform team</w:t>
            </w:r>
          </w:p>
        </w:tc>
        <w:tc>
          <w:tcPr>
            <w:tcW w:type="dxa" w:w="1100"/>
            <w:shd w:val="clear" w:color="auto" w:fill="F7F9FC"/>
          </w:tcPr>
          <w:p>
            <w:r>
              <w:rPr>
                <w:color w:val="202020"/>
                <w:sz w:val="19"/>
              </w:rPr>
              <w:t>Drafted 19-Jul-26; no send recorded</w:t>
            </w:r>
          </w:p>
        </w:tc>
        <w:tc>
          <w:tcPr>
            <w:tcW w:type="dxa" w:w="1100"/>
            <w:shd w:val="clear" w:color="auto" w:fill="F7F9FC"/>
          </w:tcPr>
          <w:p>
            <w:r>
              <w:rPr>
                <w:color w:val="202020"/>
                <w:sz w:val="19"/>
              </w:rPr>
              <w:t>Not set — starts on the send date</w:t>
            </w:r>
          </w:p>
        </w:tc>
        <w:tc>
          <w:tcPr>
            <w:tcW w:type="dxa" w:w="900"/>
            <w:shd w:val="clear" w:color="auto" w:fill="F7F9FC"/>
          </w:tcPr>
          <w:p>
            <w:r>
              <w:rPr>
                <w:color w:val="202020"/>
                <w:sz w:val="19"/>
              </w:rPr>
              <w:t>Open — not yet sent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The remaining wave 1 items are engineering work already under way and are not tracked here: retiring the residual non-FIPS hash primitives in the Salesforce connector, and adding the coarse-ACL attestation to the Hadoop connector's configuration validation.</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Wave 1 — External Dependency Requests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