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onsolas" w:hAnsi="Consolas"/>
          <w:color w:val="595959"/>
          <w:sz w:val="20"/>
        </w:rPr>
        <w:t>CONN-DOC-COMMON-01</w:t>
      </w:r>
    </w:p>
    <w:p>
      <w:pPr>
        <w:jc w:val="left"/>
        <w:pBdr>
          <w:bottom w:val="single" w:sz="18" w:space="4" w:color="2E5496"/>
        </w:pBdr>
      </w:pPr>
      <w:r>
        <w:rPr>
          <w:b/>
          <w:color w:val="1F3864"/>
          <w:sz w:val="60"/>
        </w:rPr>
        <w:t>Microsoft 365 Copilot Connectors</w:t>
      </w:r>
    </w:p>
    <w:p>
      <w:pPr>
        <w:spacing w:after="480"/>
      </w:pPr>
      <w:r>
        <w:rPr>
          <w:color w:val="2E5496"/>
          <w:sz w:val="28"/>
        </w:rPr>
        <w:t>Tenant &amp; Common Concepts Guide</w:t>
      </w:r>
    </w:p>
    <w:tbl>
      <w:tblPr>
        <w:tblW w:type="auto" w:w="0"/>
        <w:tblLayout w:type="fixed"/>
        <w:tblLook w:firstColumn="1" w:firstRow="1" w:lastColumn="0" w:lastRow="0" w:noHBand="0" w:noVBand="1" w:val="04A0"/>
        <w:tblBorders>
          <w:top w:val="single" w:sz="4" w:space="0" w:color="D6DEEC"/>
          <w:left w:val="single" w:sz="4" w:space="0" w:color="D6DEEC"/>
          <w:bottom w:val="single" w:sz="4" w:space="0" w:color="D6DEEC"/>
          <w:right w:val="single" w:sz="4" w:space="0" w:color="D6DEEC"/>
          <w:insideH w:val="single" w:sz="4" w:space="0" w:color="D6DEEC"/>
          <w:insideV w:val="single" w:sz="4" w:space="0" w:color="D6DEEC"/>
        </w:tblBorders>
      </w:tblPr>
      <w:tblGrid>
        <w:gridCol w:w="2600"/>
        <w:gridCol w:w="6760"/>
      </w:tblGrid>
      <w:tr>
        <w:tc>
          <w:tcPr>
            <w:tcW w:type="dxa" w:w="2600"/>
            <w:shd w:val="clear" w:color="auto" w:fill="EEF2F8"/>
          </w:tcPr>
          <w:p>
            <w:r>
              <w:rPr>
                <w:b/>
                <w:color w:val="1F3864"/>
                <w:sz w:val="20"/>
              </w:rPr>
              <w:t>Document owner</w:t>
            </w:r>
          </w:p>
        </w:tc>
        <w:tc>
          <w:tcPr>
            <w:tcW w:type="dxa" w:w="6760"/>
          </w:tcPr>
          <w:p>
            <w:r>
              <w:rPr>
                <w:color w:val="202020"/>
                <w:sz w:val="20"/>
              </w:rPr>
              <w:t>Connector platform team</w:t>
            </w:r>
          </w:p>
        </w:tc>
      </w:tr>
      <w:tr>
        <w:tc>
          <w:tcPr>
            <w:tcW w:type="dxa" w:w="2600"/>
            <w:shd w:val="clear" w:color="auto" w:fill="EEF2F8"/>
          </w:tcPr>
          <w:p>
            <w:r>
              <w:rPr>
                <w:b/>
                <w:color w:val="1F3864"/>
                <w:sz w:val="20"/>
              </w:rPr>
              <w:t>Prepared for</w:t>
            </w:r>
          </w:p>
        </w:tc>
        <w:tc>
          <w:tcPr>
            <w:tcW w:type="dxa" w:w="6760"/>
          </w:tcPr>
          <w:p>
            <w:r>
              <w:rPr>
                <w:color w:val="202020"/>
                <w:sz w:val="20"/>
              </w:rPr>
              <w:t>IT operations, monitoring &amp; support</w:t>
            </w:r>
          </w:p>
        </w:tc>
      </w:tr>
      <w:tr>
        <w:tc>
          <w:tcPr>
            <w:tcW w:type="dxa" w:w="2600"/>
            <w:shd w:val="clear" w:color="auto" w:fill="EEF2F8"/>
          </w:tcPr>
          <w:p>
            <w:r>
              <w:rPr>
                <w:b/>
                <w:color w:val="1F3864"/>
                <w:sz w:val="20"/>
              </w:rPr>
              <w:t>Version</w:t>
            </w:r>
          </w:p>
        </w:tc>
        <w:tc>
          <w:tcPr>
            <w:tcW w:type="dxa" w:w="6760"/>
          </w:tcPr>
          <w:p>
            <w:r>
              <w:rPr>
                <w:color w:val="202020"/>
                <w:sz w:val="20"/>
              </w:rPr>
              <w:t>1.0</w:t>
            </w:r>
          </w:p>
        </w:tc>
      </w:tr>
      <w:tr>
        <w:tc>
          <w:tcPr>
            <w:tcW w:type="dxa" w:w="2600"/>
            <w:shd w:val="clear" w:color="auto" w:fill="EEF2F8"/>
          </w:tcPr>
          <w:p>
            <w:r>
              <w:rPr>
                <w:b/>
                <w:color w:val="1F3864"/>
                <w:sz w:val="20"/>
              </w:rPr>
              <w:t>Date</w:t>
            </w:r>
          </w:p>
        </w:tc>
        <w:tc>
          <w:tcPr>
            <w:tcW w:type="dxa" w:w="6760"/>
          </w:tcPr>
          <w:p>
            <w:r>
              <w:rPr>
                <w:color w:val="202020"/>
                <w:sz w:val="20"/>
              </w:rPr>
              <w:t>18 July 2026</w:t>
            </w:r>
          </w:p>
        </w:tc>
      </w:tr>
      <w:tr>
        <w:tc>
          <w:tcPr>
            <w:tcW w:type="dxa" w:w="2600"/>
            <w:shd w:val="clear" w:color="auto" w:fill="EEF2F8"/>
          </w:tcPr>
          <w:p>
            <w:r>
              <w:rPr>
                <w:b/>
                <w:color w:val="1F3864"/>
                <w:sz w:val="20"/>
              </w:rPr>
              <w:t>Applies to</w:t>
            </w:r>
          </w:p>
        </w:tc>
        <w:tc>
          <w:tcPr>
            <w:tcW w:type="dxa" w:w="6760"/>
          </w:tcPr>
          <w:p>
            <w:r>
              <w:rPr>
                <w:color w:val="202020"/>
                <w:sz w:val="20"/>
              </w:rPr>
              <w:t>All five connectors (Salesforce, Clarizen, Seismic, Altrata, Hadoop BDH) — .NET 10</w:t>
            </w:r>
          </w:p>
        </w:tc>
      </w:tr>
      <w:tr>
        <w:tc>
          <w:tcPr>
            <w:tcW w:type="dxa" w:w="2600"/>
            <w:shd w:val="clear" w:color="auto" w:fill="EEF2F8"/>
          </w:tcPr>
          <w:p>
            <w:r>
              <w:rPr>
                <w:b/>
                <w:color w:val="1F3864"/>
                <w:sz w:val="20"/>
              </w:rPr>
              <w:t>Read this first</w:t>
            </w:r>
          </w:p>
        </w:tc>
        <w:tc>
          <w:tcPr>
            <w:tcW w:type="dxa" w:w="6760"/>
          </w:tcPr>
          <w:p>
            <w:r>
              <w:rPr>
                <w:color w:val="202020"/>
                <w:sz w:val="20"/>
              </w:rPr>
              <w:t>Then read the guide for the specific connector you are deploying</w:t>
            </w:r>
          </w:p>
        </w:tc>
      </w:tr>
    </w:tbl>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8A5200"/>
              </w:rPr>
              <w:t xml:space="preserve">Confidential — internal use. </w:t>
            </w:r>
            <w:r>
              <w:rPr>
                <w:color w:val="202020"/>
                <w:sz w:val="19"/>
              </w:rPr>
              <w:t>This document describes internal systems and their operation. Handle per your organisation's information-classification policy. Do not distribute outside the teams responsible for deploying, monitoring, or supporting this connector.</w:t>
            </w:r>
          </w:p>
        </w:tc>
      </w:tr>
    </w:tbl>
    <w:p>
      <w:pPr>
        <w:sectPr>
          <w:pgSz w:w="12240" w:h="15840"/>
          <w:pgMar w:top="1440" w:right="1440" w:bottom="1440" w:left="1440" w:header="720" w:footer="720" w:gutter="0"/>
          <w:cols w:space="720"/>
          <w:docGrid w:linePitch="360"/>
        </w:sectPr>
      </w:pPr>
    </w:p>
    <w:p>
      <w:pPr>
        <w:spacing w:after="120"/>
      </w:pPr>
      <w:r>
        <w:rPr>
          <w:b/>
          <w:color w:val="1F3864"/>
          <w:sz w:val="32"/>
        </w:rPr>
        <w:t>Contents</w:t>
      </w:r>
    </w:p>
    <w:p>
      <w:r>
        <w:rPr>
          <w:color w:val="595959"/>
        </w:rPr>
        <w:fldChar w:fldCharType="begin"/>
      </w:r>
      <w:r>
        <w:rPr>
          <w:color w:val="595959"/>
        </w:rPr>
        <w:instrText xml:space="preserve"> TOC \o "1-3" \h \z \u </w:instrText>
      </w:r>
      <w:r>
        <w:rPr>
          <w:color w:val="595959"/>
        </w:rPr>
        <w:fldChar w:fldCharType="separate"/>
      </w:r>
      <w:r>
        <w:rPr>
          <w:color w:val="595959"/>
        </w:rPr>
        <w:t>Right-click here and choose “Update Field” to build the table of contents.</w:t>
      </w:r>
      <w:r>
        <w:rPr>
          <w:color w:val="595959"/>
        </w:rPr>
        <w:fldChar w:fldCharType="end"/>
      </w:r>
    </w:p>
    <w:p>
      <w:r>
        <w:br w:type="page"/>
      </w:r>
    </w:p>
    <w:p>
      <w:pPr>
        <w:pStyle w:val="Heading1"/>
      </w:pPr>
      <w:r>
        <w:rPr>
          <w:color w:val="1F3864"/>
        </w:rPr>
        <w:t>1. About this guide</w:t>
      </w:r>
    </w:p>
    <w:p>
      <w:pPr>
        <w:spacing w:after="200"/>
      </w:pPr>
      <w:r>
        <w:rPr>
          <w:color w:val="595959"/>
          <w:sz w:val="23"/>
        </w:rPr>
        <w:t>This is the shared reference for a suite of five Microsoft 365 Copilot connectors. It explains — once, in plain language — every concept the five connectors have in common, so the per-connector guides can stay short and point back here.</w:t>
      </w:r>
    </w:p>
    <w:p>
      <w:pPr>
        <w:spacing w:after="120"/>
      </w:pPr>
      <w:r>
        <w:rPr>
          <w:color w:val="202020"/>
        </w:rPr>
        <w:t xml:space="preserve">You are reading this because you will </w:t>
      </w:r>
      <w:r>
        <w:rPr>
          <w:b/>
          <w:color w:val="202020"/>
        </w:rPr>
        <w:t>set up, monitor, troubleshoot or support</w:t>
      </w:r>
      <w:r>
        <w:rPr>
          <w:color w:val="202020"/>
        </w:rPr>
        <w:t xml:space="preserve"> one or more of these connectors. The guide assumes you are comfortable with Windows Server, services and general IT operations, but it does </w:t>
      </w:r>
      <w:r>
        <w:rPr>
          <w:b/>
          <w:color w:val="202020"/>
        </w:rPr>
        <w:t>not</w:t>
      </w:r>
      <w:r>
        <w:rPr>
          <w:color w:val="202020"/>
        </w:rPr>
        <w:t xml:space="preserve"> assume you already know Microsoft Graph, OAuth, Entra ID or Copilot. Every such term is explained the first time it appears, and again in more depth in the master glossary (section 13).</w:t>
      </w:r>
    </w:p>
    <w:p>
      <w:pPr>
        <w:pStyle w:val="Heading2"/>
      </w:pPr>
      <w:r>
        <w:rPr>
          <w:color w:val="2E5496"/>
        </w:rPr>
        <w:t>1.1 What this guide is (and is not)</w:t>
      </w:r>
    </w:p>
    <w:p>
      <w:pPr>
        <w:pStyle w:val="ListBullet"/>
        <w:spacing w:after="40"/>
      </w:pPr>
      <w:r>
        <w:rPr>
          <w:color w:val="202020"/>
        </w:rPr>
        <w:t xml:space="preserve">It </w:t>
      </w:r>
      <w:r>
        <w:rPr>
          <w:b/>
          <w:color w:val="202020"/>
        </w:rPr>
        <w:t>is</w:t>
      </w:r>
      <w:r>
        <w:rPr>
          <w:color w:val="202020"/>
        </w:rPr>
        <w:t xml:space="preserve"> the shared spine for the whole connector fleet. It covers:</w:t>
      </w:r>
    </w:p>
    <w:p>
      <w:pPr>
        <w:pStyle w:val="ListBullet2"/>
        <w:spacing w:after="40"/>
      </w:pPr>
      <w:r>
        <w:rPr>
          <w:color w:val="202020"/>
        </w:rPr>
        <w:t>the concepts (what Copilot, Graph, external connections, ACLs and identity are);</w:t>
      </w:r>
    </w:p>
    <w:p>
      <w:pPr>
        <w:pStyle w:val="ListBullet2"/>
        <w:spacing w:after="40"/>
      </w:pPr>
      <w:r>
        <w:rPr>
          <w:color w:val="202020"/>
        </w:rPr>
        <w:t>the shared engine every connector runs (the chassis — crawls, retries, sharding, HA, health/metrics);</w:t>
      </w:r>
    </w:p>
    <w:p>
      <w:pPr>
        <w:pStyle w:val="ListBullet2"/>
        <w:spacing w:after="40"/>
      </w:pPr>
      <w:r>
        <w:rPr>
          <w:color w:val="202020"/>
        </w:rPr>
        <w:t>the things that are shared across all five because they live in one Microsoft 365 tenant (quotas, capacity, app registrations, crawl scheduling);</w:t>
      </w:r>
    </w:p>
    <w:p>
      <w:pPr>
        <w:pStyle w:val="ListBullet2"/>
        <w:spacing w:after="40"/>
      </w:pPr>
      <w:r>
        <w:rPr>
          <w:color w:val="202020"/>
        </w:rPr>
        <w:t>the cross-cutting operational topics (security, deployment, monitoring, disaster recovery, roles).</w:t>
      </w:r>
    </w:p>
    <w:p>
      <w:pPr>
        <w:pStyle w:val="ListBullet"/>
        <w:spacing w:after="40"/>
      </w:pPr>
      <w:r>
        <w:rPr>
          <w:color w:val="202020"/>
        </w:rPr>
        <w:t xml:space="preserve">It is </w:t>
      </w:r>
      <w:r>
        <w:rPr>
          <w:b/>
          <w:color w:val="202020"/>
        </w:rPr>
        <w:t>not</w:t>
      </w:r>
      <w:r>
        <w:rPr>
          <w:color w:val="202020"/>
        </w:rPr>
        <w:t xml:space="preserve"> a substitute for the per-connector guide. Anything source-specific — which objects are indexed, the source-system credentials, source-specific filters, the exact metric prefix and item budget — lives in that connector's own guide.</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Numbers, environment-variable names, endpoints and metric names in this guide are read from the connectors' own files and are correct as of the version on the title page. Where a value differs per connector (for example the metric name prefix, or the item budget), this guide shows the shared pattern and the per-connector guide gives your exact value.</w:t>
            </w:r>
          </w:p>
        </w:tc>
      </w:tr>
    </w:tbl>
    <w:p>
      <w:pPr>
        <w:spacing w:after="40"/>
      </w:pPr>
    </w:p>
    <w:p>
      <w:pPr>
        <w:pStyle w:val="Heading2"/>
      </w:pPr>
      <w:r>
        <w:rPr>
          <w:color w:val="2E5496"/>
        </w:rPr>
        <w:t>1.2 The five connectors</w:t>
      </w:r>
    </w:p>
    <w:p>
      <w:pPr>
        <w:spacing w:after="120"/>
      </w:pPr>
      <w:r>
        <w:rPr>
          <w:color w:val="202020"/>
        </w:rPr>
        <w:t xml:space="preserve">All five are built on the </w:t>
      </w:r>
      <w:r>
        <w:rPr>
          <w:b/>
          <w:color w:val="202020"/>
        </w:rPr>
        <w:t>same</w:t>
      </w:r>
      <w:r>
        <w:rPr>
          <w:color w:val="202020"/>
        </w:rPr>
        <w:t xml:space="preserve"> C#/.NET 10 engine. Each is fully self-contained: it has its own solution, its own configuration, its own Windows service, its own Microsoft Graph connection(s) and its own copy of the shared engine. </w:t>
      </w:r>
      <w:r>
        <w:rPr>
          <w:b/>
          <w:color w:val="202020"/>
        </w:rPr>
        <w:t>Nothing is shared at runtime between connectors</w:t>
      </w:r>
      <w:r>
        <w:rPr>
          <w:color w:val="202020"/>
        </w:rPr>
        <w:t xml:space="preserve"> — they share only this tenant's Graph quotas (section 8) and the design described in this guide.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560"/>
        <w:gridCol w:w="2900"/>
        <w:gridCol w:w="4900"/>
      </w:tblGrid>
      <w:tr>
        <w:tc>
          <w:tcPr>
            <w:tcW w:type="dxa" w:w="1560"/>
            <w:shd w:val="clear" w:color="auto" w:fill="2E5496"/>
          </w:tcPr>
          <w:p>
            <w:r>
              <w:rPr>
                <w:b/>
                <w:color w:val="FFFFFF"/>
                <w:sz w:val="19"/>
              </w:rPr>
              <w:t>Connector</w:t>
            </w:r>
          </w:p>
        </w:tc>
        <w:tc>
          <w:tcPr>
            <w:tcW w:type="dxa" w:w="2900"/>
            <w:shd w:val="clear" w:color="auto" w:fill="2E5496"/>
          </w:tcPr>
          <w:p>
            <w:r>
              <w:rPr>
                <w:b/>
                <w:color w:val="FFFFFF"/>
                <w:sz w:val="19"/>
              </w:rPr>
              <w:t>Source system</w:t>
            </w:r>
          </w:p>
        </w:tc>
        <w:tc>
          <w:tcPr>
            <w:tcW w:type="dxa" w:w="4900"/>
            <w:shd w:val="clear" w:color="auto" w:fill="2E5496"/>
          </w:tcPr>
          <w:p>
            <w:r>
              <w:rPr>
                <w:b/>
                <w:color w:val="FFFFFF"/>
                <w:sz w:val="19"/>
              </w:rPr>
              <w:t>What it brings into Copilot</w:t>
            </w:r>
          </w:p>
        </w:tc>
      </w:tr>
      <w:tr>
        <w:tc>
          <w:tcPr>
            <w:tcW w:type="dxa" w:w="1560"/>
          </w:tcPr>
          <w:p>
            <w:r>
              <w:rPr>
                <w:color w:val="202020"/>
                <w:sz w:val="19"/>
              </w:rPr>
              <w:t>Salesforce</w:t>
            </w:r>
          </w:p>
        </w:tc>
        <w:tc>
          <w:tcPr>
            <w:tcW w:type="dxa" w:w="2900"/>
          </w:tcPr>
          <w:p>
            <w:r>
              <w:rPr>
                <w:color w:val="202020"/>
                <w:sz w:val="19"/>
              </w:rPr>
              <w:t>Salesforce CRM</w:t>
            </w:r>
          </w:p>
        </w:tc>
        <w:tc>
          <w:tcPr>
            <w:tcW w:type="dxa" w:w="4900"/>
          </w:tcPr>
          <w:p>
            <w:r>
              <w:rPr>
                <w:color w:val="202020"/>
                <w:sz w:val="19"/>
              </w:rPr>
              <w:t>Accounts, contacts, opportunities, cases and related records, with the Salesforce sharing model translated into item permissions</w:t>
            </w:r>
          </w:p>
        </w:tc>
      </w:tr>
      <w:tr>
        <w:tc>
          <w:tcPr>
            <w:tcW w:type="dxa" w:w="1560"/>
            <w:shd w:val="clear" w:color="auto" w:fill="F7F9FC"/>
          </w:tcPr>
          <w:p>
            <w:r>
              <w:rPr>
                <w:color w:val="202020"/>
                <w:sz w:val="19"/>
              </w:rPr>
              <w:t>Clarizen</w:t>
            </w:r>
          </w:p>
        </w:tc>
        <w:tc>
          <w:tcPr>
            <w:tcW w:type="dxa" w:w="2900"/>
            <w:shd w:val="clear" w:color="auto" w:fill="F7F9FC"/>
          </w:tcPr>
          <w:p>
            <w:r>
              <w:rPr>
                <w:color w:val="202020"/>
                <w:sz w:val="19"/>
              </w:rPr>
              <w:t>Planview AdaptiveWork (Clarizen)</w:t>
            </w:r>
          </w:p>
        </w:tc>
        <w:tc>
          <w:tcPr>
            <w:tcW w:type="dxa" w:w="4900"/>
            <w:shd w:val="clear" w:color="auto" w:fill="F7F9FC"/>
          </w:tcPr>
          <w:p>
            <w:r>
              <w:rPr>
                <w:color w:val="202020"/>
                <w:sz w:val="19"/>
              </w:rPr>
              <w:t>Projects, tasks and other work items; financial-field governance; optional change webhooks</w:t>
            </w:r>
          </w:p>
        </w:tc>
      </w:tr>
      <w:tr>
        <w:tc>
          <w:tcPr>
            <w:tcW w:type="dxa" w:w="1560"/>
          </w:tcPr>
          <w:p>
            <w:r>
              <w:rPr>
                <w:color w:val="202020"/>
                <w:sz w:val="19"/>
              </w:rPr>
              <w:t>Seismic</w:t>
            </w:r>
          </w:p>
        </w:tc>
        <w:tc>
          <w:tcPr>
            <w:tcW w:type="dxa" w:w="2900"/>
          </w:tcPr>
          <w:p>
            <w:r>
              <w:rPr>
                <w:color w:val="202020"/>
                <w:sz w:val="19"/>
              </w:rPr>
              <w:t>Seismic (sales enablement)</w:t>
            </w:r>
          </w:p>
        </w:tc>
        <w:tc>
          <w:tcPr>
            <w:tcW w:type="dxa" w:w="4900"/>
          </w:tcPr>
          <w:p>
            <w:r>
              <w:rPr>
                <w:color w:val="202020"/>
                <w:sz w:val="19"/>
              </w:rPr>
              <w:t>Content library items, version-aware, with a usage-based ranking signal</w:t>
            </w:r>
          </w:p>
        </w:tc>
      </w:tr>
      <w:tr>
        <w:tc>
          <w:tcPr>
            <w:tcW w:type="dxa" w:w="1560"/>
            <w:shd w:val="clear" w:color="auto" w:fill="F7F9FC"/>
          </w:tcPr>
          <w:p>
            <w:r>
              <w:rPr>
                <w:color w:val="202020"/>
                <w:sz w:val="19"/>
              </w:rPr>
              <w:t>Altrata</w:t>
            </w:r>
          </w:p>
        </w:tc>
        <w:tc>
          <w:tcPr>
            <w:tcW w:type="dxa" w:w="2900"/>
            <w:shd w:val="clear" w:color="auto" w:fill="F7F9FC"/>
          </w:tcPr>
          <w:p>
            <w:r>
              <w:rPr>
                <w:color w:val="202020"/>
                <w:sz w:val="19"/>
              </w:rPr>
              <w:t>Altrata (relationship &amp; wealth intelligence)</w:t>
            </w:r>
          </w:p>
        </w:tc>
        <w:tc>
          <w:tcPr>
            <w:tcW w:type="dxa" w:w="4900"/>
            <w:shd w:val="clear" w:color="auto" w:fill="F7F9FC"/>
          </w:tcPr>
          <w:p>
            <w:r>
              <w:rPr>
                <w:color w:val="202020"/>
                <w:sz w:val="19"/>
              </w:rPr>
              <w:t>Licensed relationship/wealth profiles, restricted to licensed seats</w:t>
            </w:r>
          </w:p>
        </w:tc>
      </w:tr>
      <w:tr>
        <w:tc>
          <w:tcPr>
            <w:tcW w:type="dxa" w:w="1560"/>
          </w:tcPr>
          <w:p>
            <w:r>
              <w:rPr>
                <w:color w:val="202020"/>
                <w:sz w:val="19"/>
              </w:rPr>
              <w:t>Hadoop BDH</w:t>
            </w:r>
          </w:p>
        </w:tc>
        <w:tc>
          <w:tcPr>
            <w:tcW w:type="dxa" w:w="2900"/>
          </w:tcPr>
          <w:p>
            <w:r>
              <w:rPr>
                <w:color w:val="202020"/>
                <w:sz w:val="19"/>
              </w:rPr>
              <w:t>BDH Hadoop data mart (nightly Salesforce mirror)</w:t>
            </w:r>
          </w:p>
        </w:tc>
        <w:tc>
          <w:tcPr>
            <w:tcW w:type="dxa" w:w="4900"/>
          </w:tcPr>
          <w:p>
            <w:r>
              <w:rPr>
                <w:color w:val="202020"/>
                <w:sz w:val="19"/>
              </w:rPr>
              <w:t>Very-large-scale records that must be filter-reduced before indexing; runs after the nightly mirror lands</w:t>
            </w:r>
          </w:p>
        </w:tc>
      </w:tr>
    </w:tbl>
    <w:p>
      <w:pPr>
        <w:spacing w:after="40"/>
      </w:pPr>
    </w:p>
    <w:p>
      <w:pPr>
        <w:pStyle w:val="Heading2"/>
      </w:pPr>
      <w:r>
        <w:rPr>
          <w:color w:val="2E5496"/>
        </w:rPr>
        <w:t>1.3 How to read it</w:t>
      </w:r>
    </w:p>
    <w:p>
      <w:pPr>
        <w:pStyle w:val="ListNumber"/>
        <w:spacing w:after="40"/>
      </w:pPr>
      <w:r>
        <w:rPr>
          <w:color w:val="202020"/>
        </w:rPr>
        <w:t>Read sections 2–5 once to understand the concepts. Skip them later; they do not change.</w:t>
      </w:r>
    </w:p>
    <w:p>
      <w:pPr>
        <w:pStyle w:val="ListNumber"/>
        <w:spacing w:after="40"/>
      </w:pPr>
      <w:r>
        <w:rPr>
          <w:color w:val="202020"/>
        </w:rPr>
        <w:t>Read section 6 (the chassis) and section 7 (security) before your first deployment — they explain the moving parts and the credentials you must obtain.</w:t>
      </w:r>
    </w:p>
    <w:p>
      <w:pPr>
        <w:pStyle w:val="ListNumber"/>
        <w:spacing w:after="40"/>
      </w:pPr>
      <w:r>
        <w:rPr>
          <w:color w:val="202020"/>
        </w:rPr>
        <w:t>Keep sections 8–12 open while you deploy, monitor and support. They are working reference: quota plan, deployment steps, monitoring signals, day-to-day operations and the intake checklist.</w:t>
      </w:r>
    </w:p>
    <w:p>
      <w:pPr>
        <w:pStyle w:val="ListNumber"/>
        <w:spacing w:after="40"/>
      </w:pPr>
      <w:r>
        <w:rPr>
          <w:color w:val="202020"/>
        </w:rPr>
        <w:t>Use section 13 (glossary) whenever a term is unfamiliar. Then open your specific connector's guide for the source-specific detail.</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Throughout the guide, a purple callout titled </w:t>
            </w:r>
            <w:r>
              <w:rPr>
                <w:b/>
                <w:color w:val="202020"/>
                <w:sz w:val="20"/>
              </w:rPr>
              <w:t>Information to request</w:t>
            </w:r>
            <w:r>
              <w:rPr>
                <w:color w:val="202020"/>
                <w:sz w:val="20"/>
              </w:rPr>
              <w:t xml:space="preserve"> names a value you cannot invent — it must come from another team — and says exactly who owns it. Collect these as you go; section 12 gathers them all into one intake checklist.</w:t>
            </w:r>
          </w:p>
        </w:tc>
      </w:tr>
    </w:tbl>
    <w:p>
      <w:pPr>
        <w:spacing w:after="40"/>
      </w:pPr>
    </w:p>
    <w:p>
      <w:r>
        <w:br w:type="page"/>
      </w:r>
    </w:p>
    <w:p>
      <w:pPr>
        <w:pStyle w:val="Heading1"/>
      </w:pPr>
      <w:r>
        <w:rPr>
          <w:color w:val="1F3864"/>
        </w:rPr>
        <w:t>2. Why Copilot connectors exist</w:t>
      </w:r>
    </w:p>
    <w:p>
      <w:pPr>
        <w:spacing w:after="200"/>
      </w:pPr>
      <w:r>
        <w:rPr>
          <w:color w:val="595959"/>
          <w:sz w:val="23"/>
        </w:rPr>
        <w:t>Microsoft 365 Copilot can only answer from data it can see. By default that is your Microsoft 365 data — email, Teams, SharePoint, OneDrive. It cannot see Salesforce, Clarizen, Seismic, Altrata or the Hadoop data mart. A connector is what makes that external data answerable — safely.</w:t>
      </w:r>
    </w:p>
    <w:p>
      <w:pPr>
        <w:pStyle w:val="Heading2"/>
      </w:pPr>
      <w:r>
        <w:rPr>
          <w:color w:val="2E5496"/>
        </w:rPr>
        <w:t>2.1 The business problem</w:t>
      </w:r>
    </w:p>
    <w:p>
      <w:pPr>
        <w:spacing w:after="120"/>
      </w:pPr>
      <w:r>
        <w:rPr>
          <w:color w:val="202020"/>
        </w:rPr>
        <w:t>In a large bank, the information a person needs to do their job is spread across many systems. A relationship manager's notes are in Salesforce; the project plan is in Clarizen; the approved pitch deck is in Seismic; the wealth profile is in Altrata. Copilot cannot reason over any of that unless it is brought into the index Copilot searches. Without connectors, staff copy-paste between systems, answers are incomplete, and Copilot looks like it "doesn't know" things the bank clearly knows.</w:t>
      </w:r>
    </w:p>
    <w:p>
      <w:pPr>
        <w:spacing w:after="120"/>
      </w:pPr>
      <w:r>
        <w:rPr>
          <w:color w:val="202020"/>
        </w:rPr>
        <w:t xml:space="preserve">A </w:t>
      </w:r>
      <w:r>
        <w:rPr>
          <w:b/>
          <w:color w:val="202020"/>
        </w:rPr>
        <w:t>Graph connector</w:t>
      </w:r>
      <w:r>
        <w:rPr>
          <w:color w:val="202020"/>
        </w:rPr>
        <w:t xml:space="preserve"> solves this by copying a searchable representation of each external record into Microsoft's search index, so Copilot can find it and cite it alongside Microsoft 365 content — as if it had always been there.</w:t>
      </w:r>
    </w:p>
    <w:p>
      <w:pPr>
        <w:pStyle w:val="Heading2"/>
      </w:pPr>
      <w:r>
        <w:rPr>
          <w:color w:val="2E5496"/>
        </w:rPr>
        <w:t>2.2 Why not just give Copilot a login to each system?</w:t>
      </w:r>
    </w:p>
    <w:p>
      <w:pPr>
        <w:spacing w:after="120"/>
      </w:pPr>
      <w:r>
        <w:rPr>
          <w:color w:val="202020"/>
        </w:rPr>
        <w:t xml:space="preserve">Two reasons. First, Copilot answers by searching an </w:t>
      </w:r>
      <w:r>
        <w:rPr>
          <w:b/>
          <w:color w:val="202020"/>
        </w:rPr>
        <w:t>index</w:t>
      </w:r>
      <w:r>
        <w:rPr>
          <w:color w:val="202020"/>
        </w:rPr>
        <w:t xml:space="preserve">, not by logging into live systems per question — indexing is what makes answers fast and rankable. Second, and more important for a bank: </w:t>
      </w:r>
      <w:r>
        <w:rPr>
          <w:b/>
          <w:color w:val="202020"/>
        </w:rPr>
        <w:t>security trimming</w:t>
      </w:r>
      <w:r>
        <w:rPr>
          <w:color w:val="202020"/>
        </w:rPr>
        <w:t>. Each record must be shown only to the people allowed to see it in the source system. A connector carries each record's permissions with it, so Copilot never reveals a record to someone who could not already open it in Salesforce, Clarizen, and so on. This is the single most important property of the whole design, and section 5 is devoted to it.</w:t>
      </w:r>
    </w:p>
    <w:p>
      <w:pPr>
        <w:pStyle w:val="Heading2"/>
      </w:pPr>
      <w:r>
        <w:rPr>
          <w:color w:val="2E5496"/>
        </w:rPr>
        <w:t>2.3 What a connector does, in one paragraph</w:t>
      </w:r>
    </w:p>
    <w:p>
      <w:pPr>
        <w:spacing w:after="120"/>
      </w:pPr>
      <w:r>
        <w:rPr>
          <w:color w:val="202020"/>
        </w:rPr>
        <w:t xml:space="preserve">A connector </w:t>
      </w:r>
      <w:r>
        <w:rPr>
          <w:b/>
          <w:color w:val="202020"/>
        </w:rPr>
        <w:t>reads</w:t>
      </w:r>
      <w:r>
        <w:rPr>
          <w:color w:val="202020"/>
        </w:rPr>
        <w:t xml:space="preserve"> records from a source system, </w:t>
      </w:r>
      <w:r>
        <w:rPr>
          <w:b/>
          <w:color w:val="202020"/>
        </w:rPr>
        <w:t>works out who is allowed to see each one</w:t>
      </w:r>
      <w:r>
        <w:rPr>
          <w:color w:val="202020"/>
        </w:rPr>
        <w:t xml:space="preserve">, </w:t>
      </w:r>
      <w:r>
        <w:rPr>
          <w:b/>
          <w:color w:val="202020"/>
        </w:rPr>
        <w:t>transforms</w:t>
      </w:r>
      <w:r>
        <w:rPr>
          <w:color w:val="202020"/>
        </w:rPr>
        <w:t xml:space="preserve"> each record into a small searchable item (a title, some typed fields, a text body and a permission list), and </w:t>
      </w:r>
      <w:r>
        <w:rPr>
          <w:b/>
          <w:color w:val="202020"/>
        </w:rPr>
        <w:t>pushes</w:t>
      </w:r>
      <w:r>
        <w:rPr>
          <w:color w:val="202020"/>
        </w:rPr>
        <w:t xml:space="preserve"> those items into a Microsoft Graph external connection — the container Copilot searches. It then keeps that container up to date on a schedule, removing items that were deleted at the source. Everything else in this guide is detail on how it does that reliably, securely and at a bank's scale.</w:t>
      </w: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 xml:space="preserve">A connector is </w:t>
            </w:r>
            <w:r>
              <w:rPr>
                <w:b/>
                <w:color w:val="202020"/>
                <w:sz w:val="20"/>
              </w:rPr>
              <w:t>read-only</w:t>
            </w:r>
            <w:r>
              <w:rPr>
                <w:color w:val="202020"/>
                <w:sz w:val="20"/>
              </w:rPr>
              <w:t xml:space="preserve"> toward Copilot's benefit: it never changes your source data. It reads from the source and writes only into its own Graph connection. It also only ever makes </w:t>
            </w:r>
            <w:r>
              <w:rPr>
                <w:b/>
                <w:color w:val="202020"/>
                <w:sz w:val="20"/>
              </w:rPr>
              <w:t>outbound</w:t>
            </w:r>
            <w:r>
              <w:rPr>
                <w:color w:val="202020"/>
                <w:sz w:val="20"/>
              </w:rPr>
              <w:t xml:space="preserve"> calls — it does not open any inbound network port except an optional, firewalled health/metrics endpoint (section 10).</w:t>
            </w:r>
          </w:p>
        </w:tc>
      </w:tr>
    </w:tbl>
    <w:p>
      <w:pPr>
        <w:spacing w:after="40"/>
      </w:pPr>
    </w:p>
    <w:p>
      <w:r>
        <w:br w:type="page"/>
      </w:r>
    </w:p>
    <w:p>
      <w:pPr>
        <w:pStyle w:val="Heading1"/>
      </w:pPr>
      <w:r>
        <w:rPr>
          <w:color w:val="1F3864"/>
        </w:rPr>
        <w:t>3. Microsoft 365 Copilot and the Copilot index</w:t>
      </w:r>
    </w:p>
    <w:p>
      <w:pPr>
        <w:spacing w:after="200"/>
      </w:pPr>
      <w:r>
        <w:rPr>
          <w:color w:val="595959"/>
          <w:sz w:val="23"/>
        </w:rPr>
        <w:t>To support a connector you need a working mental model of what Copilot is doing when it answers, and where your connector's data sits in that picture.</w:t>
      </w:r>
    </w:p>
    <w:p>
      <w:pPr>
        <w:pStyle w:val="Heading2"/>
      </w:pPr>
      <w:r>
        <w:rPr>
          <w:color w:val="2E5496"/>
        </w:rPr>
        <w:t>3.1 What Microsoft 365 Copilot is</w:t>
      </w:r>
    </w:p>
    <w:p>
      <w:pPr>
        <w:spacing w:after="120"/>
      </w:pPr>
      <w:r>
        <w:rPr>
          <w:b/>
          <w:color w:val="202020"/>
        </w:rPr>
        <w:t>Microsoft 365 Copilot</w:t>
      </w:r>
      <w:r>
        <w:rPr>
          <w:color w:val="202020"/>
        </w:rPr>
        <w:t xml:space="preserve"> is the AI assistant built into Microsoft 365. When a user asks a question, Copilot does not answer purely from the language model's memory. It first </w:t>
      </w:r>
      <w:r>
        <w:rPr>
          <w:b/>
          <w:color w:val="202020"/>
        </w:rPr>
        <w:t>searches</w:t>
      </w:r>
      <w:r>
        <w:rPr>
          <w:color w:val="202020"/>
        </w:rPr>
        <w:t xml:space="preserve"> the organisation's index for relevant content the user is allowed to see, then feeds that content to the model as evidence. This step — retrieving real, permitted content and answering from it — is called </w:t>
      </w:r>
      <w:r>
        <w:rPr>
          <w:b/>
          <w:color w:val="202020"/>
        </w:rPr>
        <w:t>grounding</w:t>
      </w:r>
      <w:r>
        <w:rPr>
          <w:color w:val="202020"/>
        </w:rPr>
        <w:t>.</w:t>
      </w:r>
    </w:p>
    <w:p>
      <w:pPr>
        <w:pStyle w:val="Heading2"/>
      </w:pPr>
      <w:r>
        <w:rPr>
          <w:color w:val="2E5496"/>
        </w:rPr>
        <w:t>3.2 Grounding and why connectors matter</w:t>
      </w:r>
    </w:p>
    <w:p>
      <w:pPr>
        <w:spacing w:after="120"/>
      </w:pPr>
      <w:r>
        <w:rPr>
          <w:color w:val="202020"/>
        </w:rPr>
        <w:t xml:space="preserve">Grounding is why Copilot's answers can cite specific documents and records instead of making things up. But Copilot can only ground on content that is </w:t>
      </w:r>
      <w:r>
        <w:rPr>
          <w:b/>
          <w:color w:val="202020"/>
        </w:rPr>
        <w:t>in the index</w:t>
      </w:r>
      <w:r>
        <w:rPr>
          <w:color w:val="202020"/>
        </w:rPr>
        <w:t>. Your connector's whole job is to put external records into that index so Copilot can ground on them. A record that is not indexed simply does not exist as far as Copilot is concerned.</w:t>
      </w:r>
    </w:p>
    <w:p>
      <w:pPr>
        <w:pStyle w:val="Heading2"/>
      </w:pPr>
      <w:r>
        <w:rPr>
          <w:color w:val="2E5496"/>
        </w:rPr>
        <w:t>3.3 The semantic index and the search index</w:t>
      </w:r>
    </w:p>
    <w:p>
      <w:pPr>
        <w:spacing w:after="120"/>
      </w:pPr>
      <w:r>
        <w:rPr>
          <w:color w:val="202020"/>
        </w:rPr>
        <w:t xml:space="preserve">Microsoft maintains two related things. The </w:t>
      </w:r>
      <w:r>
        <w:rPr>
          <w:b/>
          <w:color w:val="202020"/>
        </w:rPr>
        <w:t>search index</w:t>
      </w:r>
      <w:r>
        <w:rPr>
          <w:color w:val="202020"/>
        </w:rPr>
        <w:t xml:space="preserve"> is the classic keyword/metadata index behind Microsoft Search. The </w:t>
      </w:r>
      <w:r>
        <w:rPr>
          <w:b/>
          <w:color w:val="202020"/>
        </w:rPr>
        <w:t>semantic index</w:t>
      </w:r>
      <w:r>
        <w:rPr>
          <w:color w:val="202020"/>
        </w:rPr>
        <w:t xml:space="preserve"> additionally understands meaning, so a question phrased differently from the source text can still match. External items your connector ingests become part of this index and are eligible for both keyword and semantic matching, and for Copilot grounding, exactly like native Microsoft 365 content.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200"/>
        <w:gridCol w:w="3680"/>
        <w:gridCol w:w="3480"/>
      </w:tblGrid>
      <w:tr>
        <w:tc>
          <w:tcPr>
            <w:tcW w:type="dxa" w:w="2200"/>
            <w:shd w:val="clear" w:color="auto" w:fill="2E5496"/>
          </w:tcPr>
          <w:p>
            <w:r>
              <w:rPr>
                <w:b/>
                <w:color w:val="FFFFFF"/>
                <w:sz w:val="19"/>
              </w:rPr>
              <w:t>Term</w:t>
            </w:r>
          </w:p>
        </w:tc>
        <w:tc>
          <w:tcPr>
            <w:tcW w:type="dxa" w:w="3680"/>
            <w:shd w:val="clear" w:color="auto" w:fill="2E5496"/>
          </w:tcPr>
          <w:p>
            <w:r>
              <w:rPr>
                <w:b/>
                <w:color w:val="FFFFFF"/>
                <w:sz w:val="19"/>
              </w:rPr>
              <w:t>Plain meaning</w:t>
            </w:r>
          </w:p>
        </w:tc>
        <w:tc>
          <w:tcPr>
            <w:tcW w:type="dxa" w:w="3480"/>
            <w:shd w:val="clear" w:color="auto" w:fill="2E5496"/>
          </w:tcPr>
          <w:p>
            <w:r>
              <w:rPr>
                <w:b/>
                <w:color w:val="FFFFFF"/>
                <w:sz w:val="19"/>
              </w:rPr>
              <w:t>Where your connector fits</w:t>
            </w:r>
          </w:p>
        </w:tc>
      </w:tr>
      <w:tr>
        <w:tc>
          <w:tcPr>
            <w:tcW w:type="dxa" w:w="2200"/>
          </w:tcPr>
          <w:p>
            <w:r>
              <w:rPr>
                <w:color w:val="202020"/>
                <w:sz w:val="19"/>
              </w:rPr>
              <w:t>Index vs. live system</w:t>
            </w:r>
          </w:p>
        </w:tc>
        <w:tc>
          <w:tcPr>
            <w:tcW w:type="dxa" w:w="3680"/>
          </w:tcPr>
          <w:p>
            <w:r>
              <w:rPr>
                <w:color w:val="202020"/>
                <w:sz w:val="19"/>
              </w:rPr>
              <w:t>Copilot searches a stored, pre-processed copy — not the source system live</w:t>
            </w:r>
          </w:p>
        </w:tc>
        <w:tc>
          <w:tcPr>
            <w:tcW w:type="dxa" w:w="3480"/>
          </w:tcPr>
          <w:p>
            <w:r>
              <w:rPr>
                <w:color w:val="202020"/>
                <w:sz w:val="19"/>
              </w:rPr>
              <w:t>Your connector is what keeps that stored copy current</w:t>
            </w:r>
          </w:p>
        </w:tc>
      </w:tr>
      <w:tr>
        <w:tc>
          <w:tcPr>
            <w:tcW w:type="dxa" w:w="2200"/>
            <w:shd w:val="clear" w:color="auto" w:fill="F7F9FC"/>
          </w:tcPr>
          <w:p>
            <w:r>
              <w:rPr>
                <w:color w:val="202020"/>
                <w:sz w:val="19"/>
              </w:rPr>
              <w:t>Search index</w:t>
            </w:r>
          </w:p>
        </w:tc>
        <w:tc>
          <w:tcPr>
            <w:tcW w:type="dxa" w:w="3680"/>
            <w:shd w:val="clear" w:color="auto" w:fill="F7F9FC"/>
          </w:tcPr>
          <w:p>
            <w:r>
              <w:rPr>
                <w:color w:val="202020"/>
                <w:sz w:val="19"/>
              </w:rPr>
              <w:t>Keyword/metadata matching (Microsoft Search)</w:t>
            </w:r>
          </w:p>
        </w:tc>
        <w:tc>
          <w:tcPr>
            <w:tcW w:type="dxa" w:w="3480"/>
            <w:shd w:val="clear" w:color="auto" w:fill="F7F9FC"/>
          </w:tcPr>
          <w:p>
            <w:r>
              <w:rPr>
                <w:color w:val="202020"/>
                <w:sz w:val="19"/>
              </w:rPr>
              <w:t>External items are searchable here immediately after ingest + provisioning</w:t>
            </w:r>
          </w:p>
        </w:tc>
      </w:tr>
      <w:tr>
        <w:tc>
          <w:tcPr>
            <w:tcW w:type="dxa" w:w="2200"/>
          </w:tcPr>
          <w:p>
            <w:r>
              <w:rPr>
                <w:color w:val="202020"/>
                <w:sz w:val="19"/>
              </w:rPr>
              <w:t>Semantic index</w:t>
            </w:r>
          </w:p>
        </w:tc>
        <w:tc>
          <w:tcPr>
            <w:tcW w:type="dxa" w:w="3680"/>
          </w:tcPr>
          <w:p>
            <w:r>
              <w:rPr>
                <w:color w:val="202020"/>
                <w:sz w:val="19"/>
              </w:rPr>
              <w:t>Meaning-based matching for Copilot grounding</w:t>
            </w:r>
          </w:p>
        </w:tc>
        <w:tc>
          <w:tcPr>
            <w:tcW w:type="dxa" w:w="3480"/>
          </w:tcPr>
          <w:p>
            <w:r>
              <w:rPr>
                <w:color w:val="202020"/>
                <w:sz w:val="19"/>
              </w:rPr>
              <w:t>The same external items become grounding evidence</w:t>
            </w:r>
          </w:p>
        </w:tc>
      </w:tr>
      <w:tr>
        <w:tc>
          <w:tcPr>
            <w:tcW w:type="dxa" w:w="2200"/>
            <w:shd w:val="clear" w:color="auto" w:fill="F7F9FC"/>
          </w:tcPr>
          <w:p>
            <w:r>
              <w:rPr>
                <w:color w:val="202020"/>
                <w:sz w:val="19"/>
              </w:rPr>
              <w:t>Grounding</w:t>
            </w:r>
          </w:p>
        </w:tc>
        <w:tc>
          <w:tcPr>
            <w:tcW w:type="dxa" w:w="3680"/>
            <w:shd w:val="clear" w:color="auto" w:fill="F7F9FC"/>
          </w:tcPr>
          <w:p>
            <w:r>
              <w:rPr>
                <w:color w:val="202020"/>
                <w:sz w:val="19"/>
              </w:rPr>
              <w:t>Answering from retrieved, permitted content</w:t>
            </w:r>
          </w:p>
        </w:tc>
        <w:tc>
          <w:tcPr>
            <w:tcW w:type="dxa" w:w="3480"/>
            <w:shd w:val="clear" w:color="auto" w:fill="F7F9FC"/>
          </w:tcPr>
          <w:p>
            <w:r>
              <w:rPr>
                <w:color w:val="202020"/>
                <w:sz w:val="19"/>
              </w:rPr>
              <w:t>Trimmed by each item's permission list (section 5)</w:t>
            </w:r>
          </w:p>
        </w:tc>
      </w:tr>
    </w:tbl>
    <w:p>
      <w:pPr>
        <w:spacing w:after="40"/>
      </w:pPr>
    </w:p>
    <w:p>
      <w:pPr>
        <w:pStyle w:val="Heading2"/>
      </w:pPr>
      <w:r>
        <w:rPr>
          <w:color w:val="2E5496"/>
        </w:rPr>
        <w:t>3.4 How an external record becomes answerable</w:t>
      </w:r>
    </w:p>
    <w:p>
      <w:pPr>
        <w:pStyle w:val="ListNumber"/>
        <w:spacing w:after="40"/>
      </w:pPr>
      <w:r>
        <w:rPr>
          <w:color w:val="202020"/>
        </w:rPr>
        <w:t xml:space="preserve">Your connector creates an </w:t>
      </w:r>
      <w:r>
        <w:rPr>
          <w:b/>
          <w:color w:val="202020"/>
        </w:rPr>
        <w:t>external connection</w:t>
      </w:r>
      <w:r>
        <w:rPr>
          <w:color w:val="202020"/>
        </w:rPr>
        <w:t xml:space="preserve"> (a labelled container) in the tenant and registers its </w:t>
      </w:r>
      <w:r>
        <w:rPr>
          <w:b/>
          <w:color w:val="202020"/>
        </w:rPr>
        <w:t>schema</w:t>
      </w:r>
      <w:r>
        <w:rPr>
          <w:color w:val="202020"/>
        </w:rPr>
        <w:t xml:space="preserve"> (the shape of the data). Done once.</w:t>
      </w:r>
    </w:p>
    <w:p>
      <w:pPr>
        <w:pStyle w:val="ListNumber"/>
        <w:spacing w:after="40"/>
      </w:pPr>
      <w:r>
        <w:rPr>
          <w:color w:val="202020"/>
        </w:rPr>
        <w:t xml:space="preserve">It reads records from the source, resolves each record's permissions, and pushes each one as an </w:t>
      </w:r>
      <w:r>
        <w:rPr>
          <w:b/>
          <w:color w:val="202020"/>
        </w:rPr>
        <w:t>external item</w:t>
      </w:r>
      <w:r>
        <w:rPr>
          <w:color w:val="202020"/>
        </w:rPr>
        <w:t xml:space="preserve"> into that connection.</w:t>
      </w:r>
    </w:p>
    <w:p>
      <w:pPr>
        <w:pStyle w:val="ListNumber"/>
        <w:spacing w:after="40"/>
      </w:pPr>
      <w:r>
        <w:rPr>
          <w:color w:val="202020"/>
        </w:rPr>
        <w:t>Microsoft indexes the items (this is asynchronous — a freshly-pushed item is searchable within a short time, not the same millisecond).</w:t>
      </w:r>
    </w:p>
    <w:p>
      <w:pPr>
        <w:pStyle w:val="ListNumber"/>
        <w:spacing w:after="40"/>
      </w:pPr>
      <w:r>
        <w:rPr>
          <w:color w:val="202020"/>
        </w:rPr>
        <w:t>A user asks Copilot a question; Copilot searches the index, keeps only items the user is permitted to see, and grounds its answer on them — citing your external items where relevant.</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Indexing is </w:t>
            </w:r>
            <w:r>
              <w:rPr>
                <w:b/>
                <w:color w:val="202020"/>
                <w:sz w:val="20"/>
              </w:rPr>
              <w:t>eventually consistent</w:t>
            </w:r>
            <w:r>
              <w:rPr>
                <w:color w:val="202020"/>
                <w:sz w:val="20"/>
              </w:rPr>
              <w:t>: after your connector reports an item ingested, there is a short, Microsoft-side delay before it appears in search results. "Ingested" (your connector's job is done) and "searchable" (Microsoft has finished indexing) are not the same instant. This matters when you verify a deployment — allow time before concluding an item is missing.</w:t>
            </w:r>
          </w:p>
        </w:tc>
      </w:tr>
    </w:tbl>
    <w:p>
      <w:pPr>
        <w:spacing w:after="40"/>
      </w:pPr>
    </w:p>
    <w:p>
      <w:r>
        <w:br w:type="page"/>
      </w:r>
    </w:p>
    <w:p>
      <w:pPr>
        <w:pStyle w:val="Heading1"/>
      </w:pPr>
      <w:r>
        <w:rPr>
          <w:color w:val="1F3864"/>
        </w:rPr>
        <w:t>4. Microsoft Graph, external connections and external items</w:t>
      </w:r>
    </w:p>
    <w:p>
      <w:pPr>
        <w:spacing w:after="200"/>
      </w:pPr>
      <w:r>
        <w:rPr>
          <w:color w:val="595959"/>
          <w:sz w:val="23"/>
        </w:rPr>
        <w:t>This section defines the four objects every connector works with on the Microsoft side: the Graph API, the external connection, its schema, and the external item. Get these four straight and the rest of the guide reads easily.</w:t>
      </w:r>
    </w:p>
    <w:p>
      <w:pPr>
        <w:pStyle w:val="Heading2"/>
      </w:pPr>
      <w:r>
        <w:rPr>
          <w:color w:val="2E5496"/>
        </w:rPr>
        <w:t>4.1 Microsoft Graph — the API</w:t>
      </w:r>
    </w:p>
    <w:p>
      <w:pPr>
        <w:spacing w:after="120"/>
      </w:pPr>
      <w:r>
        <w:rPr>
          <w:b/>
          <w:color w:val="202020"/>
        </w:rPr>
        <w:t>Microsoft Graph</w:t>
      </w:r>
      <w:r>
        <w:rPr>
          <w:color w:val="202020"/>
        </w:rPr>
        <w:t xml:space="preserve"> is the single web API (HTTPS REST) through which programs talk to Microsoft 365. Your connector uses the Graph </w:t>
      </w:r>
      <w:r>
        <w:rPr>
          <w:b/>
          <w:color w:val="202020"/>
        </w:rPr>
        <w:t>connectors</w:t>
      </w:r>
      <w:r>
        <w:rPr>
          <w:color w:val="202020"/>
        </w:rPr>
        <w:t xml:space="preserve"> endpoints to create its connection, register its schema, and push items. The base address is </w:t>
      </w:r>
      <w:r>
        <w:rPr>
          <w:rFonts w:ascii="Consolas" w:hAnsi="Consolas"/>
          <w:color w:val="202020"/>
          <w:sz w:val="19"/>
        </w:rPr>
        <w:t>https://graph.microsoft.com</w:t>
      </w:r>
      <w:r>
        <w:rPr>
          <w:color w:val="202020"/>
        </w:rPr>
        <w:t xml:space="preserve"> for the commercial cloud; sovereign clouds use a different base URL, set with </w:t>
      </w:r>
      <w:r>
        <w:rPr>
          <w:rFonts w:ascii="Consolas" w:hAnsi="Consolas"/>
          <w:color w:val="202020"/>
          <w:sz w:val="19"/>
        </w:rPr>
        <w:t>GRAPH_BASE_URL</w:t>
      </w:r>
      <w:r>
        <w:rPr>
          <w:color w:val="202020"/>
        </w:rPr>
        <w:t xml:space="preserve"> (for example </w:t>
      </w:r>
      <w:r>
        <w:rPr>
          <w:rFonts w:ascii="Consolas" w:hAnsi="Consolas"/>
          <w:color w:val="202020"/>
          <w:sz w:val="19"/>
        </w:rPr>
        <w:t>https://graph.microsoft.us</w:t>
      </w:r>
      <w:r>
        <w:rPr>
          <w:color w:val="202020"/>
        </w:rPr>
        <w:t xml:space="preserve"> for US Government). Every call is authenticated with an access token (section 7) and every call is subject to throttling (section 8).</w:t>
      </w:r>
    </w:p>
    <w:p>
      <w:pPr>
        <w:pStyle w:val="Heading2"/>
      </w:pPr>
      <w:r>
        <w:rPr>
          <w:color w:val="2E5496"/>
        </w:rPr>
        <w:t>4.2 The external connection — the container</w:t>
      </w:r>
    </w:p>
    <w:p>
      <w:pPr>
        <w:spacing w:after="120"/>
      </w:pPr>
      <w:r>
        <w:rPr>
          <w:color w:val="202020"/>
        </w:rPr>
        <w:t xml:space="preserve">An </w:t>
      </w:r>
      <w:r>
        <w:rPr>
          <w:b/>
          <w:color w:val="202020"/>
        </w:rPr>
        <w:t>external connection</w:t>
      </w:r>
      <w:r>
        <w:rPr>
          <w:color w:val="202020"/>
        </w:rPr>
        <w:t xml:space="preserve"> is the named container that holds your connector's items in the tenant. It appears in the Microsoft 365 admin center as a connection you can see and manage. Each connection has a stable id set by </w:t>
      </w:r>
      <w:r>
        <w:rPr>
          <w:rFonts w:ascii="Consolas" w:hAnsi="Consolas"/>
          <w:color w:val="202020"/>
          <w:sz w:val="19"/>
        </w:rPr>
        <w:t>CONNECTOR_ID</w:t>
      </w:r>
      <w:r>
        <w:rPr>
          <w:color w:val="202020"/>
        </w:rPr>
        <w:t xml:space="preserve"> (3–32 characters, alphanumeric only, and it must not start with a reserved Microsoft prefix such as </w:t>
      </w:r>
      <w:r>
        <w:rPr>
          <w:rFonts w:ascii="Consolas" w:hAnsi="Consolas"/>
          <w:color w:val="202020"/>
          <w:sz w:val="19"/>
        </w:rPr>
        <w:t>SharePoint</w:t>
      </w:r>
      <w:r>
        <w:rPr>
          <w:color w:val="202020"/>
        </w:rPr>
        <w:t xml:space="preserve">, </w:t>
      </w:r>
      <w:r>
        <w:rPr>
          <w:rFonts w:ascii="Consolas" w:hAnsi="Consolas"/>
          <w:color w:val="202020"/>
          <w:sz w:val="19"/>
        </w:rPr>
        <w:t>Teams</w:t>
      </w:r>
      <w:r>
        <w:rPr>
          <w:color w:val="202020"/>
        </w:rPr>
        <w:t xml:space="preserve"> or </w:t>
      </w:r>
      <w:r>
        <w:rPr>
          <w:rFonts w:ascii="Consolas" w:hAnsi="Consolas"/>
          <w:color w:val="202020"/>
          <w:sz w:val="19"/>
        </w:rPr>
        <w:t>Exchange</w:t>
      </w:r>
      <w:r>
        <w:rPr>
          <w:color w:val="202020"/>
        </w:rPr>
        <w:t xml:space="preserve">). A connector may run </w:t>
      </w:r>
      <w:r>
        <w:rPr>
          <w:b/>
          <w:color w:val="202020"/>
        </w:rPr>
        <w:t>more than one</w:t>
      </w:r>
      <w:r>
        <w:rPr>
          <w:color w:val="202020"/>
        </w:rPr>
        <w:t xml:space="preserve"> connection when it is sharded for throughput (section 6.9) — each shard is a separate connection in the admin center.</w:t>
      </w:r>
    </w:p>
    <w:p>
      <w:pPr>
        <w:spacing w:after="120"/>
      </w:pPr>
      <w:r>
        <w:rPr>
          <w:color w:val="202020"/>
        </w:rPr>
        <w:t>Creating the connection is a one-time setup step (</w:t>
      </w:r>
      <w:r>
        <w:rPr>
          <w:rFonts w:ascii="Consolas" w:hAnsi="Consolas"/>
          <w:color w:val="202020"/>
          <w:sz w:val="19"/>
        </w:rPr>
        <w:t>setup-connection</w:t>
      </w:r>
      <w:r>
        <w:rPr>
          <w:color w:val="202020"/>
        </w:rPr>
        <w:t xml:space="preserve">, or the first </w:t>
      </w:r>
      <w:r>
        <w:rPr>
          <w:rFonts w:ascii="Consolas" w:hAnsi="Consolas"/>
          <w:color w:val="202020"/>
          <w:sz w:val="19"/>
        </w:rPr>
        <w:t>full-deployment</w:t>
      </w:r>
      <w:r>
        <w:rPr>
          <w:color w:val="202020"/>
        </w:rPr>
        <w:t xml:space="preserve">). The connector creates the connection, waits until Microsoft reports it </w:t>
      </w:r>
      <w:r>
        <w:rPr>
          <w:b/>
          <w:color w:val="202020"/>
        </w:rPr>
        <w:t>Ready</w:t>
      </w:r>
      <w:r>
        <w:rPr>
          <w:color w:val="202020"/>
        </w:rPr>
        <w:t>, registers the schema, and only then begins ingesting.</w:t>
      </w:r>
    </w:p>
    <w:p>
      <w:pPr>
        <w:pStyle w:val="Heading2"/>
      </w:pPr>
      <w:r>
        <w:rPr>
          <w:color w:val="2E5496"/>
        </w:rPr>
        <w:t>4.3 The schema — typed properties</w:t>
      </w:r>
    </w:p>
    <w:p>
      <w:pPr>
        <w:spacing w:after="120"/>
      </w:pPr>
      <w:r>
        <w:rPr>
          <w:color w:val="202020"/>
        </w:rPr>
        <w:t xml:space="preserve">The </w:t>
      </w:r>
      <w:r>
        <w:rPr>
          <w:b/>
          <w:color w:val="202020"/>
        </w:rPr>
        <w:t>schema</w:t>
      </w:r>
      <w:r>
        <w:rPr>
          <w:color w:val="202020"/>
        </w:rPr>
        <w:t xml:space="preserve"> declares the shape of every item in a connection: the list of </w:t>
      </w:r>
      <w:r>
        <w:rPr>
          <w:b/>
          <w:color w:val="202020"/>
        </w:rPr>
        <w:t>properties</w:t>
      </w:r>
      <w:r>
        <w:rPr>
          <w:color w:val="202020"/>
        </w:rPr>
        <w:t xml:space="preserve"> (fields), each with a type (string, number, date, and so on) and behaviour flags that tell Microsoft what to do with it:</w:t>
      </w:r>
    </w:p>
    <w:p>
      <w:pPr>
        <w:pStyle w:val="ListBullet"/>
        <w:spacing w:after="40"/>
      </w:pPr>
      <w:r>
        <w:rPr>
          <w:b/>
          <w:color w:val="202020"/>
        </w:rPr>
        <w:t>Searchable</w:t>
      </w:r>
      <w:r>
        <w:rPr>
          <w:color w:val="202020"/>
        </w:rPr>
        <w:t xml:space="preserve"> — the property's text is matched by full-text search.</w:t>
      </w:r>
    </w:p>
    <w:p>
      <w:pPr>
        <w:pStyle w:val="ListBullet"/>
        <w:spacing w:after="40"/>
      </w:pPr>
      <w:r>
        <w:rPr>
          <w:b/>
          <w:color w:val="202020"/>
        </w:rPr>
        <w:t>Queryable</w:t>
      </w:r>
      <w:r>
        <w:rPr>
          <w:color w:val="202020"/>
        </w:rPr>
        <w:t xml:space="preserve"> — the property can be filtered on in a query (for example, by status or date).</w:t>
      </w:r>
    </w:p>
    <w:p>
      <w:pPr>
        <w:pStyle w:val="ListBullet"/>
        <w:spacing w:after="40"/>
      </w:pPr>
      <w:r>
        <w:rPr>
          <w:b/>
          <w:color w:val="202020"/>
        </w:rPr>
        <w:t>Retrievable</w:t>
      </w:r>
      <w:r>
        <w:rPr>
          <w:color w:val="202020"/>
        </w:rPr>
        <w:t xml:space="preserve"> — the property's value can be returned and displayed in results.</w:t>
      </w:r>
    </w:p>
    <w:p>
      <w:pPr>
        <w:pStyle w:val="ListBullet"/>
        <w:spacing w:after="40"/>
      </w:pPr>
      <w:r>
        <w:rPr>
          <w:b/>
          <w:color w:val="202020"/>
        </w:rPr>
        <w:t>Refinable</w:t>
      </w:r>
      <w:r>
        <w:rPr>
          <w:color w:val="202020"/>
        </w:rPr>
        <w:t xml:space="preserve"> — the property can drive filters/facets in the results experience.</w:t>
      </w:r>
    </w:p>
    <w:p>
      <w:pPr>
        <w:spacing w:after="120"/>
      </w:pPr>
      <w:r>
        <w:rPr>
          <w:color w:val="202020"/>
        </w:rPr>
        <w:t xml:space="preserve">A connection may declare at most </w:t>
      </w:r>
      <w:r>
        <w:rPr>
          <w:b/>
          <w:color w:val="202020"/>
        </w:rPr>
        <w:t>128 properties</w:t>
      </w:r>
      <w:r>
        <w:rPr>
          <w:color w:val="202020"/>
        </w:rPr>
        <w:t xml:space="preserve"> (a hard Microsoft limit, section 8). Schema is provisioned </w:t>
      </w:r>
      <w:r>
        <w:rPr>
          <w:b/>
          <w:color w:val="202020"/>
        </w:rPr>
        <w:t>asynchronously</w:t>
      </w:r>
      <w:r>
        <w:rPr>
          <w:color w:val="202020"/>
        </w:rPr>
        <w:t xml:space="preserve"> and has important one-way constraints: refinable attributes cannot be added by a later update, and a schema </w:t>
      </w:r>
      <w:r>
        <w:rPr>
          <w:b/>
          <w:color w:val="202020"/>
        </w:rPr>
        <w:t>cannot be deleted</w:t>
      </w:r>
      <w:r>
        <w:rPr>
          <w:color w:val="202020"/>
        </w:rPr>
        <w:t>. Because of this, changing the schema is a deliberate, planned act — not a routine tweak.</w:t>
      </w:r>
    </w:p>
    <w:p>
      <w:pPr>
        <w:pStyle w:val="Heading2"/>
      </w:pPr>
      <w:r>
        <w:rPr>
          <w:color w:val="2E5496"/>
        </w:rPr>
        <w:t>4.4 The external item — one record, indexed</w:t>
      </w:r>
    </w:p>
    <w:p>
      <w:pPr>
        <w:spacing w:after="120"/>
      </w:pPr>
      <w:r>
        <w:rPr>
          <w:color w:val="202020"/>
        </w:rPr>
        <w:t xml:space="preserve">An </w:t>
      </w:r>
      <w:r>
        <w:rPr>
          <w:b/>
          <w:color w:val="202020"/>
        </w:rPr>
        <w:t>external item</w:t>
      </w:r>
      <w:r>
        <w:rPr>
          <w:color w:val="202020"/>
        </w:rPr>
        <w:t xml:space="preserve"> is one source record turned into the form Microsoft indexes. It has four parts:</w:t>
      </w:r>
    </w:p>
    <w:p>
      <w:pPr>
        <w:pStyle w:val="ListBullet"/>
        <w:spacing w:after="40"/>
      </w:pPr>
      <w:r>
        <w:rPr>
          <w:b/>
          <w:color w:val="202020"/>
        </w:rPr>
        <w:t>id</w:t>
      </w:r>
      <w:r>
        <w:rPr>
          <w:color w:val="202020"/>
        </w:rPr>
        <w:t xml:space="preserve"> — a stable, unique identifier within the connection (the connector derives it from the source record's id, so updates and deletes target the same item every time).</w:t>
      </w:r>
    </w:p>
    <w:p>
      <w:pPr>
        <w:pStyle w:val="ListBullet"/>
        <w:spacing w:after="40"/>
      </w:pPr>
      <w:r>
        <w:rPr>
          <w:b/>
          <w:color w:val="202020"/>
        </w:rPr>
        <w:t>properties</w:t>
      </w:r>
      <w:r>
        <w:rPr>
          <w:color w:val="202020"/>
        </w:rPr>
        <w:t xml:space="preserve"> — the typed fields declared by the schema (title, owner, status, dates, …).</w:t>
      </w:r>
    </w:p>
    <w:p>
      <w:pPr>
        <w:pStyle w:val="ListBullet"/>
        <w:spacing w:after="40"/>
      </w:pPr>
      <w:r>
        <w:rPr>
          <w:b/>
          <w:color w:val="202020"/>
        </w:rPr>
        <w:t>content</w:t>
      </w:r>
      <w:r>
        <w:rPr>
          <w:color w:val="202020"/>
        </w:rPr>
        <w:t xml:space="preserve"> — the free-text body that full-text and semantic search read.</w:t>
      </w:r>
    </w:p>
    <w:p>
      <w:pPr>
        <w:pStyle w:val="ListBullet"/>
        <w:spacing w:after="40"/>
      </w:pPr>
      <w:r>
        <w:rPr>
          <w:b/>
          <w:color w:val="202020"/>
        </w:rPr>
        <w:t>ACL</w:t>
      </w:r>
      <w:r>
        <w:rPr>
          <w:color w:val="202020"/>
        </w:rPr>
        <w:t xml:space="preserve"> — the access-control list: who may and may not see this item (section 5). This is what makes search results security-trimmed.</w:t>
      </w:r>
    </w:p>
    <w:p>
      <w:pPr>
        <w:pStyle w:val="Heading2"/>
      </w:pPr>
      <w:r>
        <w:rPr>
          <w:color w:val="2E5496"/>
        </w:rPr>
        <w:t>4.5 One source record becomes one external item</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600"/>
        <w:gridCol w:w="3560"/>
        <w:gridCol w:w="3200"/>
      </w:tblGrid>
      <w:tr>
        <w:tc>
          <w:tcPr>
            <w:tcW w:type="dxa" w:w="2600"/>
            <w:shd w:val="clear" w:color="auto" w:fill="2E5496"/>
          </w:tcPr>
          <w:p>
            <w:r>
              <w:rPr>
                <w:b/>
                <w:color w:val="FFFFFF"/>
                <w:sz w:val="19"/>
              </w:rPr>
              <w:t>Part of the external item</w:t>
            </w:r>
          </w:p>
        </w:tc>
        <w:tc>
          <w:tcPr>
            <w:tcW w:type="dxa" w:w="3560"/>
            <w:shd w:val="clear" w:color="auto" w:fill="2E5496"/>
          </w:tcPr>
          <w:p>
            <w:r>
              <w:rPr>
                <w:b/>
                <w:color w:val="FFFFFF"/>
                <w:sz w:val="19"/>
              </w:rPr>
              <w:t>Comes from</w:t>
            </w:r>
          </w:p>
        </w:tc>
        <w:tc>
          <w:tcPr>
            <w:tcW w:type="dxa" w:w="3200"/>
            <w:shd w:val="clear" w:color="auto" w:fill="2E5496"/>
          </w:tcPr>
          <w:p>
            <w:r>
              <w:rPr>
                <w:b/>
                <w:color w:val="FFFFFF"/>
                <w:sz w:val="19"/>
              </w:rPr>
              <w:t>Example (a Salesforce Account record)</w:t>
            </w:r>
          </w:p>
        </w:tc>
      </w:tr>
      <w:tr>
        <w:tc>
          <w:tcPr>
            <w:tcW w:type="dxa" w:w="2600"/>
          </w:tcPr>
          <w:p>
            <w:r>
              <w:rPr>
                <w:color w:val="202020"/>
                <w:sz w:val="19"/>
              </w:rPr>
              <w:t>id</w:t>
            </w:r>
          </w:p>
        </w:tc>
        <w:tc>
          <w:tcPr>
            <w:tcW w:type="dxa" w:w="3560"/>
          </w:tcPr>
          <w:p>
            <w:r>
              <w:rPr>
                <w:color w:val="202020"/>
                <w:sz w:val="19"/>
              </w:rPr>
              <w:t>The source record's stable id</w:t>
            </w:r>
          </w:p>
        </w:tc>
        <w:tc>
          <w:tcPr>
            <w:tcW w:type="dxa" w:w="3200"/>
          </w:tcPr>
          <w:p>
            <w:r>
              <w:rPr>
                <w:color w:val="202020"/>
                <w:sz w:val="19"/>
              </w:rPr>
              <w:t>The Salesforce record Id (15/18-char forms map to one item)</w:t>
            </w:r>
          </w:p>
        </w:tc>
      </w:tr>
      <w:tr>
        <w:tc>
          <w:tcPr>
            <w:tcW w:type="dxa" w:w="2600"/>
            <w:shd w:val="clear" w:color="auto" w:fill="F7F9FC"/>
          </w:tcPr>
          <w:p>
            <w:r>
              <w:rPr>
                <w:color w:val="202020"/>
                <w:sz w:val="19"/>
              </w:rPr>
              <w:t>properties</w:t>
            </w:r>
          </w:p>
        </w:tc>
        <w:tc>
          <w:tcPr>
            <w:tcW w:type="dxa" w:w="3560"/>
            <w:shd w:val="clear" w:color="auto" w:fill="F7F9FC"/>
          </w:tcPr>
          <w:p>
            <w:r>
              <w:rPr>
                <w:color w:val="202020"/>
                <w:sz w:val="19"/>
              </w:rPr>
              <w:t>Selected source fields, mapped to schema properties</w:t>
            </w:r>
          </w:p>
        </w:tc>
        <w:tc>
          <w:tcPr>
            <w:tcW w:type="dxa" w:w="3200"/>
            <w:shd w:val="clear" w:color="auto" w:fill="F7F9FC"/>
          </w:tcPr>
          <w:p>
            <w:r>
              <w:rPr>
                <w:color w:val="202020"/>
                <w:sz w:val="19"/>
              </w:rPr>
              <w:t>Name, Industry, Owner, LastModified, Type</w:t>
            </w:r>
          </w:p>
        </w:tc>
      </w:tr>
      <w:tr>
        <w:tc>
          <w:tcPr>
            <w:tcW w:type="dxa" w:w="2600"/>
          </w:tcPr>
          <w:p>
            <w:r>
              <w:rPr>
                <w:color w:val="202020"/>
                <w:sz w:val="19"/>
              </w:rPr>
              <w:t>content</w:t>
            </w:r>
          </w:p>
        </w:tc>
        <w:tc>
          <w:tcPr>
            <w:tcW w:type="dxa" w:w="3560"/>
          </w:tcPr>
          <w:p>
            <w:r>
              <w:rPr>
                <w:color w:val="202020"/>
                <w:sz w:val="19"/>
              </w:rPr>
              <w:t>A text rendering of the record for full-text/semantic search</w:t>
            </w:r>
          </w:p>
        </w:tc>
        <w:tc>
          <w:tcPr>
            <w:tcW w:type="dxa" w:w="3200"/>
          </w:tcPr>
          <w:p>
            <w:r>
              <w:rPr>
                <w:color w:val="202020"/>
                <w:sz w:val="19"/>
              </w:rPr>
              <w:t>The account name, description and key fields as searchable text</w:t>
            </w:r>
          </w:p>
        </w:tc>
      </w:tr>
      <w:tr>
        <w:tc>
          <w:tcPr>
            <w:tcW w:type="dxa" w:w="2600"/>
            <w:shd w:val="clear" w:color="auto" w:fill="F7F9FC"/>
          </w:tcPr>
          <w:p>
            <w:r>
              <w:rPr>
                <w:color w:val="202020"/>
                <w:sz w:val="19"/>
              </w:rPr>
              <w:t>ACL</w:t>
            </w:r>
          </w:p>
        </w:tc>
        <w:tc>
          <w:tcPr>
            <w:tcW w:type="dxa" w:w="3560"/>
            <w:shd w:val="clear" w:color="auto" w:fill="F7F9FC"/>
          </w:tcPr>
          <w:p>
            <w:r>
              <w:rPr>
                <w:color w:val="202020"/>
                <w:sz w:val="19"/>
              </w:rPr>
              <w:t>The source permission model, translated to Entra principals</w:t>
            </w:r>
          </w:p>
        </w:tc>
        <w:tc>
          <w:tcPr>
            <w:tcW w:type="dxa" w:w="3200"/>
            <w:shd w:val="clear" w:color="auto" w:fill="F7F9FC"/>
          </w:tcPr>
          <w:p>
            <w:r>
              <w:rPr>
                <w:color w:val="202020"/>
                <w:sz w:val="19"/>
              </w:rPr>
              <w:t>Grant: the owner, their role hierarchy, sharing rules, relevant groups</w:t>
            </w:r>
          </w:p>
        </w:tc>
      </w:tr>
    </w:tbl>
    <w:p>
      <w:pPr>
        <w:spacing w:after="40"/>
      </w:pPr>
    </w:p>
    <w:p>
      <w:pPr>
        <w:pStyle w:val="Heading2"/>
      </w:pPr>
      <w:r>
        <w:rPr>
          <w:color w:val="2E5496"/>
        </w:rPr>
        <w:t>4.6 Pushing items efficiently — $batch</w:t>
      </w:r>
    </w:p>
    <w:p>
      <w:pPr>
        <w:spacing w:after="120"/>
      </w:pPr>
      <w:r>
        <w:rPr>
          <w:color w:val="202020"/>
        </w:rPr>
        <w:t xml:space="preserve">Pushing items one HTTP call at a time would be slow, so the connector uses Graph's </w:t>
      </w:r>
      <w:r>
        <w:rPr>
          <w:b/>
          <w:color w:val="202020"/>
        </w:rPr>
        <w:t>$batch</w:t>
      </w:r>
      <w:r>
        <w:rPr>
          <w:color w:val="202020"/>
        </w:rPr>
        <w:t xml:space="preserve"> endpoint, which carries several sub-requests in one call. Graph caps a </w:t>
      </w:r>
      <w:r>
        <w:rPr>
          <w:rFonts w:ascii="Consolas" w:hAnsi="Consolas"/>
          <w:color w:val="202020"/>
          <w:sz w:val="19"/>
        </w:rPr>
        <w:t>$batch</w:t>
      </w:r>
      <w:r>
        <w:rPr>
          <w:color w:val="202020"/>
        </w:rPr>
        <w:t xml:space="preserve"> at </w:t>
      </w:r>
      <w:r>
        <w:rPr>
          <w:b/>
          <w:color w:val="202020"/>
        </w:rPr>
        <w:t>20 sub-requests</w:t>
      </w:r>
      <w:r>
        <w:rPr>
          <w:color w:val="202020"/>
        </w:rPr>
        <w:t xml:space="preserve">, and — importantly — each sub-request still counts individually against throttling limits. So </w:t>
      </w:r>
      <w:r>
        <w:rPr>
          <w:rFonts w:ascii="Consolas" w:hAnsi="Consolas"/>
          <w:color w:val="202020"/>
          <w:sz w:val="19"/>
        </w:rPr>
        <w:t>$batch</w:t>
      </w:r>
      <w:r>
        <w:rPr>
          <w:color w:val="202020"/>
        </w:rPr>
        <w:t xml:space="preserve"> reduces round-trips but does </w:t>
      </w:r>
      <w:r>
        <w:rPr>
          <w:b/>
          <w:color w:val="202020"/>
        </w:rPr>
        <w:t>not</w:t>
      </w:r>
      <w:r>
        <w:rPr>
          <w:color w:val="202020"/>
        </w:rPr>
        <w:t xml:space="preserve"> raise how many items per second you may push. The connector sets </w:t>
      </w:r>
      <w:r>
        <w:rPr>
          <w:rFonts w:ascii="Consolas" w:hAnsi="Consolas"/>
          <w:color w:val="202020"/>
          <w:sz w:val="19"/>
        </w:rPr>
        <w:t>INGEST_GRAPH_BATCH_SIZE</w:t>
      </w:r>
      <w:r>
        <w:rPr>
          <w:color w:val="202020"/>
        </w:rPr>
        <w:t xml:space="preserve"> (default 20, clamped to 20) and pushes many batches concurrently via adaptive concurrency (section 6.7).</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You will need the </w:t>
            </w:r>
            <w:r>
              <w:rPr>
                <w:b/>
                <w:color w:val="202020"/>
                <w:sz w:val="20"/>
              </w:rPr>
              <w:t>tenant ID</w:t>
            </w:r>
            <w:r>
              <w:rPr>
                <w:color w:val="202020"/>
                <w:sz w:val="20"/>
              </w:rPr>
              <w:t xml:space="preserve"> and an </w:t>
            </w:r>
            <w:r>
              <w:rPr>
                <w:b/>
                <w:color w:val="202020"/>
                <w:sz w:val="20"/>
              </w:rPr>
              <w:t>app registration</w:t>
            </w:r>
            <w:r>
              <w:rPr>
                <w:color w:val="202020"/>
                <w:sz w:val="20"/>
              </w:rPr>
              <w:t xml:space="preserve"> with admin-consented Graph permissions before any of the above works. Request the Entra </w:t>
            </w:r>
            <w:r>
              <w:rPr>
                <w:b/>
                <w:color w:val="202020"/>
                <w:sz w:val="20"/>
              </w:rPr>
              <w:t>tenant ID</w:t>
            </w:r>
            <w:r>
              <w:rPr>
                <w:color w:val="202020"/>
                <w:sz w:val="20"/>
              </w:rPr>
              <w:t xml:space="preserve"> and confirmation that an </w:t>
            </w:r>
            <w:r>
              <w:rPr>
                <w:b/>
                <w:color w:val="202020"/>
                <w:sz w:val="20"/>
              </w:rPr>
              <w:t>app registration</w:t>
            </w:r>
            <w:r>
              <w:rPr>
                <w:color w:val="202020"/>
                <w:sz w:val="20"/>
              </w:rPr>
              <w:t xml:space="preserve"> exists (or ask for one to be created) from your </w:t>
            </w:r>
            <w:r>
              <w:rPr>
                <w:b/>
                <w:color w:val="202020"/>
                <w:sz w:val="20"/>
              </w:rPr>
              <w:t>Entra ID / tenant administrator</w:t>
            </w:r>
            <w:r>
              <w:rPr>
                <w:color w:val="202020"/>
                <w:sz w:val="20"/>
              </w:rPr>
              <w:t>. The exact permissions to request are listed in section 7.2.</w:t>
            </w:r>
          </w:p>
        </w:tc>
      </w:tr>
    </w:tbl>
    <w:p>
      <w:pPr>
        <w:spacing w:after="40"/>
      </w:pPr>
    </w:p>
    <w:p>
      <w:r>
        <w:br w:type="page"/>
      </w:r>
    </w:p>
    <w:p>
      <w:pPr>
        <w:pStyle w:val="Heading1"/>
      </w:pPr>
      <w:r>
        <w:rPr>
          <w:color w:val="1F3864"/>
        </w:rPr>
        <w:t>5. Identity and access</w:t>
      </w:r>
    </w:p>
    <w:p>
      <w:pPr>
        <w:spacing w:after="200"/>
      </w:pPr>
      <w:r>
        <w:rPr>
          <w:color w:val="595959"/>
          <w:sz w:val="23"/>
        </w:rPr>
        <w:t>This is the security heart of the whole design. Every external item carries a permission list, and Copilot enforces it at query time. If this is wrong, the bank either leaks data (over-sharing) or hides data people need (under-sharing). Read this section carefully.</w:t>
      </w:r>
    </w:p>
    <w:p>
      <w:pPr>
        <w:pStyle w:val="Heading2"/>
      </w:pPr>
      <w:r>
        <w:rPr>
          <w:color w:val="2E5496"/>
        </w:rPr>
        <w:t>5.1 Entra ID, tenants and principals</w:t>
      </w:r>
    </w:p>
    <w:p>
      <w:pPr>
        <w:spacing w:after="120"/>
      </w:pPr>
      <w:r>
        <w:rPr>
          <w:b/>
          <w:color w:val="202020"/>
        </w:rPr>
        <w:t>Microsoft Entra ID</w:t>
      </w:r>
      <w:r>
        <w:rPr>
          <w:color w:val="202020"/>
        </w:rPr>
        <w:t xml:space="preserve"> (formerly Azure AD) is Microsoft 365's identity system — the directory of who's who. A </w:t>
      </w:r>
      <w:r>
        <w:rPr>
          <w:b/>
          <w:color w:val="202020"/>
        </w:rPr>
        <w:t>tenant</w:t>
      </w:r>
      <w:r>
        <w:rPr>
          <w:color w:val="202020"/>
        </w:rPr>
        <w:t xml:space="preserve"> is your organisation's single instance of Microsoft 365 and its Entra directory; everything in this guide happens inside one tenant. A </w:t>
      </w:r>
      <w:r>
        <w:rPr>
          <w:b/>
          <w:color w:val="202020"/>
        </w:rPr>
        <w:t>principal</w:t>
      </w:r>
      <w:r>
        <w:rPr>
          <w:color w:val="202020"/>
        </w:rPr>
        <w:t xml:space="preserve"> is any identity that can be granted access: a </w:t>
      </w:r>
      <w:r>
        <w:rPr>
          <w:b/>
          <w:color w:val="202020"/>
        </w:rPr>
        <w:t>user</w:t>
      </w:r>
      <w:r>
        <w:rPr>
          <w:color w:val="202020"/>
        </w:rPr>
        <w:t xml:space="preserve"> or a </w:t>
      </w:r>
      <w:r>
        <w:rPr>
          <w:b/>
          <w:color w:val="202020"/>
        </w:rPr>
        <w:t>group</w:t>
      </w:r>
      <w:r>
        <w:rPr>
          <w:color w:val="202020"/>
        </w:rPr>
        <w:t xml:space="preserve">. Every principal has a stable </w:t>
      </w:r>
      <w:r>
        <w:rPr>
          <w:b/>
          <w:color w:val="202020"/>
        </w:rPr>
        <w:t>object id</w:t>
      </w:r>
      <w:r>
        <w:rPr>
          <w:color w:val="202020"/>
        </w:rPr>
        <w:t xml:space="preserve"> (a GUID) in Entra.</w:t>
      </w:r>
    </w:p>
    <w:p>
      <w:pPr>
        <w:pStyle w:val="Heading2"/>
      </w:pPr>
      <w:r>
        <w:rPr>
          <w:color w:val="2E5496"/>
        </w:rPr>
        <w:t>5.2 The per-item ACL — grant and deny</w:t>
      </w:r>
    </w:p>
    <w:p>
      <w:pPr>
        <w:spacing w:after="120"/>
      </w:pPr>
      <w:r>
        <w:rPr>
          <w:color w:val="202020"/>
        </w:rPr>
        <w:t xml:space="preserve">Every external item carries an </w:t>
      </w:r>
      <w:r>
        <w:rPr>
          <w:b/>
          <w:color w:val="202020"/>
        </w:rPr>
        <w:t>ACL</w:t>
      </w:r>
      <w:r>
        <w:rPr>
          <w:color w:val="202020"/>
        </w:rPr>
        <w:t xml:space="preserve"> (access-control list): a set of entries, each of which </w:t>
      </w:r>
      <w:r>
        <w:rPr>
          <w:b/>
          <w:color w:val="202020"/>
        </w:rPr>
        <w:t>grants</w:t>
      </w:r>
      <w:r>
        <w:rPr>
          <w:color w:val="202020"/>
        </w:rPr>
        <w:t xml:space="preserve"> or </w:t>
      </w:r>
      <w:r>
        <w:rPr>
          <w:b/>
          <w:color w:val="202020"/>
        </w:rPr>
        <w:t>denies</w:t>
      </w:r>
      <w:r>
        <w:rPr>
          <w:color w:val="202020"/>
        </w:rPr>
        <w:t xml:space="preserve"> access to a principal (a user or a group). When Copilot considers an item for a given user, it evaluates the ACL: the user must be granted (directly or via a group they belong to) and must not be denied. This evaluation is </w:t>
      </w:r>
      <w:r>
        <w:rPr>
          <w:b/>
          <w:color w:val="202020"/>
        </w:rPr>
        <w:t>access trimming</w:t>
      </w:r>
      <w:r>
        <w:rPr>
          <w:color w:val="202020"/>
        </w:rPr>
        <w:t xml:space="preserve"> — it happens at query time, on every result, for every user, automatically.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200"/>
        <w:gridCol w:w="3680"/>
        <w:gridCol w:w="3480"/>
      </w:tblGrid>
      <w:tr>
        <w:tc>
          <w:tcPr>
            <w:tcW w:type="dxa" w:w="2200"/>
            <w:shd w:val="clear" w:color="auto" w:fill="2E5496"/>
          </w:tcPr>
          <w:p>
            <w:r>
              <w:rPr>
                <w:b/>
                <w:color w:val="FFFFFF"/>
                <w:sz w:val="19"/>
              </w:rPr>
              <w:t>ACL concept</w:t>
            </w:r>
          </w:p>
        </w:tc>
        <w:tc>
          <w:tcPr>
            <w:tcW w:type="dxa" w:w="3680"/>
            <w:shd w:val="clear" w:color="auto" w:fill="2E5496"/>
          </w:tcPr>
          <w:p>
            <w:r>
              <w:rPr>
                <w:b/>
                <w:color w:val="FFFFFF"/>
                <w:sz w:val="19"/>
              </w:rPr>
              <w:t>Plain meaning</w:t>
            </w:r>
          </w:p>
        </w:tc>
        <w:tc>
          <w:tcPr>
            <w:tcW w:type="dxa" w:w="3480"/>
            <w:shd w:val="clear" w:color="auto" w:fill="2E5496"/>
          </w:tcPr>
          <w:p>
            <w:r>
              <w:rPr>
                <w:b/>
                <w:color w:val="FFFFFF"/>
                <w:sz w:val="19"/>
              </w:rPr>
              <w:t>Why it matters to you</w:t>
            </w:r>
          </w:p>
        </w:tc>
      </w:tr>
      <w:tr>
        <w:tc>
          <w:tcPr>
            <w:tcW w:type="dxa" w:w="2200"/>
          </w:tcPr>
          <w:p>
            <w:r>
              <w:rPr>
                <w:color w:val="202020"/>
                <w:sz w:val="19"/>
              </w:rPr>
              <w:t>Grant</w:t>
            </w:r>
          </w:p>
        </w:tc>
        <w:tc>
          <w:tcPr>
            <w:tcW w:type="dxa" w:w="3680"/>
          </w:tcPr>
          <w:p>
            <w:r>
              <w:rPr>
                <w:color w:val="202020"/>
                <w:sz w:val="19"/>
              </w:rPr>
              <w:t>This principal may see the item</w:t>
            </w:r>
          </w:p>
        </w:tc>
        <w:tc>
          <w:tcPr>
            <w:tcW w:type="dxa" w:w="3480"/>
          </w:tcPr>
          <w:p>
            <w:r>
              <w:rPr>
                <w:color w:val="202020"/>
                <w:sz w:val="19"/>
              </w:rPr>
              <w:t>The positive permission; most ACL entries are grants</w:t>
            </w:r>
          </w:p>
        </w:tc>
      </w:tr>
      <w:tr>
        <w:tc>
          <w:tcPr>
            <w:tcW w:type="dxa" w:w="2200"/>
            <w:shd w:val="clear" w:color="auto" w:fill="F7F9FC"/>
          </w:tcPr>
          <w:p>
            <w:r>
              <w:rPr>
                <w:color w:val="202020"/>
                <w:sz w:val="19"/>
              </w:rPr>
              <w:t>Deny</w:t>
            </w:r>
          </w:p>
        </w:tc>
        <w:tc>
          <w:tcPr>
            <w:tcW w:type="dxa" w:w="3680"/>
            <w:shd w:val="clear" w:color="auto" w:fill="F7F9FC"/>
          </w:tcPr>
          <w:p>
            <w:r>
              <w:rPr>
                <w:color w:val="202020"/>
                <w:sz w:val="19"/>
              </w:rPr>
              <w:t>This principal may not see the item, even if otherwise granted</w:t>
            </w:r>
          </w:p>
        </w:tc>
        <w:tc>
          <w:tcPr>
            <w:tcW w:type="dxa" w:w="3480"/>
            <w:shd w:val="clear" w:color="auto" w:fill="F7F9FC"/>
          </w:tcPr>
          <w:p>
            <w:r>
              <w:rPr>
                <w:color w:val="202020"/>
                <w:sz w:val="19"/>
              </w:rPr>
              <w:t>Deny wins over grant — used to carve exceptions out of a broad grant</w:t>
            </w:r>
          </w:p>
        </w:tc>
      </w:tr>
      <w:tr>
        <w:tc>
          <w:tcPr>
            <w:tcW w:type="dxa" w:w="2200"/>
          </w:tcPr>
          <w:p>
            <w:r>
              <w:rPr>
                <w:color w:val="202020"/>
                <w:sz w:val="19"/>
              </w:rPr>
              <w:t>Access trimming</w:t>
            </w:r>
          </w:p>
        </w:tc>
        <w:tc>
          <w:tcPr>
            <w:tcW w:type="dxa" w:w="3680"/>
          </w:tcPr>
          <w:p>
            <w:r>
              <w:rPr>
                <w:color w:val="202020"/>
                <w:sz w:val="19"/>
              </w:rPr>
              <w:t>Results filtered per user at query time</w:t>
            </w:r>
          </w:p>
        </w:tc>
        <w:tc>
          <w:tcPr>
            <w:tcW w:type="dxa" w:w="3480"/>
          </w:tcPr>
          <w:p>
            <w:r>
              <w:rPr>
                <w:color w:val="202020"/>
                <w:sz w:val="19"/>
              </w:rPr>
              <w:t>You never filter results yourself; Copilot does it from the ACL</w:t>
            </w:r>
          </w:p>
        </w:tc>
      </w:tr>
      <w:tr>
        <w:tc>
          <w:tcPr>
            <w:tcW w:type="dxa" w:w="2200"/>
            <w:shd w:val="clear" w:color="auto" w:fill="F7F9FC"/>
          </w:tcPr>
          <w:p>
            <w:r>
              <w:rPr>
                <w:color w:val="202020"/>
                <w:sz w:val="19"/>
              </w:rPr>
              <w:t>Principal</w:t>
            </w:r>
          </w:p>
        </w:tc>
        <w:tc>
          <w:tcPr>
            <w:tcW w:type="dxa" w:w="3680"/>
            <w:shd w:val="clear" w:color="auto" w:fill="F7F9FC"/>
          </w:tcPr>
          <w:p>
            <w:r>
              <w:rPr>
                <w:color w:val="202020"/>
                <w:sz w:val="19"/>
              </w:rPr>
              <w:t>A user or group the ACL refers to (by Entra object id)</w:t>
            </w:r>
          </w:p>
        </w:tc>
        <w:tc>
          <w:tcPr>
            <w:tcW w:type="dxa" w:w="3480"/>
            <w:shd w:val="clear" w:color="auto" w:fill="F7F9FC"/>
          </w:tcPr>
          <w:p>
            <w:r>
              <w:rPr>
                <w:color w:val="202020"/>
                <w:sz w:val="19"/>
              </w:rPr>
              <w:t>Source permissions must be expressed as Entra principals to work</w:t>
            </w:r>
          </w:p>
        </w:tc>
      </w:tr>
    </w:tbl>
    <w:p>
      <w:pPr>
        <w:spacing w:after="40"/>
      </w:pPr>
    </w:p>
    <w:p>
      <w:pPr>
        <w:pStyle w:val="Heading2"/>
      </w:pPr>
      <w:r>
        <w:rPr>
          <w:color w:val="2E5496"/>
        </w:rPr>
        <w:t>5.3 Why source permissions must be translated to Entra principals</w:t>
      </w:r>
    </w:p>
    <w:p>
      <w:pPr>
        <w:spacing w:after="120"/>
      </w:pPr>
      <w:r>
        <w:rPr>
          <w:color w:val="202020"/>
        </w:rPr>
        <w:t xml:space="preserve">The source systems have their own idea of "who": a Salesforce user, a Salesforce role or public group; a Clarizen group; a Seismic user; an Altrata seat. Copilot does not know any of those. It only understands </w:t>
      </w:r>
      <w:r>
        <w:rPr>
          <w:b/>
          <w:color w:val="202020"/>
        </w:rPr>
        <w:t>Entra</w:t>
      </w:r>
      <w:r>
        <w:rPr>
          <w:color w:val="202020"/>
        </w:rPr>
        <w:t xml:space="preserve"> users and groups. So every connector runs an </w:t>
      </w:r>
      <w:r>
        <w:rPr>
          <w:b/>
          <w:color w:val="202020"/>
        </w:rPr>
        <w:t>identity step</w:t>
      </w:r>
      <w:r>
        <w:rPr>
          <w:color w:val="202020"/>
        </w:rPr>
        <w:t xml:space="preserve"> that maps source principals to Entra principals:</w:t>
      </w:r>
    </w:p>
    <w:p>
      <w:pPr>
        <w:pStyle w:val="ListBullet"/>
        <w:spacing w:after="40"/>
      </w:pPr>
      <w:r>
        <w:rPr>
          <w:color w:val="202020"/>
        </w:rPr>
        <w:t xml:space="preserve">A source </w:t>
      </w:r>
      <w:r>
        <w:rPr>
          <w:b/>
          <w:color w:val="202020"/>
        </w:rPr>
        <w:t>user</w:t>
      </w:r>
      <w:r>
        <w:rPr>
          <w:color w:val="202020"/>
        </w:rPr>
        <w:t xml:space="preserve"> is matched to an Entra </w:t>
      </w:r>
      <w:r>
        <w:rPr>
          <w:b/>
          <w:color w:val="202020"/>
        </w:rPr>
        <w:t>user</w:t>
      </w:r>
      <w:r>
        <w:rPr>
          <w:color w:val="202020"/>
        </w:rPr>
        <w:t xml:space="preserve"> — usually by email address or user principal name (UPN), resolved to the Entra object id.</w:t>
      </w:r>
    </w:p>
    <w:p>
      <w:pPr>
        <w:pStyle w:val="ListBullet"/>
        <w:spacing w:after="40"/>
      </w:pPr>
      <w:r>
        <w:rPr>
          <w:color w:val="202020"/>
        </w:rPr>
        <w:t xml:space="preserve">A source </w:t>
      </w:r>
      <w:r>
        <w:rPr>
          <w:b/>
          <w:color w:val="202020"/>
        </w:rPr>
        <w:t>group / role / team / queue / territory</w:t>
      </w:r>
      <w:r>
        <w:rPr>
          <w:color w:val="202020"/>
        </w:rPr>
        <w:t xml:space="preserve"> is published as an </w:t>
      </w:r>
      <w:r>
        <w:rPr>
          <w:b/>
          <w:color w:val="202020"/>
        </w:rPr>
        <w:t>external group</w:t>
      </w:r>
      <w:r>
        <w:rPr>
          <w:color w:val="202020"/>
        </w:rPr>
        <w:t xml:space="preserve"> (a group the connector maintains inside its own connection) whose members are the mapped Entra users. The item's ACL then grants that external group.</w:t>
      </w:r>
    </w:p>
    <w:p>
      <w:pPr>
        <w:spacing w:after="120"/>
      </w:pPr>
      <w:r>
        <w:rPr>
          <w:color w:val="202020"/>
        </w:rPr>
        <w:t xml:space="preserve">This is why the connectors need the Graph permission </w:t>
      </w:r>
      <w:r>
        <w:rPr>
          <w:rFonts w:ascii="Consolas" w:hAnsi="Consolas"/>
          <w:color w:val="202020"/>
          <w:sz w:val="19"/>
        </w:rPr>
        <w:t>User.Read.All</w:t>
      </w:r>
      <w:r>
        <w:rPr>
          <w:color w:val="202020"/>
        </w:rPr>
        <w:t xml:space="preserve"> (to look users up in the directory) in addition to the connection/item permissions. It is also why an identity crawl runs before content on a full deployment: the groups an item's ACL references must exist before the item is pushed.</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You must know, per connector, </w:t>
            </w:r>
            <w:r>
              <w:rPr>
                <w:b/>
                <w:color w:val="202020"/>
                <w:sz w:val="20"/>
              </w:rPr>
              <w:t>how source users correspond to Entra users</w:t>
            </w:r>
            <w:r>
              <w:rPr>
                <w:color w:val="202020"/>
                <w:sz w:val="20"/>
              </w:rPr>
              <w:t xml:space="preserve"> (is it email? UPN? a lookup table?) and </w:t>
            </w:r>
            <w:r>
              <w:rPr>
                <w:b/>
                <w:color w:val="202020"/>
                <w:sz w:val="20"/>
              </w:rPr>
              <w:t>which Entra group object ids</w:t>
            </w:r>
            <w:r>
              <w:rPr>
                <w:color w:val="202020"/>
                <w:sz w:val="20"/>
              </w:rPr>
              <w:t xml:space="preserve"> stand in for which source groups. Request the mapping rule and the Entra </w:t>
            </w:r>
            <w:r>
              <w:rPr>
                <w:b/>
                <w:color w:val="202020"/>
                <w:sz w:val="20"/>
              </w:rPr>
              <w:t>group object ids</w:t>
            </w:r>
            <w:r>
              <w:rPr>
                <w:color w:val="202020"/>
                <w:sz w:val="20"/>
              </w:rPr>
              <w:t xml:space="preserve"> from the </w:t>
            </w:r>
            <w:r>
              <w:rPr>
                <w:b/>
                <w:color w:val="202020"/>
                <w:sz w:val="20"/>
              </w:rPr>
              <w:t>source-system administrator</w:t>
            </w:r>
            <w:r>
              <w:rPr>
                <w:color w:val="202020"/>
                <w:sz w:val="20"/>
              </w:rPr>
              <w:t xml:space="preserve"> (who knows the source principals) together with your </w:t>
            </w:r>
            <w:r>
              <w:rPr>
                <w:b/>
                <w:color w:val="202020"/>
                <w:sz w:val="20"/>
              </w:rPr>
              <w:t>Entra ID administrator</w:t>
            </w:r>
            <w:r>
              <w:rPr>
                <w:color w:val="202020"/>
                <w:sz w:val="20"/>
              </w:rPr>
              <w:t xml:space="preserve"> (who owns the directory objects). The per-connector guide lists the exact mapping settings for that source.</w:t>
            </w:r>
          </w:p>
        </w:tc>
      </w:tr>
    </w:tbl>
    <w:p>
      <w:pPr>
        <w:spacing w:after="40"/>
      </w:pPr>
    </w:p>
    <w:p>
      <w:pPr>
        <w:pStyle w:val="Heading2"/>
      </w:pPr>
      <w:r>
        <w:rPr>
          <w:color w:val="2E5496"/>
        </w:rPr>
        <w:t>5.4 Over-sharing versus under-sharing</w:t>
      </w:r>
    </w:p>
    <w:p>
      <w:pPr>
        <w:spacing w:after="120"/>
      </w:pPr>
      <w:r>
        <w:rPr>
          <w:color w:val="202020"/>
        </w:rPr>
        <w:t>Two failure directions, both serious in a bank:</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900"/>
        <w:gridCol w:w="3760"/>
        <w:gridCol w:w="3700"/>
      </w:tblGrid>
      <w:tr>
        <w:tc>
          <w:tcPr>
            <w:tcW w:type="dxa" w:w="1900"/>
            <w:shd w:val="clear" w:color="auto" w:fill="2E5496"/>
          </w:tcPr>
          <w:p>
            <w:r>
              <w:rPr>
                <w:b/>
                <w:color w:val="FFFFFF"/>
                <w:sz w:val="19"/>
              </w:rPr>
              <w:t>Failure</w:t>
            </w:r>
          </w:p>
        </w:tc>
        <w:tc>
          <w:tcPr>
            <w:tcW w:type="dxa" w:w="3760"/>
            <w:shd w:val="clear" w:color="auto" w:fill="2E5496"/>
          </w:tcPr>
          <w:p>
            <w:r>
              <w:rPr>
                <w:b/>
                <w:color w:val="FFFFFF"/>
                <w:sz w:val="19"/>
              </w:rPr>
              <w:t>What it means</w:t>
            </w:r>
          </w:p>
        </w:tc>
        <w:tc>
          <w:tcPr>
            <w:tcW w:type="dxa" w:w="3700"/>
            <w:shd w:val="clear" w:color="auto" w:fill="2E5496"/>
          </w:tcPr>
          <w:p>
            <w:r>
              <w:rPr>
                <w:b/>
                <w:color w:val="FFFFFF"/>
                <w:sz w:val="19"/>
              </w:rPr>
              <w:t>How the design guards against it</w:t>
            </w:r>
          </w:p>
        </w:tc>
      </w:tr>
      <w:tr>
        <w:tc>
          <w:tcPr>
            <w:tcW w:type="dxa" w:w="1900"/>
          </w:tcPr>
          <w:p>
            <w:r>
              <w:rPr>
                <w:color w:val="202020"/>
                <w:sz w:val="19"/>
              </w:rPr>
              <w:t>Over-sharing</w:t>
            </w:r>
          </w:p>
        </w:tc>
        <w:tc>
          <w:tcPr>
            <w:tcW w:type="dxa" w:w="3760"/>
          </w:tcPr>
          <w:p>
            <w:r>
              <w:rPr>
                <w:color w:val="202020"/>
                <w:sz w:val="19"/>
              </w:rPr>
              <w:t>An item is visible to people who should not see it (a leak)</w:t>
            </w:r>
          </w:p>
        </w:tc>
        <w:tc>
          <w:tcPr>
            <w:tcW w:type="dxa" w:w="3700"/>
          </w:tcPr>
          <w:p>
            <w:r>
              <w:rPr>
                <w:color w:val="202020"/>
                <w:sz w:val="19"/>
              </w:rPr>
              <w:t>ACLs mirror the source model exactly; a record that resolves to zero principals is skipped, never made world-readable by accident; some connectors add a deny-by-default fallback group setting</w:t>
            </w:r>
          </w:p>
        </w:tc>
      </w:tr>
      <w:tr>
        <w:tc>
          <w:tcPr>
            <w:tcW w:type="dxa" w:w="1900"/>
            <w:shd w:val="clear" w:color="auto" w:fill="F7F9FC"/>
          </w:tcPr>
          <w:p>
            <w:r>
              <w:rPr>
                <w:color w:val="202020"/>
                <w:sz w:val="19"/>
              </w:rPr>
              <w:t>Under-sharing</w:t>
            </w:r>
          </w:p>
        </w:tc>
        <w:tc>
          <w:tcPr>
            <w:tcW w:type="dxa" w:w="3760"/>
            <w:shd w:val="clear" w:color="auto" w:fill="F7F9FC"/>
          </w:tcPr>
          <w:p>
            <w:r>
              <w:rPr>
                <w:color w:val="202020"/>
                <w:sz w:val="19"/>
              </w:rPr>
              <w:t>An item is hidden from people who should see it (a support ticket, not a leak)</w:t>
            </w:r>
          </w:p>
        </w:tc>
        <w:tc>
          <w:tcPr>
            <w:tcW w:type="dxa" w:w="3700"/>
            <w:shd w:val="clear" w:color="auto" w:fill="F7F9FC"/>
          </w:tcPr>
          <w:p>
            <w:r>
              <w:rPr>
                <w:color w:val="202020"/>
                <w:sz w:val="19"/>
              </w:rPr>
              <w:t>Group expansion, role hierarchy and parent-inheritance are followed so grants are complete; unmapped groups are expanded to their member users rather than dropped</w:t>
            </w:r>
          </w:p>
        </w:tc>
      </w:tr>
    </w:tbl>
    <w:p>
      <w:pPr>
        <w:spacing w:after="40"/>
      </w:pPr>
    </w:p>
    <w:p>
      <w:pPr>
        <w:spacing w:after="120"/>
      </w:pPr>
      <w:r>
        <w:rPr>
          <w:color w:val="202020"/>
        </w:rPr>
        <w:t xml:space="preserve">The guiding rule the connectors follow is </w:t>
      </w:r>
      <w:r>
        <w:rPr>
          <w:b/>
          <w:color w:val="202020"/>
        </w:rPr>
        <w:t>fail closed</w:t>
      </w:r>
      <w:r>
        <w:rPr>
          <w:color w:val="202020"/>
        </w:rPr>
        <w:t>: when access cannot be resolved, the safe outcome is to withhold the item, not to expose it. As an operator, treat any change that would broaden access as a security change, and any report of "I can't find a record I own" as a possible under-sharing (identity mapping) issue — start from the identity step.</w:t>
      </w:r>
    </w:p>
    <w:p>
      <w:pPr>
        <w:pStyle w:val="Heading2"/>
      </w:pPr>
      <w:r>
        <w:rPr>
          <w:color w:val="2E5496"/>
        </w:rPr>
        <w:t>5.5 The identity step in practice</w:t>
      </w:r>
    </w:p>
    <w:p>
      <w:pPr>
        <w:pStyle w:val="ListBullet"/>
        <w:spacing w:after="40"/>
      </w:pPr>
      <w:r>
        <w:rPr>
          <w:color w:val="202020"/>
        </w:rPr>
        <w:t xml:space="preserve">It runs as a </w:t>
      </w:r>
      <w:r>
        <w:rPr>
          <w:b/>
          <w:color w:val="202020"/>
        </w:rPr>
        <w:t>full</w:t>
      </w:r>
      <w:r>
        <w:rPr>
          <w:color w:val="202020"/>
        </w:rPr>
        <w:t xml:space="preserve"> crawl on full cycles; by default it is skipped on incremental cycles unless </w:t>
      </w:r>
      <w:r>
        <w:rPr>
          <w:rFonts w:ascii="Consolas" w:hAnsi="Consolas"/>
          <w:color w:val="202020"/>
          <w:sz w:val="19"/>
        </w:rPr>
        <w:t>IDENTITY_SYNC_ON_INCREMENTAL=true</w:t>
      </w:r>
      <w:r>
        <w:rPr>
          <w:color w:val="202020"/>
        </w:rPr>
        <w:t>.</w:t>
      </w:r>
    </w:p>
    <w:p>
      <w:pPr>
        <w:pStyle w:val="ListBullet"/>
        <w:spacing w:after="40"/>
      </w:pPr>
      <w:r>
        <w:rPr>
          <w:rFonts w:ascii="Consolas" w:hAnsi="Consolas"/>
          <w:color w:val="202020"/>
          <w:sz w:val="19"/>
        </w:rPr>
        <w:t>identity-dry-run</w:t>
      </w:r>
      <w:r>
        <w:rPr>
          <w:color w:val="202020"/>
        </w:rPr>
        <w:t xml:space="preserve"> previews the mapping without calling Graph — use it to sanity-check the source-to-Entra mapping before a first deployment.</w:t>
      </w:r>
    </w:p>
    <w:p>
      <w:pPr>
        <w:pStyle w:val="ListBullet"/>
        <w:spacing w:after="40"/>
      </w:pPr>
      <w:r>
        <w:rPr>
          <w:color w:val="202020"/>
        </w:rPr>
        <w:t>Group memberships are followed safely: cyclic group memberships (A in B in A) terminate rather than loop, and nested groups are expanded fully so grants are complete.</w:t>
      </w:r>
    </w:p>
    <w:p>
      <w:pPr>
        <w:pStyle w:val="ListBullet"/>
        <w:spacing w:after="40"/>
      </w:pPr>
      <w:r>
        <w:rPr>
          <w:color w:val="202020"/>
        </w:rPr>
        <w:t xml:space="preserve">The identity store (the connector's record of these mappings) contains directory data (emails, UPNs, object ids) but </w:t>
      </w:r>
      <w:r>
        <w:rPr>
          <w:b/>
          <w:color w:val="202020"/>
        </w:rPr>
        <w:t>no source record content</w:t>
      </w:r>
      <w:r>
        <w:rPr>
          <w:color w:val="202020"/>
        </w:rPr>
        <w:t xml:space="preserve"> — see the data-at-rest inventory in section 7.7.</w:t>
      </w:r>
    </w:p>
    <w:p>
      <w:r>
        <w:br w:type="page"/>
      </w:r>
    </w:p>
    <w:p>
      <w:pPr>
        <w:pStyle w:val="Heading1"/>
      </w:pPr>
      <w:r>
        <w:rPr>
          <w:color w:val="1F3864"/>
        </w:rPr>
        <w:t>6. The shared connector architecture (the chassis)</w:t>
      </w:r>
    </w:p>
    <w:p>
      <w:pPr>
        <w:spacing w:after="200"/>
      </w:pPr>
      <w:r>
        <w:rPr>
          <w:color w:val="595959"/>
          <w:sz w:val="23"/>
        </w:rPr>
        <w:t>Every connector carries its own copy of the same engine — the "chassis". Nothing is shared between connectors at runtime; they are simply built the same way. This section explains each shared part in plain language and why it matters to you. Section 6.13 is a one-look summary table.</w:t>
      </w:r>
    </w:p>
    <w:p>
      <w:pPr>
        <w:pStyle w:val="Heading2"/>
      </w:pPr>
      <w:r>
        <w:rPr>
          <w:color w:val="2E5496"/>
        </w:rPr>
        <w:t>6.1 The unified command-line interface (CLI)</w:t>
      </w:r>
    </w:p>
    <w:p>
      <w:pPr>
        <w:spacing w:after="120"/>
      </w:pPr>
      <w:r>
        <w:rPr>
          <w:color w:val="202020"/>
        </w:rPr>
        <w:t>Each connector is a single executable driven by verbs. You will use these directly when deploying and supporting, and the Windows service runs one of them (</w:t>
      </w:r>
      <w:r>
        <w:rPr>
          <w:rFonts w:ascii="Consolas" w:hAnsi="Consolas"/>
          <w:color w:val="202020"/>
          <w:sz w:val="19"/>
        </w:rPr>
        <w:t>ingest --continuous</w:t>
      </w:r>
      <w:r>
        <w:rPr>
          <w:color w:val="202020"/>
        </w:rPr>
        <w:t>) as its long-running job.</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500"/>
        <w:gridCol w:w="4360"/>
        <w:gridCol w:w="2500"/>
      </w:tblGrid>
      <w:tr>
        <w:tc>
          <w:tcPr>
            <w:tcW w:type="dxa" w:w="2500"/>
            <w:shd w:val="clear" w:color="auto" w:fill="2E5496"/>
          </w:tcPr>
          <w:p>
            <w:r>
              <w:rPr>
                <w:b/>
                <w:color w:val="FFFFFF"/>
                <w:sz w:val="19"/>
              </w:rPr>
              <w:t>Command</w:t>
            </w:r>
          </w:p>
        </w:tc>
        <w:tc>
          <w:tcPr>
            <w:tcW w:type="dxa" w:w="4360"/>
            <w:shd w:val="clear" w:color="auto" w:fill="2E5496"/>
          </w:tcPr>
          <w:p>
            <w:r>
              <w:rPr>
                <w:b/>
                <w:color w:val="FFFFFF"/>
                <w:sz w:val="19"/>
              </w:rPr>
              <w:t>What it does</w:t>
            </w:r>
          </w:p>
        </w:tc>
        <w:tc>
          <w:tcPr>
            <w:tcW w:type="dxa" w:w="2500"/>
            <w:shd w:val="clear" w:color="auto" w:fill="2E5496"/>
          </w:tcPr>
          <w:p>
            <w:r>
              <w:rPr>
                <w:b/>
                <w:color w:val="FFFFFF"/>
                <w:sz w:val="19"/>
              </w:rPr>
              <w:t>When you use it</w:t>
            </w:r>
          </w:p>
        </w:tc>
      </w:tr>
      <w:tr>
        <w:tc>
          <w:tcPr>
            <w:tcW w:type="dxa" w:w="2500"/>
          </w:tcPr>
          <w:p>
            <w:r>
              <w:rPr>
                <w:color w:val="202020"/>
                <w:sz w:val="19"/>
              </w:rPr>
              <w:t>guide</w:t>
            </w:r>
          </w:p>
        </w:tc>
        <w:tc>
          <w:tcPr>
            <w:tcW w:type="dxa" w:w="4360"/>
          </w:tcPr>
          <w:p>
            <w:r>
              <w:rPr>
                <w:color w:val="202020"/>
                <w:sz w:val="19"/>
              </w:rPr>
              <w:t>Prints a built-in reference of settings and commands</w:t>
            </w:r>
          </w:p>
        </w:tc>
        <w:tc>
          <w:tcPr>
            <w:tcW w:type="dxa" w:w="2500"/>
          </w:tcPr>
          <w:p>
            <w:r>
              <w:rPr>
                <w:color w:val="202020"/>
                <w:sz w:val="19"/>
              </w:rPr>
              <w:t>First run on a new box; quick lookup</w:t>
            </w:r>
          </w:p>
        </w:tc>
      </w:tr>
      <w:tr>
        <w:tc>
          <w:tcPr>
            <w:tcW w:type="dxa" w:w="2500"/>
            <w:shd w:val="clear" w:color="auto" w:fill="F7F9FC"/>
          </w:tcPr>
          <w:p>
            <w:r>
              <w:rPr>
                <w:color w:val="202020"/>
                <w:sz w:val="19"/>
              </w:rPr>
              <w:t>validate-config [--strict]</w:t>
            </w:r>
          </w:p>
        </w:tc>
        <w:tc>
          <w:tcPr>
            <w:tcW w:type="dxa" w:w="4360"/>
            <w:shd w:val="clear" w:color="auto" w:fill="F7F9FC"/>
          </w:tcPr>
          <w:p>
            <w:r>
              <w:rPr>
                <w:color w:val="202020"/>
                <w:sz w:val="19"/>
              </w:rPr>
              <w:t>Checks configuration and connectivity without ingesting</w:t>
            </w:r>
          </w:p>
        </w:tc>
        <w:tc>
          <w:tcPr>
            <w:tcW w:type="dxa" w:w="2500"/>
            <w:shd w:val="clear" w:color="auto" w:fill="F7F9FC"/>
          </w:tcPr>
          <w:p>
            <w:r>
              <w:rPr>
                <w:color w:val="202020"/>
                <w:sz w:val="19"/>
              </w:rPr>
              <w:t>Before every deploy; after any config change (exit code 0 = good)</w:t>
            </w:r>
          </w:p>
        </w:tc>
      </w:tr>
      <w:tr>
        <w:tc>
          <w:tcPr>
            <w:tcW w:type="dxa" w:w="2500"/>
          </w:tcPr>
          <w:p>
            <w:r>
              <w:rPr>
                <w:color w:val="202020"/>
                <w:sz w:val="19"/>
              </w:rPr>
              <w:t>setup-connection</w:t>
            </w:r>
          </w:p>
        </w:tc>
        <w:tc>
          <w:tcPr>
            <w:tcW w:type="dxa" w:w="4360"/>
          </w:tcPr>
          <w:p>
            <w:r>
              <w:rPr>
                <w:color w:val="202020"/>
                <w:sz w:val="19"/>
              </w:rPr>
              <w:t>Creates the external connection + registers the schema (idempotent)</w:t>
            </w:r>
          </w:p>
        </w:tc>
        <w:tc>
          <w:tcPr>
            <w:tcW w:type="dxa" w:w="2500"/>
          </w:tcPr>
          <w:p>
            <w:r>
              <w:rPr>
                <w:color w:val="202020"/>
                <w:sz w:val="19"/>
              </w:rPr>
              <w:t>Once, before first ingest</w:t>
            </w:r>
          </w:p>
        </w:tc>
      </w:tr>
      <w:tr>
        <w:tc>
          <w:tcPr>
            <w:tcW w:type="dxa" w:w="2500"/>
            <w:shd w:val="clear" w:color="auto" w:fill="F7F9FC"/>
          </w:tcPr>
          <w:p>
            <w:r>
              <w:rPr>
                <w:color w:val="202020"/>
                <w:sz w:val="19"/>
              </w:rPr>
              <w:t>full-deployment [--continuous]</w:t>
            </w:r>
          </w:p>
        </w:tc>
        <w:tc>
          <w:tcPr>
            <w:tcW w:type="dxa" w:w="4360"/>
            <w:shd w:val="clear" w:color="auto" w:fill="F7F9FC"/>
          </w:tcPr>
          <w:p>
            <w:r>
              <w:rPr>
                <w:color w:val="202020"/>
                <w:sz w:val="19"/>
              </w:rPr>
              <w:t>setup-connection, then identity crawl, then a full content ingest</w:t>
            </w:r>
          </w:p>
        </w:tc>
        <w:tc>
          <w:tcPr>
            <w:tcW w:type="dxa" w:w="2500"/>
            <w:shd w:val="clear" w:color="auto" w:fill="F7F9FC"/>
          </w:tcPr>
          <w:p>
            <w:r>
              <w:rPr>
                <w:color w:val="202020"/>
                <w:sz w:val="19"/>
              </w:rPr>
              <w:t>First deployment of a connector</w:t>
            </w:r>
          </w:p>
        </w:tc>
      </w:tr>
      <w:tr>
        <w:tc>
          <w:tcPr>
            <w:tcW w:type="dxa" w:w="2500"/>
          </w:tcPr>
          <w:p>
            <w:r>
              <w:rPr>
                <w:color w:val="202020"/>
                <w:sz w:val="19"/>
              </w:rPr>
              <w:t>ingest [--continuous]</w:t>
            </w:r>
          </w:p>
        </w:tc>
        <w:tc>
          <w:tcPr>
            <w:tcW w:type="dxa" w:w="4360"/>
          </w:tcPr>
          <w:p>
            <w:r>
              <w:rPr>
                <w:color w:val="202020"/>
                <w:sz w:val="19"/>
              </w:rPr>
              <w:t>Re-ingests content (connection must already exist)</w:t>
            </w:r>
          </w:p>
        </w:tc>
        <w:tc>
          <w:tcPr>
            <w:tcW w:type="dxa" w:w="2500"/>
          </w:tcPr>
          <w:p>
            <w:r>
              <w:rPr>
                <w:color w:val="202020"/>
                <w:sz w:val="19"/>
              </w:rPr>
              <w:t>The service runs this with --continuous</w:t>
            </w:r>
          </w:p>
        </w:tc>
      </w:tr>
      <w:tr>
        <w:tc>
          <w:tcPr>
            <w:tcW w:type="dxa" w:w="2500"/>
            <w:shd w:val="clear" w:color="auto" w:fill="F7F9FC"/>
          </w:tcPr>
          <w:p>
            <w:r>
              <w:rPr>
                <w:color w:val="202020"/>
                <w:sz w:val="19"/>
              </w:rPr>
              <w:t>ingest-object --type &lt;T&gt;</w:t>
            </w:r>
          </w:p>
        </w:tc>
        <w:tc>
          <w:tcPr>
            <w:tcW w:type="dxa" w:w="4360"/>
            <w:shd w:val="clear" w:color="auto" w:fill="F7F9FC"/>
          </w:tcPr>
          <w:p>
            <w:r>
              <w:rPr>
                <w:color w:val="202020"/>
                <w:sz w:val="19"/>
              </w:rPr>
              <w:t>Ingests a single object type only</w:t>
            </w:r>
          </w:p>
        </w:tc>
        <w:tc>
          <w:tcPr>
            <w:tcW w:type="dxa" w:w="2500"/>
            <w:shd w:val="clear" w:color="auto" w:fill="F7F9FC"/>
          </w:tcPr>
          <w:p>
            <w:r>
              <w:rPr>
                <w:color w:val="202020"/>
                <w:sz w:val="19"/>
              </w:rPr>
              <w:t>Targeted debugging</w:t>
            </w:r>
          </w:p>
        </w:tc>
      </w:tr>
      <w:tr>
        <w:tc>
          <w:tcPr>
            <w:tcW w:type="dxa" w:w="2500"/>
          </w:tcPr>
          <w:p>
            <w:r>
              <w:rPr>
                <w:color w:val="202020"/>
                <w:sz w:val="19"/>
              </w:rPr>
              <w:t>ingest-item --id &lt;ID&gt;</w:t>
            </w:r>
          </w:p>
        </w:tc>
        <w:tc>
          <w:tcPr>
            <w:tcW w:type="dxa" w:w="4360"/>
          </w:tcPr>
          <w:p>
            <w:r>
              <w:rPr>
                <w:color w:val="202020"/>
                <w:sz w:val="19"/>
              </w:rPr>
              <w:t>Ingests a single record</w:t>
            </w:r>
          </w:p>
        </w:tc>
        <w:tc>
          <w:tcPr>
            <w:tcW w:type="dxa" w:w="2500"/>
          </w:tcPr>
          <w:p>
            <w:r>
              <w:rPr>
                <w:color w:val="202020"/>
                <w:sz w:val="19"/>
              </w:rPr>
              <w:t>Targeted debugging</w:t>
            </w:r>
          </w:p>
        </w:tc>
      </w:tr>
      <w:tr>
        <w:tc>
          <w:tcPr>
            <w:tcW w:type="dxa" w:w="2500"/>
            <w:shd w:val="clear" w:color="auto" w:fill="F7F9FC"/>
          </w:tcPr>
          <w:p>
            <w:r>
              <w:rPr>
                <w:color w:val="202020"/>
                <w:sz w:val="19"/>
              </w:rPr>
              <w:t>identity-dry-run [--save]</w:t>
            </w:r>
          </w:p>
        </w:tc>
        <w:tc>
          <w:tcPr>
            <w:tcW w:type="dxa" w:w="4360"/>
            <w:shd w:val="clear" w:color="auto" w:fill="F7F9FC"/>
          </w:tcPr>
          <w:p>
            <w:r>
              <w:rPr>
                <w:color w:val="202020"/>
                <w:sz w:val="19"/>
              </w:rPr>
              <w:t>Previews identity mapping without calling Graph</w:t>
            </w:r>
          </w:p>
        </w:tc>
        <w:tc>
          <w:tcPr>
            <w:tcW w:type="dxa" w:w="2500"/>
            <w:shd w:val="clear" w:color="auto" w:fill="F7F9FC"/>
          </w:tcPr>
          <w:p>
            <w:r>
              <w:rPr>
                <w:color w:val="202020"/>
                <w:sz w:val="19"/>
              </w:rPr>
              <w:t>Validate source-to-Entra mapping</w:t>
            </w:r>
          </w:p>
        </w:tc>
      </w:tr>
      <w:tr>
        <w:tc>
          <w:tcPr>
            <w:tcW w:type="dxa" w:w="2500"/>
          </w:tcPr>
          <w:p>
            <w:r>
              <w:rPr>
                <w:color w:val="202020"/>
                <w:sz w:val="19"/>
              </w:rPr>
              <w:t>reconcile [--fix]</w:t>
            </w:r>
          </w:p>
        </w:tc>
        <w:tc>
          <w:tcPr>
            <w:tcW w:type="dxa" w:w="4360"/>
          </w:tcPr>
          <w:p>
            <w:r>
              <w:rPr>
                <w:color w:val="202020"/>
                <w:sz w:val="19"/>
              </w:rPr>
              <w:t>Reports (and with --fix repairs) index-vs-source drift</w:t>
            </w:r>
          </w:p>
        </w:tc>
        <w:tc>
          <w:tcPr>
            <w:tcW w:type="dxa" w:w="2500"/>
          </w:tcPr>
          <w:p>
            <w:r>
              <w:rPr>
                <w:color w:val="202020"/>
                <w:sz w:val="19"/>
              </w:rPr>
              <w:t>Routine assurance; after a restore</w:t>
            </w:r>
          </w:p>
        </w:tc>
      </w:tr>
      <w:tr>
        <w:tc>
          <w:tcPr>
            <w:tcW w:type="dxa" w:w="2500"/>
            <w:shd w:val="clear" w:color="auto" w:fill="F7F9FC"/>
          </w:tcPr>
          <w:p>
            <w:r>
              <w:rPr>
                <w:color w:val="202020"/>
                <w:sz w:val="19"/>
              </w:rPr>
              <w:t>retry-failed [--clear-on-success]</w:t>
            </w:r>
          </w:p>
        </w:tc>
        <w:tc>
          <w:tcPr>
            <w:tcW w:type="dxa" w:w="4360"/>
            <w:shd w:val="clear" w:color="auto" w:fill="F7F9FC"/>
          </w:tcPr>
          <w:p>
            <w:r>
              <w:rPr>
                <w:color w:val="202020"/>
                <w:sz w:val="19"/>
              </w:rPr>
              <w:t>Re-pushes dead-lettered items</w:t>
            </w:r>
          </w:p>
        </w:tc>
        <w:tc>
          <w:tcPr>
            <w:tcW w:type="dxa" w:w="2500"/>
            <w:shd w:val="clear" w:color="auto" w:fill="F7F9FC"/>
          </w:tcPr>
          <w:p>
            <w:r>
              <w:rPr>
                <w:color w:val="202020"/>
                <w:sz w:val="19"/>
              </w:rPr>
              <w:t>Drain the dead-letter queue after fixing a cause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 xml:space="preserve">Command availability is uniform across connectors, with minor per-connector naming (for example some expose ingest via a </w:t>
            </w:r>
            <w:r>
              <w:rPr>
                <w:rFonts w:ascii="Consolas" w:hAnsi="Consolas"/>
                <w:color w:val="202020"/>
                <w:sz w:val="19"/>
              </w:rPr>
              <w:t>runtime</w:t>
            </w:r>
            <w:r>
              <w:rPr>
                <w:color w:val="202020"/>
                <w:sz w:val="20"/>
              </w:rPr>
              <w:t>/</w:t>
            </w:r>
            <w:r>
              <w:rPr>
                <w:rFonts w:ascii="Consolas" w:hAnsi="Consolas"/>
                <w:color w:val="202020"/>
                <w:sz w:val="19"/>
              </w:rPr>
              <w:t>ingest</w:t>
            </w:r>
            <w:r>
              <w:rPr>
                <w:color w:val="202020"/>
                <w:sz w:val="20"/>
              </w:rPr>
              <w:t xml:space="preserve"> verb). The two you will type most often are </w:t>
            </w:r>
            <w:r>
              <w:rPr>
                <w:rFonts w:ascii="Consolas" w:hAnsi="Consolas"/>
                <w:color w:val="202020"/>
                <w:sz w:val="19"/>
              </w:rPr>
              <w:t>validate-config --strict</w:t>
            </w:r>
            <w:r>
              <w:rPr>
                <w:color w:val="202020"/>
                <w:sz w:val="20"/>
              </w:rPr>
              <w:t xml:space="preserve"> (is it healthy?) and </w:t>
            </w:r>
            <w:r>
              <w:rPr>
                <w:rFonts w:ascii="Consolas" w:hAnsi="Consolas"/>
                <w:color w:val="202020"/>
                <w:sz w:val="19"/>
              </w:rPr>
              <w:t>retry-failed</w:t>
            </w:r>
            <w:r>
              <w:rPr>
                <w:color w:val="202020"/>
                <w:sz w:val="20"/>
              </w:rPr>
              <w:t xml:space="preserve"> (drain failures). Your connector's guide lists its exact verbs.</w:t>
            </w:r>
          </w:p>
        </w:tc>
      </w:tr>
    </w:tbl>
    <w:p>
      <w:pPr>
        <w:spacing w:after="40"/>
      </w:pPr>
    </w:p>
    <w:p>
      <w:pPr>
        <w:pStyle w:val="Heading2"/>
      </w:pPr>
      <w:r>
        <w:rPr>
          <w:color w:val="2E5496"/>
        </w:rPr>
        <w:t>6.2 Full vs. incremental crawls</w:t>
      </w:r>
    </w:p>
    <w:p>
      <w:pPr>
        <w:spacing w:after="120"/>
      </w:pPr>
      <w:r>
        <w:rPr>
          <w:color w:val="202020"/>
        </w:rPr>
        <w:t xml:space="preserve">A </w:t>
      </w:r>
      <w:r>
        <w:rPr>
          <w:b/>
          <w:color w:val="202020"/>
        </w:rPr>
        <w:t>crawl</w:t>
      </w:r>
      <w:r>
        <w:rPr>
          <w:color w:val="202020"/>
        </w:rPr>
        <w:t xml:space="preserve"> is one pass of reading the source and pushing items. A </w:t>
      </w:r>
      <w:r>
        <w:rPr>
          <w:b/>
          <w:color w:val="202020"/>
        </w:rPr>
        <w:t>full crawl</w:t>
      </w:r>
      <w:r>
        <w:rPr>
          <w:color w:val="202020"/>
        </w:rPr>
        <w:t xml:space="preserve"> walks every in-scope record from scratch; an </w:t>
      </w:r>
      <w:r>
        <w:rPr>
          <w:b/>
          <w:color w:val="202020"/>
        </w:rPr>
        <w:t>incremental crawl</w:t>
      </w:r>
      <w:r>
        <w:rPr>
          <w:color w:val="202020"/>
        </w:rPr>
        <w:t xml:space="preserve"> only processes records changed since the last successful sync (tracked by a </w:t>
      </w:r>
      <w:r>
        <w:rPr>
          <w:b/>
          <w:color w:val="202020"/>
        </w:rPr>
        <w:t>watermark</w:t>
      </w:r>
      <w:r>
        <w:rPr>
          <w:color w:val="202020"/>
        </w:rPr>
        <w:t xml:space="preserve"> — a last-modified boundary such as Salesforce's </w:t>
      </w:r>
      <w:r>
        <w:rPr>
          <w:rFonts w:ascii="Consolas" w:hAnsi="Consolas"/>
          <w:color w:val="202020"/>
          <w:sz w:val="19"/>
        </w:rPr>
        <w:t>SystemModstamp</w:t>
      </w:r>
      <w:r>
        <w:rPr>
          <w:color w:val="202020"/>
        </w:rPr>
        <w:t xml:space="preserve">). Full crawls are the expensive events; incrementals are cheap and frequent. In continuous mode each node runs a full crawl every </w:t>
      </w:r>
      <w:r>
        <w:rPr>
          <w:rFonts w:ascii="Consolas" w:hAnsi="Consolas"/>
          <w:color w:val="202020"/>
          <w:sz w:val="19"/>
        </w:rPr>
        <w:t>--full-crawl-hours</w:t>
      </w:r>
      <w:r>
        <w:rPr>
          <w:color w:val="202020"/>
        </w:rPr>
        <w:t xml:space="preserve"> (default 24, minimum 12) and an incremental every </w:t>
      </w:r>
      <w:r>
        <w:rPr>
          <w:rFonts w:ascii="Consolas" w:hAnsi="Consolas"/>
          <w:color w:val="202020"/>
          <w:sz w:val="19"/>
        </w:rPr>
        <w:t>--incremental-hours</w:t>
      </w:r>
      <w:r>
        <w:rPr>
          <w:color w:val="202020"/>
        </w:rPr>
        <w:t xml:space="preserve"> (default 4, minimum 1).</w:t>
      </w:r>
    </w:p>
    <w:p>
      <w:pPr>
        <w:pStyle w:val="Heading2"/>
      </w:pPr>
      <w:r>
        <w:rPr>
          <w:color w:val="2E5496"/>
        </w:rPr>
        <w:t>6.3 Checkpoints and crash/stop resume</w:t>
      </w:r>
    </w:p>
    <w:p>
      <w:pPr>
        <w:spacing w:after="120"/>
      </w:pPr>
      <w:r>
        <w:rPr>
          <w:color w:val="202020"/>
        </w:rPr>
        <w:t xml:space="preserve">Each object type is ingested in chunks of </w:t>
      </w:r>
      <w:r>
        <w:rPr>
          <w:rFonts w:ascii="Consolas" w:hAnsi="Consolas"/>
          <w:color w:val="202020"/>
          <w:sz w:val="19"/>
        </w:rPr>
        <w:t>INGEST_CHUNK_SIZE</w:t>
      </w:r>
      <w:r>
        <w:rPr>
          <w:color w:val="202020"/>
        </w:rPr>
        <w:t xml:space="preserve">. After every chunk the connector writes a </w:t>
      </w:r>
      <w:r>
        <w:rPr>
          <w:b/>
          <w:color w:val="202020"/>
        </w:rPr>
        <w:t>checkpoint</w:t>
      </w:r>
      <w:r>
        <w:rPr>
          <w:color w:val="202020"/>
        </w:rPr>
        <w:t xml:space="preserve"> — the object type, the last completed chunk, and the </w:t>
      </w:r>
      <w:r>
        <w:rPr>
          <w:rFonts w:ascii="Consolas" w:hAnsi="Consolas"/>
          <w:color w:val="202020"/>
          <w:sz w:val="19"/>
        </w:rPr>
        <w:t>since</w:t>
      </w:r>
      <w:r>
        <w:rPr>
          <w:color w:val="202020"/>
        </w:rPr>
        <w:t xml:space="preserve"> boundary. If the process stops for any reason (crash, service stop, SQL failover), the next start </w:t>
      </w:r>
      <w:r>
        <w:rPr>
          <w:b/>
          <w:color w:val="202020"/>
        </w:rPr>
        <w:t>resumes from the last checkpoint</w:t>
      </w:r>
      <w:r>
        <w:rPr>
          <w:color w:val="202020"/>
        </w:rPr>
        <w:t>: completed chunks are skipped and nothing is re-sent unnecessarily. A graceful stop (Windows-service stop) finishes the in-flight chunk, flushes the pending batch, and checkpoints before exiting. On a clean full-crawl completion the checkpoint is cleared and the watermark advances.</w:t>
      </w:r>
    </w:p>
    <w:p>
      <w:pPr>
        <w:pStyle w:val="Heading2"/>
      </w:pPr>
      <w:r>
        <w:rPr>
          <w:color w:val="2E5496"/>
        </w:rPr>
        <w:t>6.4 The dead-letter queue and retry-failed</w:t>
      </w:r>
    </w:p>
    <w:p>
      <w:pPr>
        <w:spacing w:after="120"/>
      </w:pPr>
      <w:r>
        <w:rPr>
          <w:color w:val="202020"/>
        </w:rPr>
        <w:t xml:space="preserve">An item whose push ultimately fails after all retries is written to the </w:t>
      </w:r>
      <w:r>
        <w:rPr>
          <w:b/>
          <w:color w:val="202020"/>
        </w:rPr>
        <w:t>dead-letter queue</w:t>
      </w:r>
      <w:r>
        <w:rPr>
          <w:color w:val="202020"/>
        </w:rPr>
        <w:t xml:space="preserve"> (a </w:t>
      </w:r>
      <w:r>
        <w:rPr>
          <w:rFonts w:ascii="Consolas" w:hAnsi="Consolas"/>
          <w:color w:val="202020"/>
          <w:sz w:val="19"/>
        </w:rPr>
        <w:t>logs\failed_records_{CONNECTOR_ID}.jsonl</w:t>
      </w:r>
      <w:r>
        <w:rPr>
          <w:color w:val="202020"/>
        </w:rPr>
        <w:t xml:space="preserve"> file, or the </w:t>
      </w:r>
      <w:r>
        <w:rPr>
          <w:rFonts w:ascii="Consolas" w:hAnsi="Consolas"/>
          <w:color w:val="202020"/>
          <w:sz w:val="19"/>
        </w:rPr>
        <w:t>dbo.DeadLetter</w:t>
      </w:r>
      <w:r>
        <w:rPr>
          <w:color w:val="202020"/>
        </w:rPr>
        <w:t xml:space="preserve"> table on the SQL backend) rather than blocking the crawl. The crawl continues; failures are set aside for later. You drain them with </w:t>
      </w:r>
      <w:r>
        <w:rPr>
          <w:rFonts w:ascii="Consolas" w:hAnsi="Consolas"/>
          <w:color w:val="202020"/>
          <w:sz w:val="19"/>
        </w:rPr>
        <w:t>retry-failed</w:t>
      </w:r>
      <w:r>
        <w:rPr>
          <w:color w:val="202020"/>
        </w:rPr>
        <w:t xml:space="preserve"> once the cause is fixed. Dead-letter records are treated as </w:t>
      </w:r>
      <w:r>
        <w:rPr>
          <w:b/>
          <w:color w:val="202020"/>
        </w:rPr>
        <w:t>pointers</w:t>
      </w:r>
      <w:r>
        <w:rPr>
          <w:color w:val="202020"/>
        </w:rPr>
        <w:t xml:space="preserve"> — </w:t>
      </w:r>
      <w:r>
        <w:rPr>
          <w:rFonts w:ascii="Consolas" w:hAnsi="Consolas"/>
          <w:color w:val="202020"/>
          <w:sz w:val="19"/>
        </w:rPr>
        <w:t>retry-failed</w:t>
      </w:r>
      <w:r>
        <w:rPr>
          <w:color w:val="202020"/>
        </w:rPr>
        <w:t xml:space="preserve"> re-reads the record from the source, so a stale or tampered payload cannot inject bad content. Depth is a monitored signal (section 10).</w:t>
      </w:r>
    </w:p>
    <w:p>
      <w:pPr>
        <w:pStyle w:val="Heading2"/>
      </w:pPr>
      <w:r>
        <w:rPr>
          <w:color w:val="2E5496"/>
        </w:rPr>
        <w:t>6.5 Retry, backoff and the 60-second clamp</w:t>
      </w:r>
    </w:p>
    <w:p>
      <w:pPr>
        <w:spacing w:after="120"/>
      </w:pPr>
      <w:r>
        <w:rPr>
          <w:color w:val="202020"/>
        </w:rPr>
        <w:t xml:space="preserve">Microsoft Graph </w:t>
      </w:r>
      <w:r>
        <w:rPr>
          <w:b/>
          <w:color w:val="202020"/>
        </w:rPr>
        <w:t>throttles</w:t>
      </w:r>
      <w:r>
        <w:rPr>
          <w:color w:val="202020"/>
        </w:rPr>
        <w:t xml:space="preserve"> — under load it returns HTTP </w:t>
      </w:r>
      <w:r>
        <w:rPr>
          <w:b/>
          <w:color w:val="202020"/>
        </w:rPr>
        <w:t>429</w:t>
      </w:r>
      <w:r>
        <w:rPr>
          <w:color w:val="202020"/>
        </w:rPr>
        <w:t xml:space="preserve"> and a </w:t>
      </w:r>
      <w:r>
        <w:rPr>
          <w:rFonts w:ascii="Consolas" w:hAnsi="Consolas"/>
          <w:color w:val="202020"/>
          <w:sz w:val="19"/>
        </w:rPr>
        <w:t>Retry-After</w:t>
      </w:r>
      <w:r>
        <w:rPr>
          <w:color w:val="202020"/>
        </w:rPr>
        <w:t xml:space="preserve"> header telling you how long to wait. The connector honours </w:t>
      </w:r>
      <w:r>
        <w:rPr>
          <w:rFonts w:ascii="Consolas" w:hAnsi="Consolas"/>
          <w:color w:val="202020"/>
          <w:sz w:val="19"/>
        </w:rPr>
        <w:t>Retry-After</w:t>
      </w:r>
      <w:r>
        <w:rPr>
          <w:color w:val="202020"/>
        </w:rPr>
        <w:t xml:space="preserve"> </w:t>
      </w:r>
      <w:r>
        <w:rPr>
          <w:b/>
          <w:color w:val="202020"/>
        </w:rPr>
        <w:t>exactly</w:t>
      </w:r>
      <w:r>
        <w:rPr>
          <w:color w:val="202020"/>
        </w:rPr>
        <w:t xml:space="preserve"> when present, and otherwise backs off exponentially (</w:t>
      </w:r>
      <w:r>
        <w:rPr>
          <w:rFonts w:ascii="Consolas" w:hAnsi="Consolas"/>
          <w:color w:val="202020"/>
          <w:sz w:val="19"/>
        </w:rPr>
        <w:t>base × 2^attempt</w:t>
      </w:r>
      <w:r>
        <w:rPr>
          <w:color w:val="202020"/>
        </w:rPr>
        <w:t xml:space="preserve">, base = </w:t>
      </w:r>
      <w:r>
        <w:rPr>
          <w:rFonts w:ascii="Consolas" w:hAnsi="Consolas"/>
          <w:color w:val="202020"/>
          <w:sz w:val="19"/>
        </w:rPr>
        <w:t>GRAPH_RETRY_BACKOFF_BASE</w:t>
      </w:r>
      <w:r>
        <w:rPr>
          <w:color w:val="202020"/>
        </w:rPr>
        <w:t xml:space="preserve">, default 2 seconds), for up to </w:t>
      </w:r>
      <w:r>
        <w:rPr>
          <w:rFonts w:ascii="Consolas" w:hAnsi="Consolas"/>
          <w:color w:val="202020"/>
          <w:sz w:val="19"/>
        </w:rPr>
        <w:t>GRAPH_MAX_RETRIES</w:t>
      </w:r>
      <w:r>
        <w:rPr>
          <w:color w:val="202020"/>
        </w:rPr>
        <w:t xml:space="preserve"> attempts (default 4). Every wait — computed </w:t>
      </w:r>
      <w:r>
        <w:rPr>
          <w:b/>
          <w:color w:val="202020"/>
        </w:rPr>
        <w:t>or</w:t>
      </w:r>
      <w:r>
        <w:rPr>
          <w:color w:val="202020"/>
        </w:rPr>
        <w:t xml:space="preserve"> server-provided — is clamped to a maximum of </w:t>
      </w:r>
      <w:r>
        <w:rPr>
          <w:b/>
          <w:color w:val="202020"/>
        </w:rPr>
        <w:t>60 seconds</w:t>
      </w:r>
      <w:r>
        <w:rPr>
          <w:color w:val="202020"/>
        </w:rPr>
        <w:t xml:space="preserve">, so a hostile or misconfigured </w:t>
      </w:r>
      <w:r>
        <w:rPr>
          <w:rFonts w:ascii="Consolas" w:hAnsi="Consolas"/>
          <w:color w:val="202020"/>
          <w:sz w:val="19"/>
        </w:rPr>
        <w:t>Retry-After: 3600</w:t>
      </w:r>
      <w:r>
        <w:rPr>
          <w:color w:val="202020"/>
        </w:rPr>
        <w:t xml:space="preserve"> cannot stall a run for an hour. In HA, set </w:t>
      </w:r>
      <w:r>
        <w:rPr>
          <w:rFonts w:ascii="Consolas" w:hAnsi="Consolas"/>
          <w:color w:val="202020"/>
          <w:sz w:val="19"/>
        </w:rPr>
        <w:t>GRAPH_RETRY_JITTER=true</w:t>
      </w:r>
      <w:r>
        <w:rPr>
          <w:color w:val="202020"/>
        </w:rPr>
        <w:t xml:space="preserve"> so nodes throttled by the same event don't retry in lockstep.</w:t>
      </w:r>
    </w:p>
    <w:p>
      <w:pPr>
        <w:pStyle w:val="Heading2"/>
      </w:pPr>
      <w:r>
        <w:rPr>
          <w:color w:val="2E5496"/>
        </w:rPr>
        <w:t>6.6 Adaptive concurrency</w:t>
      </w:r>
    </w:p>
    <w:p>
      <w:pPr>
        <w:spacing w:after="120"/>
      </w:pPr>
      <w:r>
        <w:rPr>
          <w:color w:val="202020"/>
        </w:rPr>
        <w:t xml:space="preserve">The connector pushes several batches in parallel — </w:t>
      </w:r>
      <w:r>
        <w:rPr>
          <w:rFonts w:ascii="Consolas" w:hAnsi="Consolas"/>
          <w:color w:val="202020"/>
          <w:sz w:val="19"/>
        </w:rPr>
        <w:t>GRAPH_BATCH_WORKERS</w:t>
      </w:r>
      <w:r>
        <w:rPr>
          <w:color w:val="202020"/>
        </w:rPr>
        <w:t xml:space="preserve"> (alias </w:t>
      </w:r>
      <w:r>
        <w:rPr>
          <w:rFonts w:ascii="Consolas" w:hAnsi="Consolas"/>
          <w:color w:val="202020"/>
          <w:sz w:val="19"/>
        </w:rPr>
        <w:t>GRAPH_CONCURRENT_BATCHES</w:t>
      </w:r>
      <w:r>
        <w:rPr>
          <w:color w:val="202020"/>
        </w:rPr>
        <w:t xml:space="preserve">, default 8). </w:t>
      </w:r>
      <w:r>
        <w:rPr>
          <w:b/>
          <w:color w:val="202020"/>
        </w:rPr>
        <w:t>Adaptive concurrency</w:t>
      </w:r>
      <w:r>
        <w:rPr>
          <w:color w:val="202020"/>
        </w:rPr>
        <w:t xml:space="preserve"> tunes this live: any 429 in a sub-batch drops the worker count by one (minimum 1); three clean sub-batches in a row raise it by one (up to the configured maximum). This means the connector self-corrects to the throughput the tenant will currently tolerate, without you touching config.</w:t>
      </w:r>
    </w:p>
    <w:p>
      <w:pPr>
        <w:pStyle w:val="Heading2"/>
      </w:pPr>
      <w:r>
        <w:rPr>
          <w:color w:val="2E5496"/>
        </w:rPr>
        <w:t>6.7 Connection sharding</w:t>
      </w:r>
    </w:p>
    <w:p>
      <w:pPr>
        <w:spacing w:after="120"/>
      </w:pPr>
      <w:r>
        <w:rPr>
          <w:color w:val="202020"/>
        </w:rPr>
        <w:t xml:space="preserve">Graph's push-rate limit is </w:t>
      </w:r>
      <w:r>
        <w:rPr>
          <w:b/>
          <w:color w:val="202020"/>
        </w:rPr>
        <w:t>per connection</w:t>
      </w:r>
      <w:r>
        <w:rPr>
          <w:color w:val="202020"/>
        </w:rPr>
        <w:t xml:space="preserve">. To go faster, a connector can spread its object types across several connections — </w:t>
      </w:r>
      <w:r>
        <w:rPr>
          <w:b/>
          <w:color w:val="202020"/>
        </w:rPr>
        <w:t>shards</w:t>
      </w:r>
      <w:r>
        <w:rPr>
          <w:color w:val="202020"/>
        </w:rPr>
        <w:t xml:space="preserve"> — set with </w:t>
      </w:r>
      <w:r>
        <w:rPr>
          <w:rFonts w:ascii="Consolas" w:hAnsi="Consolas"/>
          <w:color w:val="202020"/>
          <w:sz w:val="19"/>
        </w:rPr>
        <w:t>GRAPH_CONNECTION_SHARDS</w:t>
      </w:r>
      <w:r>
        <w:rPr>
          <w:color w:val="202020"/>
        </w:rPr>
        <w:t xml:space="preserve"> (a JSON map of connection id to the object types it owns). N shards give roughly N times the aggregate throughput because each is rate-limited independently. Every schema object must belong to exactly one shard. A single object type too large for one connection's item cap can be split further with intra-object hash buckets (</w:t>
      </w:r>
      <w:r>
        <w:rPr>
          <w:rFonts w:ascii="Consolas" w:hAnsi="Consolas"/>
          <w:color w:val="202020"/>
          <w:sz w:val="19"/>
        </w:rPr>
        <w:t>Object#bucket/of</w:t>
      </w:r>
      <w:r>
        <w:rPr>
          <w:color w:val="202020"/>
        </w:rPr>
        <w:t>), which route each record to a fixed shard by a stable hash of its id. Each shard is a real, separately-managed connection in the admin center and counts against the 30-connection tenant limit (section 8).</w:t>
      </w:r>
    </w:p>
    <w:p>
      <w:pPr>
        <w:pStyle w:val="Heading2"/>
      </w:pPr>
      <w:r>
        <w:rPr>
          <w:color w:val="2E5496"/>
        </w:rPr>
        <w:t>6.8 State store — SQLite to SQL Server</w:t>
      </w:r>
    </w:p>
    <w:p>
      <w:pPr>
        <w:spacing w:after="120"/>
      </w:pPr>
      <w:r>
        <w:rPr>
          <w:color w:val="202020"/>
        </w:rPr>
        <w:t xml:space="preserve">The connector keeps </w:t>
      </w:r>
      <w:r>
        <w:rPr>
          <w:b/>
          <w:color w:val="202020"/>
        </w:rPr>
        <w:t>state</w:t>
      </w:r>
      <w:r>
        <w:rPr>
          <w:color w:val="202020"/>
        </w:rPr>
        <w:t xml:space="preserve"> — the bookkeeping that makes the next crawl incremental: identity mappings, checkpoints, sync timestamps, the item inventory (used for deletion detection) and the dead-letter queue. By default this lives in local files and </w:t>
      </w:r>
      <w:r>
        <w:rPr>
          <w:b/>
          <w:color w:val="202020"/>
        </w:rPr>
        <w:t>SQLite</w:t>
      </w:r>
      <w:r>
        <w:rPr>
          <w:color w:val="202020"/>
        </w:rPr>
        <w:t xml:space="preserve"> databases under the install directory. Setting </w:t>
      </w:r>
      <w:r>
        <w:rPr>
          <w:rFonts w:ascii="Consolas" w:hAnsi="Consolas"/>
          <w:color w:val="202020"/>
          <w:sz w:val="19"/>
        </w:rPr>
        <w:t>USE_SQL_SERVER=true</w:t>
      </w:r>
      <w:r>
        <w:rPr>
          <w:color w:val="202020"/>
        </w:rPr>
        <w:t xml:space="preserve"> (with </w:t>
      </w:r>
      <w:r>
        <w:rPr>
          <w:rFonts w:ascii="Consolas" w:hAnsi="Consolas"/>
          <w:color w:val="202020"/>
          <w:sz w:val="19"/>
        </w:rPr>
        <w:t>SQL_CONNECTION_STRING</w:t>
      </w:r>
      <w:r>
        <w:rPr>
          <w:color w:val="202020"/>
        </w:rPr>
        <w:t xml:space="preserve">) moves the coordinating state into a shared </w:t>
      </w:r>
      <w:r>
        <w:rPr>
          <w:b/>
          <w:color w:val="202020"/>
        </w:rPr>
        <w:t>SQL Server</w:t>
      </w:r>
      <w:r>
        <w:rPr>
          <w:color w:val="202020"/>
        </w:rPr>
        <w:t xml:space="preserve"> database instead. SQL mode is required for high availability. Run logs always stay local on each node even in SQL mode.</w:t>
      </w:r>
    </w:p>
    <w:p>
      <w:pPr>
        <w:pStyle w:val="Heading2"/>
      </w:pPr>
      <w:r>
        <w:rPr>
          <w:color w:val="2E5496"/>
        </w:rPr>
        <w:t>6.9 Active-active high availability (HA) leases</w:t>
      </w:r>
    </w:p>
    <w:p>
      <w:pPr>
        <w:spacing w:after="120"/>
      </w:pPr>
      <w:r>
        <w:rPr>
          <w:color w:val="202020"/>
        </w:rPr>
        <w:t xml:space="preserve">With </w:t>
      </w:r>
      <w:r>
        <w:rPr>
          <w:rFonts w:ascii="Consolas" w:hAnsi="Consolas"/>
          <w:color w:val="202020"/>
          <w:sz w:val="19"/>
        </w:rPr>
        <w:t>HA_MODE=true</w:t>
      </w:r>
      <w:r>
        <w:rPr>
          <w:color w:val="202020"/>
        </w:rPr>
        <w:t xml:space="preserve"> (which requires SQL Server), two or more nodes run the </w:t>
      </w:r>
      <w:r>
        <w:rPr>
          <w:b/>
          <w:color w:val="202020"/>
        </w:rPr>
        <w:t>same</w:t>
      </w:r>
      <w:r>
        <w:rPr>
          <w:color w:val="202020"/>
        </w:rPr>
        <w:t xml:space="preserve"> continuous command against </w:t>
      </w:r>
      <w:r>
        <w:rPr>
          <w:b/>
          <w:color w:val="202020"/>
        </w:rPr>
        <w:t>one</w:t>
      </w:r>
      <w:r>
        <w:rPr>
          <w:color w:val="202020"/>
        </w:rPr>
        <w:t xml:space="preserve"> database and coordinate entirely in SQL. When a cycle is due, exactly one node opens the crawl and the others join; each node then </w:t>
      </w:r>
      <w:r>
        <w:rPr>
          <w:b/>
          <w:color w:val="202020"/>
        </w:rPr>
        <w:t>claims</w:t>
      </w:r>
      <w:r>
        <w:rPr>
          <w:color w:val="202020"/>
        </w:rPr>
        <w:t xml:space="preserve"> an object type, works it, and heartbeats the claim every </w:t>
      </w:r>
      <w:r>
        <w:rPr>
          <w:rFonts w:ascii="Consolas" w:hAnsi="Consolas"/>
          <w:color w:val="202020"/>
          <w:sz w:val="19"/>
        </w:rPr>
        <w:t>HA_HEARTBEAT_SECONDS</w:t>
      </w:r>
      <w:r>
        <w:rPr>
          <w:color w:val="202020"/>
        </w:rPr>
        <w:t xml:space="preserve"> (default 60). If a node dies, its heartbeat goes stale and after </w:t>
      </w:r>
      <w:r>
        <w:rPr>
          <w:rFonts w:ascii="Consolas" w:hAnsi="Consolas"/>
          <w:color w:val="202020"/>
          <w:sz w:val="19"/>
        </w:rPr>
        <w:t>HA_CLAIM_TIMEOUT_SECONDS</w:t>
      </w:r>
      <w:r>
        <w:rPr>
          <w:color w:val="202020"/>
        </w:rPr>
        <w:t xml:space="preserve"> (default 300) another node reclaims the object and resumes it from its checkpoint. This is a </w:t>
      </w:r>
      <w:r>
        <w:rPr>
          <w:b/>
          <w:color w:val="202020"/>
        </w:rPr>
        <w:t>lease</w:t>
      </w:r>
      <w:r>
        <w:rPr>
          <w:color w:val="202020"/>
        </w:rPr>
        <w:t xml:space="preserve">: hold it by heartbeating, lose it by going silent. HA buys </w:t>
      </w:r>
      <w:r>
        <w:rPr>
          <w:b/>
          <w:color w:val="202020"/>
        </w:rPr>
        <w:t>availability and crawl-window resilience — not throughput</w:t>
      </w:r>
      <w:r>
        <w:rPr>
          <w:color w:val="202020"/>
        </w:rPr>
        <w:t xml:space="preserve"> (the 429 quota is per connection and shared, so size </w:t>
      </w:r>
      <w:r>
        <w:rPr>
          <w:rFonts w:ascii="Consolas" w:hAnsi="Consolas"/>
          <w:color w:val="202020"/>
          <w:sz w:val="19"/>
        </w:rPr>
        <w:t>GRAPH_BATCH_WORKERS</w:t>
      </w:r>
      <w:r>
        <w:rPr>
          <w:color w:val="202020"/>
        </w:rPr>
        <w:t xml:space="preserve"> as single-node value divided by node count).</w:t>
      </w:r>
    </w:p>
    <w:p>
      <w:pPr>
        <w:pStyle w:val="Heading2"/>
      </w:pPr>
      <w:r>
        <w:rPr>
          <w:color w:val="2E5496"/>
        </w:rPr>
        <w:t>6.10 Circuit breakers and degraded mode</w:t>
      </w:r>
    </w:p>
    <w:p>
      <w:pPr>
        <w:spacing w:after="120"/>
      </w:pPr>
      <w:r>
        <w:rPr>
          <w:color w:val="202020"/>
        </w:rPr>
        <w:t xml:space="preserve">A </w:t>
      </w:r>
      <w:r>
        <w:rPr>
          <w:b/>
          <w:color w:val="202020"/>
        </w:rPr>
        <w:t>circuit breaker</w:t>
      </w:r>
      <w:r>
        <w:rPr>
          <w:color w:val="202020"/>
        </w:rPr>
        <w:t xml:space="preserve"> protects the source and the tenant during a </w:t>
      </w:r>
      <w:r>
        <w:rPr>
          <w:b/>
          <w:color w:val="202020"/>
        </w:rPr>
        <w:t>sustained</w:t>
      </w:r>
      <w:r>
        <w:rPr>
          <w:color w:val="202020"/>
        </w:rPr>
        <w:t xml:space="preserve"> outage. Each external dependency (the source system, Graph) has a breaker (</w:t>
      </w:r>
      <w:r>
        <w:rPr>
          <w:rFonts w:ascii="Consolas" w:hAnsi="Consolas"/>
          <w:color w:val="202020"/>
          <w:sz w:val="19"/>
        </w:rPr>
        <w:t>CIRCUIT_BREAKER</w:t>
      </w:r>
      <w:r>
        <w:rPr>
          <w:color w:val="202020"/>
        </w:rPr>
        <w:t xml:space="preserve">, default on) that trips </w:t>
      </w:r>
      <w:r>
        <w:rPr>
          <w:b/>
          <w:color w:val="202020"/>
        </w:rPr>
        <w:t>open</w:t>
      </w:r>
      <w:r>
        <w:rPr>
          <w:color w:val="202020"/>
        </w:rPr>
        <w:t xml:space="preserve"> after </w:t>
      </w:r>
      <w:r>
        <w:rPr>
          <w:rFonts w:ascii="Consolas" w:hAnsi="Consolas"/>
          <w:color w:val="202020"/>
          <w:sz w:val="19"/>
        </w:rPr>
        <w:t>CIRCUIT_BREAKER_FAILURE_THRESHOLD</w:t>
      </w:r>
      <w:r>
        <w:rPr>
          <w:color w:val="202020"/>
        </w:rPr>
        <w:t xml:space="preserve"> real failures (default 5) within a rolling window, pausing work at a safe checkpoint boundary rather than hammering a failing service. After </w:t>
      </w:r>
      <w:r>
        <w:rPr>
          <w:rFonts w:ascii="Consolas" w:hAnsi="Consolas"/>
          <w:color w:val="202020"/>
          <w:sz w:val="19"/>
        </w:rPr>
        <w:t>CIRCUIT_BREAKER_OPEN_SECONDS</w:t>
      </w:r>
      <w:r>
        <w:rPr>
          <w:color w:val="202020"/>
        </w:rPr>
        <w:t xml:space="preserve"> (default 30) it admits a </w:t>
      </w:r>
      <w:r>
        <w:rPr>
          <w:b/>
          <w:color w:val="202020"/>
        </w:rPr>
        <w:t>half-open</w:t>
      </w:r>
      <w:r>
        <w:rPr>
          <w:color w:val="202020"/>
        </w:rPr>
        <w:t xml:space="preserve"> probe; a couple of successes close it again. Only genuine failures (5xx, timeouts, connection errors) count — ordinary 4xx and an honoured 429 do not trip it. This is </w:t>
      </w:r>
      <w:r>
        <w:rPr>
          <w:b/>
          <w:color w:val="202020"/>
        </w:rPr>
        <w:t>degraded mode</w:t>
      </w:r>
      <w:r>
        <w:rPr>
          <w:color w:val="202020"/>
        </w:rPr>
        <w:t>: the connector keeps its state safe and waits, instead of failing hard or losing work.</w:t>
      </w:r>
    </w:p>
    <w:p>
      <w:pPr>
        <w:pStyle w:val="Heading2"/>
      </w:pPr>
      <w:r>
        <w:rPr>
          <w:color w:val="2E5496"/>
        </w:rPr>
        <w:t>6.11 Health, readiness and metrics endpoints</w:t>
      </w:r>
    </w:p>
    <w:p>
      <w:pPr>
        <w:spacing w:after="120"/>
      </w:pPr>
      <w:r>
        <w:rPr>
          <w:color w:val="202020"/>
        </w:rPr>
        <w:t xml:space="preserve">Set </w:t>
      </w:r>
      <w:r>
        <w:rPr>
          <w:rFonts w:ascii="Consolas" w:hAnsi="Consolas"/>
          <w:color w:val="202020"/>
          <w:sz w:val="19"/>
        </w:rPr>
        <w:t>HEALTH_PORT</w:t>
      </w:r>
      <w:r>
        <w:rPr>
          <w:color w:val="202020"/>
        </w:rPr>
        <w:t xml:space="preserve"> to a port number to expose three HTTP routes: </w:t>
      </w:r>
      <w:r>
        <w:rPr>
          <w:rFonts w:ascii="Consolas" w:hAnsi="Consolas"/>
          <w:color w:val="202020"/>
          <w:sz w:val="19"/>
        </w:rPr>
        <w:t>GET /health</w:t>
      </w:r>
      <w:r>
        <w:rPr>
          <w:color w:val="202020"/>
        </w:rPr>
        <w:t xml:space="preserve"> (liveness — the process is up), </w:t>
      </w:r>
      <w:r>
        <w:rPr>
          <w:rFonts w:ascii="Consolas" w:hAnsi="Consolas"/>
          <w:color w:val="202020"/>
          <w:sz w:val="19"/>
        </w:rPr>
        <w:t>GET /ready</w:t>
      </w:r>
      <w:r>
        <w:rPr>
          <w:color w:val="202020"/>
        </w:rPr>
        <w:t xml:space="preserve"> (readiness — configuration loaded) and </w:t>
      </w:r>
      <w:r>
        <w:rPr>
          <w:rFonts w:ascii="Consolas" w:hAnsi="Consolas"/>
          <w:color w:val="202020"/>
          <w:sz w:val="19"/>
        </w:rPr>
        <w:t>GET /metrics</w:t>
      </w:r>
      <w:r>
        <w:rPr>
          <w:color w:val="202020"/>
        </w:rPr>
        <w:t xml:space="preserve"> (Prometheus-format metrics). Left at 0 the endpoint is off. This is how monitoring watches the connector (section 10). It is outbound-safe: firewall </w:t>
      </w:r>
      <w:r>
        <w:rPr>
          <w:rFonts w:ascii="Consolas" w:hAnsi="Consolas"/>
          <w:color w:val="202020"/>
          <w:sz w:val="19"/>
        </w:rPr>
        <w:t>/metrics</w:t>
      </w:r>
      <w:r>
        <w:rPr>
          <w:color w:val="202020"/>
        </w:rPr>
        <w:t xml:space="preserve"> to your monitoring subnet.</w:t>
      </w:r>
    </w:p>
    <w:p>
      <w:pPr>
        <w:pStyle w:val="Heading2"/>
      </w:pPr>
      <w:r>
        <w:rPr>
          <w:color w:val="2E5496"/>
        </w:rPr>
        <w:t>6.12 Structured logs, tracing and data classification</w:t>
      </w:r>
    </w:p>
    <w:p>
      <w:pPr>
        <w:pStyle w:val="ListBullet"/>
        <w:spacing w:after="40"/>
      </w:pPr>
      <w:r>
        <w:rPr>
          <w:b/>
          <w:color w:val="202020"/>
        </w:rPr>
        <w:t>Structured JSON logs</w:t>
      </w:r>
      <w:r>
        <w:rPr>
          <w:color w:val="202020"/>
        </w:rPr>
        <w:t xml:space="preserve"> — set </w:t>
      </w:r>
      <w:r>
        <w:rPr>
          <w:rFonts w:ascii="Consolas" w:hAnsi="Consolas"/>
          <w:color w:val="202020"/>
          <w:sz w:val="19"/>
        </w:rPr>
        <w:t>LOG_FORMAT=json</w:t>
      </w:r>
      <w:r>
        <w:rPr>
          <w:color w:val="202020"/>
        </w:rPr>
        <w:t xml:space="preserve"> to emit one JSON object per log line (timestamp, level, logger, message, optional exception) for clean ingestion into a SIEM. The default is human-readable text.</w:t>
      </w:r>
    </w:p>
    <w:p>
      <w:pPr>
        <w:pStyle w:val="ListBullet"/>
        <w:spacing w:after="40"/>
      </w:pPr>
      <w:r>
        <w:rPr>
          <w:b/>
          <w:color w:val="202020"/>
        </w:rPr>
        <w:t>OpenTelemetry tracing</w:t>
      </w:r>
      <w:r>
        <w:rPr>
          <w:color w:val="202020"/>
        </w:rPr>
        <w:t xml:space="preserve"> — set </w:t>
      </w:r>
      <w:r>
        <w:rPr>
          <w:rFonts w:ascii="Consolas" w:hAnsi="Consolas"/>
          <w:color w:val="202020"/>
          <w:sz w:val="19"/>
        </w:rPr>
        <w:t>OTEL_EXPORTER_OTLP_ENDPOINT</w:t>
      </w:r>
      <w:r>
        <w:rPr>
          <w:color w:val="202020"/>
        </w:rPr>
        <w:t xml:space="preserve"> to export spans around each crawl, per-object crawl, fetch, transform, ingest and deletion sweep, with a correlation id stamped on every log line and dead-letter record so one run is followable end to end. Unset = no tracing overhead.</w:t>
      </w:r>
    </w:p>
    <w:p>
      <w:pPr>
        <w:pStyle w:val="ListBullet"/>
        <w:spacing w:after="40"/>
      </w:pPr>
      <w:r>
        <w:rPr>
          <w:b/>
          <w:color w:val="202020"/>
        </w:rPr>
        <w:t>Data classification / sensitivity labelling</w:t>
      </w:r>
      <w:r>
        <w:rPr>
          <w:color w:val="202020"/>
        </w:rPr>
        <w:t xml:space="preserve"> — set </w:t>
      </w:r>
      <w:r>
        <w:rPr>
          <w:rFonts w:ascii="Consolas" w:hAnsi="Consolas"/>
          <w:color w:val="202020"/>
          <w:sz w:val="19"/>
        </w:rPr>
        <w:t>CLASSIFICATION=true</w:t>
      </w:r>
      <w:r>
        <w:rPr>
          <w:color w:val="202020"/>
        </w:rPr>
        <w:t xml:space="preserve"> to stamp every item with a </w:t>
      </w:r>
      <w:r>
        <w:rPr>
          <w:rFonts w:ascii="Consolas" w:hAnsi="Consolas"/>
          <w:color w:val="202020"/>
          <w:sz w:val="19"/>
        </w:rPr>
        <w:t>SensitivityLabel</w:t>
      </w:r>
      <w:r>
        <w:rPr>
          <w:color w:val="202020"/>
        </w:rPr>
        <w:t xml:space="preserve"> on the scale </w:t>
      </w:r>
      <w:r>
        <w:rPr>
          <w:rFonts w:ascii="Consolas" w:hAnsi="Consolas"/>
          <w:color w:val="202020"/>
          <w:sz w:val="19"/>
        </w:rPr>
        <w:t>Public (0) &lt; Internal (1) &lt; Confidential (2) &lt; Restricted (3)</w:t>
      </w:r>
      <w:r>
        <w:rPr>
          <w:color w:val="202020"/>
        </w:rPr>
        <w:t xml:space="preserve"> plus a </w:t>
      </w:r>
      <w:r>
        <w:rPr>
          <w:rFonts w:ascii="Consolas" w:hAnsi="Consolas"/>
          <w:color w:val="202020"/>
          <w:sz w:val="19"/>
        </w:rPr>
        <w:t>DetectedCategories</w:t>
      </w:r>
      <w:r>
        <w:rPr>
          <w:color w:val="202020"/>
        </w:rPr>
        <w:t xml:space="preserve"> set (out of the box PII, PCI, Secret). The per-object baseline is a floor; a detection (for example a card number passing the Luhn check) can only raise the label. </w:t>
      </w:r>
      <w:r>
        <w:rPr>
          <w:rFonts w:ascii="Consolas" w:hAnsi="Consolas"/>
          <w:color w:val="202020"/>
          <w:sz w:val="19"/>
        </w:rPr>
        <w:t>CLASSIFICATION_MANIFEST=true</w:t>
      </w:r>
      <w:r>
        <w:rPr>
          <w:color w:val="202020"/>
        </w:rPr>
        <w:t xml:space="preserve"> additionally writes a per-crawl classification file for catalog/DLP tooling. Off by default.</w:t>
      </w:r>
    </w:p>
    <w:p>
      <w:pPr>
        <w:pStyle w:val="Heading2"/>
      </w:pPr>
      <w:r>
        <w:rPr>
          <w:color w:val="2E5496"/>
        </w:rPr>
        <w:t>6.13 Chassis at a glance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200"/>
        <w:gridCol w:w="3560"/>
        <w:gridCol w:w="3600"/>
      </w:tblGrid>
      <w:tr>
        <w:tc>
          <w:tcPr>
            <w:tcW w:type="dxa" w:w="2200"/>
            <w:shd w:val="clear" w:color="auto" w:fill="2E5496"/>
          </w:tcPr>
          <w:p>
            <w:r>
              <w:rPr>
                <w:b/>
                <w:color w:val="FFFFFF"/>
                <w:sz w:val="19"/>
              </w:rPr>
              <w:t>Chassis part</w:t>
            </w:r>
          </w:p>
        </w:tc>
        <w:tc>
          <w:tcPr>
            <w:tcW w:type="dxa" w:w="3560"/>
            <w:shd w:val="clear" w:color="auto" w:fill="2E5496"/>
          </w:tcPr>
          <w:p>
            <w:r>
              <w:rPr>
                <w:b/>
                <w:color w:val="FFFFFF"/>
                <w:sz w:val="19"/>
              </w:rPr>
              <w:t>Key setting(s)</w:t>
            </w:r>
          </w:p>
        </w:tc>
        <w:tc>
          <w:tcPr>
            <w:tcW w:type="dxa" w:w="3600"/>
            <w:shd w:val="clear" w:color="auto" w:fill="2E5496"/>
          </w:tcPr>
          <w:p>
            <w:r>
              <w:rPr>
                <w:b/>
                <w:color w:val="FFFFFF"/>
                <w:sz w:val="19"/>
              </w:rPr>
              <w:t>Why it matters</w:t>
            </w:r>
          </w:p>
        </w:tc>
      </w:tr>
      <w:tr>
        <w:tc>
          <w:tcPr>
            <w:tcW w:type="dxa" w:w="2200"/>
          </w:tcPr>
          <w:p>
            <w:r>
              <w:rPr>
                <w:color w:val="202020"/>
                <w:sz w:val="19"/>
              </w:rPr>
              <w:t>Unified CLI</w:t>
            </w:r>
          </w:p>
        </w:tc>
        <w:tc>
          <w:tcPr>
            <w:tcW w:type="dxa" w:w="3560"/>
          </w:tcPr>
          <w:p>
            <w:r>
              <w:rPr>
                <w:color w:val="202020"/>
                <w:sz w:val="19"/>
              </w:rPr>
              <w:t>the verbs in 6.1</w:t>
            </w:r>
          </w:p>
        </w:tc>
        <w:tc>
          <w:tcPr>
            <w:tcW w:type="dxa" w:w="3600"/>
          </w:tcPr>
          <w:p>
            <w:r>
              <w:rPr>
                <w:color w:val="202020"/>
                <w:sz w:val="19"/>
              </w:rPr>
              <w:t>One consistent command set across all five connectors</w:t>
            </w:r>
          </w:p>
        </w:tc>
      </w:tr>
      <w:tr>
        <w:tc>
          <w:tcPr>
            <w:tcW w:type="dxa" w:w="2200"/>
            <w:shd w:val="clear" w:color="auto" w:fill="F7F9FC"/>
          </w:tcPr>
          <w:p>
            <w:r>
              <w:rPr>
                <w:color w:val="202020"/>
                <w:sz w:val="19"/>
              </w:rPr>
              <w:t>Full/incremental crawl</w:t>
            </w:r>
          </w:p>
        </w:tc>
        <w:tc>
          <w:tcPr>
            <w:tcW w:type="dxa" w:w="3560"/>
            <w:shd w:val="clear" w:color="auto" w:fill="F7F9FC"/>
          </w:tcPr>
          <w:p>
            <w:r>
              <w:rPr>
                <w:color w:val="202020"/>
                <w:sz w:val="19"/>
              </w:rPr>
              <w:t>--full-crawl-hours (24), --incremental-hours (4)</w:t>
            </w:r>
          </w:p>
        </w:tc>
        <w:tc>
          <w:tcPr>
            <w:tcW w:type="dxa" w:w="3600"/>
            <w:shd w:val="clear" w:color="auto" w:fill="F7F9FC"/>
          </w:tcPr>
          <w:p>
            <w:r>
              <w:rPr>
                <w:color w:val="202020"/>
                <w:sz w:val="19"/>
              </w:rPr>
              <w:t>Full = complete; incremental = cheap deltas via a watermark</w:t>
            </w:r>
          </w:p>
        </w:tc>
      </w:tr>
      <w:tr>
        <w:tc>
          <w:tcPr>
            <w:tcW w:type="dxa" w:w="2200"/>
          </w:tcPr>
          <w:p>
            <w:r>
              <w:rPr>
                <w:color w:val="202020"/>
                <w:sz w:val="19"/>
              </w:rPr>
              <w:t>Checkpoints + resume</w:t>
            </w:r>
          </w:p>
        </w:tc>
        <w:tc>
          <w:tcPr>
            <w:tcW w:type="dxa" w:w="3560"/>
          </w:tcPr>
          <w:p>
            <w:r>
              <w:rPr>
                <w:color w:val="202020"/>
                <w:sz w:val="19"/>
              </w:rPr>
              <w:t>INGEST_CHUNK_SIZE</w:t>
            </w:r>
          </w:p>
        </w:tc>
        <w:tc>
          <w:tcPr>
            <w:tcW w:type="dxa" w:w="3600"/>
          </w:tcPr>
          <w:p>
            <w:r>
              <w:rPr>
                <w:color w:val="202020"/>
                <w:sz w:val="19"/>
              </w:rPr>
              <w:t>A stop never loses progress; the next start resumes</w:t>
            </w:r>
          </w:p>
        </w:tc>
      </w:tr>
      <w:tr>
        <w:tc>
          <w:tcPr>
            <w:tcW w:type="dxa" w:w="2200"/>
            <w:shd w:val="clear" w:color="auto" w:fill="F7F9FC"/>
          </w:tcPr>
          <w:p>
            <w:r>
              <w:rPr>
                <w:color w:val="202020"/>
                <w:sz w:val="19"/>
              </w:rPr>
              <w:t>Dead-letter queue</w:t>
            </w:r>
          </w:p>
        </w:tc>
        <w:tc>
          <w:tcPr>
            <w:tcW w:type="dxa" w:w="3560"/>
            <w:shd w:val="clear" w:color="auto" w:fill="F7F9FC"/>
          </w:tcPr>
          <w:p>
            <w:r>
              <w:rPr>
                <w:color w:val="202020"/>
                <w:sz w:val="19"/>
              </w:rPr>
              <w:t>retry-failed, ALERT_DEADLETTER_THRESHOLD</w:t>
            </w:r>
          </w:p>
        </w:tc>
        <w:tc>
          <w:tcPr>
            <w:tcW w:type="dxa" w:w="3600"/>
            <w:shd w:val="clear" w:color="auto" w:fill="F7F9FC"/>
          </w:tcPr>
          <w:p>
            <w:r>
              <w:rPr>
                <w:color w:val="202020"/>
                <w:sz w:val="19"/>
              </w:rPr>
              <w:t>Failures set aside, never block a crawl; drain on demand</w:t>
            </w:r>
          </w:p>
        </w:tc>
      </w:tr>
      <w:tr>
        <w:tc>
          <w:tcPr>
            <w:tcW w:type="dxa" w:w="2200"/>
          </w:tcPr>
          <w:p>
            <w:r>
              <w:rPr>
                <w:color w:val="202020"/>
                <w:sz w:val="19"/>
              </w:rPr>
              <w:t>Retry / backoff</w:t>
            </w:r>
          </w:p>
        </w:tc>
        <w:tc>
          <w:tcPr>
            <w:tcW w:type="dxa" w:w="3560"/>
          </w:tcPr>
          <w:p>
            <w:r>
              <w:rPr>
                <w:color w:val="202020"/>
                <w:sz w:val="19"/>
              </w:rPr>
              <w:t>GRAPH_MAX_RETRIES (4), GRAPH_RETRY_BACKOFF_BASE (2)</w:t>
            </w:r>
          </w:p>
        </w:tc>
        <w:tc>
          <w:tcPr>
            <w:tcW w:type="dxa" w:w="3600"/>
          </w:tcPr>
          <w:p>
            <w:r>
              <w:rPr>
                <w:color w:val="202020"/>
                <w:sz w:val="19"/>
              </w:rPr>
              <w:t>Rides out throttling; 60s clamp caps any single wait</w:t>
            </w:r>
          </w:p>
        </w:tc>
      </w:tr>
      <w:tr>
        <w:tc>
          <w:tcPr>
            <w:tcW w:type="dxa" w:w="2200"/>
            <w:shd w:val="clear" w:color="auto" w:fill="F7F9FC"/>
          </w:tcPr>
          <w:p>
            <w:r>
              <w:rPr>
                <w:color w:val="202020"/>
                <w:sz w:val="19"/>
              </w:rPr>
              <w:t>Adaptive concurrency</w:t>
            </w:r>
          </w:p>
        </w:tc>
        <w:tc>
          <w:tcPr>
            <w:tcW w:type="dxa" w:w="3560"/>
            <w:shd w:val="clear" w:color="auto" w:fill="F7F9FC"/>
          </w:tcPr>
          <w:p>
            <w:r>
              <w:rPr>
                <w:color w:val="202020"/>
                <w:sz w:val="19"/>
              </w:rPr>
              <w:t>GRAPH_BATCH_WORKERS (8)</w:t>
            </w:r>
          </w:p>
        </w:tc>
        <w:tc>
          <w:tcPr>
            <w:tcW w:type="dxa" w:w="3600"/>
            <w:shd w:val="clear" w:color="auto" w:fill="F7F9FC"/>
          </w:tcPr>
          <w:p>
            <w:r>
              <w:rPr>
                <w:color w:val="202020"/>
                <w:sz w:val="19"/>
              </w:rPr>
              <w:t>Self-tunes push rate to what the tenant tolerates</w:t>
            </w:r>
          </w:p>
        </w:tc>
      </w:tr>
      <w:tr>
        <w:tc>
          <w:tcPr>
            <w:tcW w:type="dxa" w:w="2200"/>
          </w:tcPr>
          <w:p>
            <w:r>
              <w:rPr>
                <w:color w:val="202020"/>
                <w:sz w:val="19"/>
              </w:rPr>
              <w:t>Connection sharding</w:t>
            </w:r>
          </w:p>
        </w:tc>
        <w:tc>
          <w:tcPr>
            <w:tcW w:type="dxa" w:w="3560"/>
          </w:tcPr>
          <w:p>
            <w:r>
              <w:rPr>
                <w:color w:val="202020"/>
                <w:sz w:val="19"/>
              </w:rPr>
              <w:t>GRAPH_CONNECTION_SHARDS</w:t>
            </w:r>
          </w:p>
        </w:tc>
        <w:tc>
          <w:tcPr>
            <w:tcW w:type="dxa" w:w="3600"/>
          </w:tcPr>
          <w:p>
            <w:r>
              <w:rPr>
                <w:color w:val="202020"/>
                <w:sz w:val="19"/>
              </w:rPr>
              <w:t>N connections ~ N x throughput; each counts to the 30 cap</w:t>
            </w:r>
          </w:p>
        </w:tc>
      </w:tr>
      <w:tr>
        <w:tc>
          <w:tcPr>
            <w:tcW w:type="dxa" w:w="2200"/>
            <w:shd w:val="clear" w:color="auto" w:fill="F7F9FC"/>
          </w:tcPr>
          <w:p>
            <w:r>
              <w:rPr>
                <w:color w:val="202020"/>
                <w:sz w:val="19"/>
              </w:rPr>
              <w:t>State store</w:t>
            </w:r>
          </w:p>
        </w:tc>
        <w:tc>
          <w:tcPr>
            <w:tcW w:type="dxa" w:w="3560"/>
            <w:shd w:val="clear" w:color="auto" w:fill="F7F9FC"/>
          </w:tcPr>
          <w:p>
            <w:r>
              <w:rPr>
                <w:color w:val="202020"/>
                <w:sz w:val="19"/>
              </w:rPr>
              <w:t>USE_SQL_SERVER, SQL_CONNECTION_STRING</w:t>
            </w:r>
          </w:p>
        </w:tc>
        <w:tc>
          <w:tcPr>
            <w:tcW w:type="dxa" w:w="3600"/>
            <w:shd w:val="clear" w:color="auto" w:fill="F7F9FC"/>
          </w:tcPr>
          <w:p>
            <w:r>
              <w:rPr>
                <w:color w:val="202020"/>
                <w:sz w:val="19"/>
              </w:rPr>
              <w:t>Files/SQLite by default; SQL Server for shared state + HA</w:t>
            </w:r>
          </w:p>
        </w:tc>
      </w:tr>
      <w:tr>
        <w:tc>
          <w:tcPr>
            <w:tcW w:type="dxa" w:w="2200"/>
          </w:tcPr>
          <w:p>
            <w:r>
              <w:rPr>
                <w:color w:val="202020"/>
                <w:sz w:val="19"/>
              </w:rPr>
              <w:t>Active-active HA</w:t>
            </w:r>
          </w:p>
        </w:tc>
        <w:tc>
          <w:tcPr>
            <w:tcW w:type="dxa" w:w="3560"/>
          </w:tcPr>
          <w:p>
            <w:r>
              <w:rPr>
                <w:color w:val="202020"/>
                <w:sz w:val="19"/>
              </w:rPr>
              <w:t>HA_MODE, NODE_ID, HA_*_SECONDS</w:t>
            </w:r>
          </w:p>
        </w:tc>
        <w:tc>
          <w:tcPr>
            <w:tcW w:type="dxa" w:w="3600"/>
          </w:tcPr>
          <w:p>
            <w:r>
              <w:rPr>
                <w:color w:val="202020"/>
                <w:sz w:val="19"/>
              </w:rPr>
              <w:t>Availability + crawl resilience (not more throughput)</w:t>
            </w:r>
          </w:p>
        </w:tc>
      </w:tr>
      <w:tr>
        <w:tc>
          <w:tcPr>
            <w:tcW w:type="dxa" w:w="2200"/>
            <w:shd w:val="clear" w:color="auto" w:fill="F7F9FC"/>
          </w:tcPr>
          <w:p>
            <w:r>
              <w:rPr>
                <w:color w:val="202020"/>
                <w:sz w:val="19"/>
              </w:rPr>
              <w:t>Circuit breaker / degraded</w:t>
            </w:r>
          </w:p>
        </w:tc>
        <w:tc>
          <w:tcPr>
            <w:tcW w:type="dxa" w:w="3560"/>
            <w:shd w:val="clear" w:color="auto" w:fill="F7F9FC"/>
          </w:tcPr>
          <w:p>
            <w:r>
              <w:rPr>
                <w:color w:val="202020"/>
                <w:sz w:val="19"/>
              </w:rPr>
              <w:t>CIRCUIT_BREAKER, CIRCUIT_BREAKER_*</w:t>
            </w:r>
          </w:p>
        </w:tc>
        <w:tc>
          <w:tcPr>
            <w:tcW w:type="dxa" w:w="3600"/>
            <w:shd w:val="clear" w:color="auto" w:fill="F7F9FC"/>
          </w:tcPr>
          <w:p>
            <w:r>
              <w:rPr>
                <w:color w:val="202020"/>
                <w:sz w:val="19"/>
              </w:rPr>
              <w:t>Backs off cleanly in a sustained outage; no state loss</w:t>
            </w:r>
          </w:p>
        </w:tc>
      </w:tr>
      <w:tr>
        <w:tc>
          <w:tcPr>
            <w:tcW w:type="dxa" w:w="2200"/>
          </w:tcPr>
          <w:p>
            <w:r>
              <w:rPr>
                <w:color w:val="202020"/>
                <w:sz w:val="19"/>
              </w:rPr>
              <w:t>Health / metrics</w:t>
            </w:r>
          </w:p>
        </w:tc>
        <w:tc>
          <w:tcPr>
            <w:tcW w:type="dxa" w:w="3560"/>
          </w:tcPr>
          <w:p>
            <w:r>
              <w:rPr>
                <w:color w:val="202020"/>
                <w:sz w:val="19"/>
              </w:rPr>
              <w:t>HEALTH_PORT</w:t>
            </w:r>
          </w:p>
        </w:tc>
        <w:tc>
          <w:tcPr>
            <w:tcW w:type="dxa" w:w="3600"/>
          </w:tcPr>
          <w:p>
            <w:r>
              <w:rPr>
                <w:color w:val="202020"/>
                <w:sz w:val="19"/>
              </w:rPr>
              <w:t>/health /ready /metrics for monitoring</w:t>
            </w:r>
          </w:p>
        </w:tc>
      </w:tr>
      <w:tr>
        <w:tc>
          <w:tcPr>
            <w:tcW w:type="dxa" w:w="2200"/>
            <w:shd w:val="clear" w:color="auto" w:fill="F7F9FC"/>
          </w:tcPr>
          <w:p>
            <w:r>
              <w:rPr>
                <w:color w:val="202020"/>
                <w:sz w:val="19"/>
              </w:rPr>
              <w:t>Structured logs</w:t>
            </w:r>
          </w:p>
        </w:tc>
        <w:tc>
          <w:tcPr>
            <w:tcW w:type="dxa" w:w="3560"/>
            <w:shd w:val="clear" w:color="auto" w:fill="F7F9FC"/>
          </w:tcPr>
          <w:p>
            <w:r>
              <w:rPr>
                <w:color w:val="202020"/>
                <w:sz w:val="19"/>
              </w:rPr>
              <w:t>LOG_FORMAT=json</w:t>
            </w:r>
          </w:p>
        </w:tc>
        <w:tc>
          <w:tcPr>
            <w:tcW w:type="dxa" w:w="3600"/>
            <w:shd w:val="clear" w:color="auto" w:fill="F7F9FC"/>
          </w:tcPr>
          <w:p>
            <w:r>
              <w:rPr>
                <w:color w:val="202020"/>
                <w:sz w:val="19"/>
              </w:rPr>
              <w:t>SIEM-friendly one-object-per-line logs</w:t>
            </w:r>
          </w:p>
        </w:tc>
      </w:tr>
      <w:tr>
        <w:tc>
          <w:tcPr>
            <w:tcW w:type="dxa" w:w="2200"/>
          </w:tcPr>
          <w:p>
            <w:r>
              <w:rPr>
                <w:color w:val="202020"/>
                <w:sz w:val="19"/>
              </w:rPr>
              <w:t>Tracing</w:t>
            </w:r>
          </w:p>
        </w:tc>
        <w:tc>
          <w:tcPr>
            <w:tcW w:type="dxa" w:w="3560"/>
          </w:tcPr>
          <w:p>
            <w:r>
              <w:rPr>
                <w:color w:val="202020"/>
                <w:sz w:val="19"/>
              </w:rPr>
              <w:t>OTEL_EXPORTER_OTLP_ENDPOINT</w:t>
            </w:r>
          </w:p>
        </w:tc>
        <w:tc>
          <w:tcPr>
            <w:tcW w:type="dxa" w:w="3600"/>
          </w:tcPr>
          <w:p>
            <w:r>
              <w:rPr>
                <w:color w:val="202020"/>
                <w:sz w:val="19"/>
              </w:rPr>
              <w:t>End-to-end spans + correlation id per run</w:t>
            </w:r>
          </w:p>
        </w:tc>
      </w:tr>
      <w:tr>
        <w:tc>
          <w:tcPr>
            <w:tcW w:type="dxa" w:w="2200"/>
            <w:shd w:val="clear" w:color="auto" w:fill="F7F9FC"/>
          </w:tcPr>
          <w:p>
            <w:r>
              <w:rPr>
                <w:color w:val="202020"/>
                <w:sz w:val="19"/>
              </w:rPr>
              <w:t>Classification</w:t>
            </w:r>
          </w:p>
        </w:tc>
        <w:tc>
          <w:tcPr>
            <w:tcW w:type="dxa" w:w="3560"/>
            <w:shd w:val="clear" w:color="auto" w:fill="F7F9FC"/>
          </w:tcPr>
          <w:p>
            <w:r>
              <w:rPr>
                <w:color w:val="202020"/>
                <w:sz w:val="19"/>
              </w:rPr>
              <w:t>CLASSIFICATION, CLASSIFICATION_MANIFEST</w:t>
            </w:r>
          </w:p>
        </w:tc>
        <w:tc>
          <w:tcPr>
            <w:tcW w:type="dxa" w:w="3600"/>
            <w:shd w:val="clear" w:color="auto" w:fill="F7F9FC"/>
          </w:tcPr>
          <w:p>
            <w:r>
              <w:rPr>
                <w:color w:val="202020"/>
                <w:sz w:val="19"/>
              </w:rPr>
              <w:t>Sensitivity label + detected categories per item</w:t>
            </w:r>
          </w:p>
        </w:tc>
      </w:tr>
    </w:tbl>
    <w:p>
      <w:pPr>
        <w:spacing w:after="40"/>
      </w:pPr>
    </w:p>
    <w:p>
      <w:r>
        <w:br w:type="page"/>
      </w:r>
    </w:p>
    <w:p>
      <w:pPr>
        <w:pStyle w:val="Heading1"/>
      </w:pPr>
      <w:r>
        <w:rPr>
          <w:color w:val="1F3864"/>
        </w:rPr>
        <w:t>7. Security and authentication</w:t>
      </w:r>
    </w:p>
    <w:p>
      <w:pPr>
        <w:spacing w:after="200"/>
      </w:pPr>
      <w:r>
        <w:rPr>
          <w:color w:val="595959"/>
          <w:sz w:val="23"/>
        </w:rPr>
        <w:t>How a connector proves who it is to Microsoft Graph, where its secrets live, how it behaves behind a corporate proxy, and how its data at rest is protected. Collect the values in the purple callouts before you deploy.</w:t>
      </w:r>
    </w:p>
    <w:p>
      <w:pPr>
        <w:pStyle w:val="Heading2"/>
      </w:pPr>
      <w:r>
        <w:rPr>
          <w:color w:val="2E5496"/>
        </w:rPr>
        <w:t>7.1 The Entra app registration</w:t>
      </w:r>
    </w:p>
    <w:p>
      <w:pPr>
        <w:spacing w:after="120"/>
      </w:pPr>
      <w:r>
        <w:rPr>
          <w:color w:val="202020"/>
        </w:rPr>
        <w:t xml:space="preserve">A connector authenticates as an </w:t>
      </w:r>
      <w:r>
        <w:rPr>
          <w:b/>
          <w:color w:val="202020"/>
        </w:rPr>
        <w:t>application</w:t>
      </w:r>
      <w:r>
        <w:rPr>
          <w:color w:val="202020"/>
        </w:rPr>
        <w:t xml:space="preserve">, not a person — it is a daemon with no user signing in. That application identity is an </w:t>
      </w:r>
      <w:r>
        <w:rPr>
          <w:b/>
          <w:color w:val="202020"/>
        </w:rPr>
        <w:t>app registration</w:t>
      </w:r>
      <w:r>
        <w:rPr>
          <w:color w:val="202020"/>
        </w:rPr>
        <w:t xml:space="preserve"> in Entra ID. It has a client id, an object id, a tenant id, and one or more credentials (a secret or a certificate). It is granted a small set of </w:t>
      </w:r>
      <w:r>
        <w:rPr>
          <w:b/>
          <w:color w:val="202020"/>
        </w:rPr>
        <w:t>application</w:t>
      </w:r>
      <w:r>
        <w:rPr>
          <w:color w:val="202020"/>
        </w:rPr>
        <w:t xml:space="preserve"> Graph permissions, which a directory admin must </w:t>
      </w:r>
      <w:r>
        <w:rPr>
          <w:b/>
          <w:color w:val="202020"/>
        </w:rPr>
        <w:t>consent</w:t>
      </w:r>
      <w:r>
        <w:rPr>
          <w:color w:val="202020"/>
        </w:rPr>
        <w:t xml:space="preserve"> to once. There is </w:t>
      </w:r>
      <w:r>
        <w:rPr>
          <w:b/>
          <w:color w:val="202020"/>
        </w:rPr>
        <w:t>one app registration per connector</w:t>
      </w:r>
      <w:r>
        <w:rPr>
          <w:color w:val="202020"/>
        </w:rPr>
        <w:t xml:space="preserve"> (five total) so that Graph's per-app throttling isolates each connector — one connector's burst cannot starve the others (section 8.3).</w:t>
      </w:r>
    </w:p>
    <w:p>
      <w:pPr>
        <w:pStyle w:val="Heading2"/>
      </w:pPr>
      <w:r>
        <w:rPr>
          <w:color w:val="2E5496"/>
        </w:rPr>
        <w:t>7.2 Least-privilege Graph permissions</w:t>
      </w:r>
    </w:p>
    <w:p>
      <w:pPr>
        <w:spacing w:after="120"/>
      </w:pPr>
      <w:r>
        <w:rPr>
          <w:color w:val="202020"/>
        </w:rPr>
        <w:t xml:space="preserve">Grant exactly these </w:t>
      </w:r>
      <w:r>
        <w:rPr>
          <w:b/>
          <w:color w:val="202020"/>
        </w:rPr>
        <w:t>application</w:t>
      </w:r>
      <w:r>
        <w:rPr>
          <w:color w:val="202020"/>
        </w:rPr>
        <w:t xml:space="preserve"> permissions — nothing broader:</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200"/>
        <w:gridCol w:w="3960"/>
        <w:gridCol w:w="2200"/>
      </w:tblGrid>
      <w:tr>
        <w:tc>
          <w:tcPr>
            <w:tcW w:type="dxa" w:w="3200"/>
            <w:shd w:val="clear" w:color="auto" w:fill="2E5496"/>
          </w:tcPr>
          <w:p>
            <w:r>
              <w:rPr>
                <w:b/>
                <w:color w:val="FFFFFF"/>
                <w:sz w:val="19"/>
              </w:rPr>
              <w:t>Permission</w:t>
            </w:r>
          </w:p>
        </w:tc>
        <w:tc>
          <w:tcPr>
            <w:tcW w:type="dxa" w:w="3960"/>
            <w:shd w:val="clear" w:color="auto" w:fill="2E5496"/>
          </w:tcPr>
          <w:p>
            <w:r>
              <w:rPr>
                <w:b/>
                <w:color w:val="FFFFFF"/>
                <w:sz w:val="19"/>
              </w:rPr>
              <w:t>Why it is needed</w:t>
            </w:r>
          </w:p>
        </w:tc>
        <w:tc>
          <w:tcPr>
            <w:tcW w:type="dxa" w:w="2200"/>
            <w:shd w:val="clear" w:color="auto" w:fill="2E5496"/>
          </w:tcPr>
          <w:p>
            <w:r>
              <w:rPr>
                <w:b/>
                <w:color w:val="FFFFFF"/>
                <w:sz w:val="19"/>
              </w:rPr>
              <w:t>Notes</w:t>
            </w:r>
          </w:p>
        </w:tc>
      </w:tr>
      <w:tr>
        <w:tc>
          <w:tcPr>
            <w:tcW w:type="dxa" w:w="3200"/>
          </w:tcPr>
          <w:p>
            <w:r>
              <w:rPr>
                <w:color w:val="202020"/>
                <w:sz w:val="19"/>
              </w:rPr>
              <w:t>ExternalConnection.ReadWrite.OwnedBy</w:t>
            </w:r>
          </w:p>
        </w:tc>
        <w:tc>
          <w:tcPr>
            <w:tcW w:type="dxa" w:w="3960"/>
          </w:tcPr>
          <w:p>
            <w:r>
              <w:rPr>
                <w:color w:val="202020"/>
                <w:sz w:val="19"/>
              </w:rPr>
              <w:t>Create/manage only connections this app owns (connection, schema, external groups)</w:t>
            </w:r>
          </w:p>
        </w:tc>
        <w:tc>
          <w:tcPr>
            <w:tcW w:type="dxa" w:w="2200"/>
          </w:tcPr>
          <w:p>
            <w:r>
              <w:rPr>
                <w:color w:val="202020"/>
                <w:sz w:val="19"/>
              </w:rPr>
              <w:t>Do NOT grant the .All variant</w:t>
            </w:r>
          </w:p>
        </w:tc>
      </w:tr>
      <w:tr>
        <w:tc>
          <w:tcPr>
            <w:tcW w:type="dxa" w:w="3200"/>
            <w:shd w:val="clear" w:color="auto" w:fill="F7F9FC"/>
          </w:tcPr>
          <w:p>
            <w:r>
              <w:rPr>
                <w:color w:val="202020"/>
                <w:sz w:val="19"/>
              </w:rPr>
              <w:t>ExternalItem.ReadWrite.OwnedBy</w:t>
            </w:r>
          </w:p>
        </w:tc>
        <w:tc>
          <w:tcPr>
            <w:tcW w:type="dxa" w:w="3960"/>
            <w:shd w:val="clear" w:color="auto" w:fill="F7F9FC"/>
          </w:tcPr>
          <w:p>
            <w:r>
              <w:rPr>
                <w:color w:val="202020"/>
                <w:sz w:val="19"/>
              </w:rPr>
              <w:t>Write/delete items only in owned connections</w:t>
            </w:r>
          </w:p>
        </w:tc>
        <w:tc>
          <w:tcPr>
            <w:tcW w:type="dxa" w:w="2200"/>
            <w:shd w:val="clear" w:color="auto" w:fill="F7F9FC"/>
          </w:tcPr>
          <w:p>
            <w:r>
              <w:rPr>
                <w:color w:val="202020"/>
                <w:sz w:val="19"/>
              </w:rPr>
              <w:t>Do NOT grant the .All variant</w:t>
            </w:r>
          </w:p>
        </w:tc>
      </w:tr>
      <w:tr>
        <w:tc>
          <w:tcPr>
            <w:tcW w:type="dxa" w:w="3200"/>
          </w:tcPr>
          <w:p>
            <w:r>
              <w:rPr>
                <w:color w:val="202020"/>
                <w:sz w:val="19"/>
              </w:rPr>
              <w:t>User.Read.All</w:t>
            </w:r>
          </w:p>
        </w:tc>
        <w:tc>
          <w:tcPr>
            <w:tcW w:type="dxa" w:w="3960"/>
          </w:tcPr>
          <w:p>
            <w:r>
              <w:rPr>
                <w:color w:val="202020"/>
                <w:sz w:val="19"/>
              </w:rPr>
              <w:t>Resolve source users to Entra object ids for ACLs</w:t>
            </w:r>
          </w:p>
        </w:tc>
        <w:tc>
          <w:tcPr>
            <w:tcW w:type="dxa" w:w="2200"/>
          </w:tcPr>
          <w:p>
            <w:r>
              <w:rPr>
                <w:color w:val="202020"/>
                <w:sz w:val="19"/>
              </w:rPr>
              <w:t>The directory-read floor; droppable only if you run public ACLs with no user grants</w:t>
            </w:r>
          </w:p>
        </w:tc>
      </w:tr>
    </w:tbl>
    <w:p>
      <w:pPr>
        <w:spacing w:after="40"/>
      </w:pPr>
    </w:p>
    <w:p>
      <w:pPr>
        <w:spacing w:after="120"/>
      </w:pPr>
      <w:r>
        <w:rPr>
          <w:color w:val="202020"/>
        </w:rPr>
        <w:t xml:space="preserve">Do </w:t>
      </w:r>
      <w:r>
        <w:rPr>
          <w:b/>
          <w:color w:val="202020"/>
        </w:rPr>
        <w:t>not</w:t>
      </w:r>
      <w:r>
        <w:rPr>
          <w:color w:val="202020"/>
        </w:rPr>
        <w:t xml:space="preserve"> grant </w:t>
      </w:r>
      <w:r>
        <w:rPr>
          <w:rFonts w:ascii="Consolas" w:hAnsi="Consolas"/>
          <w:color w:val="202020"/>
          <w:sz w:val="19"/>
        </w:rPr>
        <w:t>Directory.Read.All</w:t>
      </w:r>
      <w:r>
        <w:rPr>
          <w:color w:val="202020"/>
        </w:rPr>
        <w:t xml:space="preserve"> (a superset of the user lookup) or any </w:t>
      </w:r>
      <w:r>
        <w:rPr>
          <w:b/>
          <w:color w:val="202020"/>
        </w:rPr>
        <w:t>delegated</w:t>
      </w:r>
      <w:r>
        <w:rPr>
          <w:color w:val="202020"/>
        </w:rPr>
        <w:t xml:space="preserve"> permission (the connector is a daemon, not a signed-in user).</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Request from your </w:t>
            </w:r>
            <w:r>
              <w:rPr>
                <w:b/>
                <w:color w:val="202020"/>
                <w:sz w:val="20"/>
              </w:rPr>
              <w:t>Entra ID administrator</w:t>
            </w:r>
            <w:r>
              <w:rPr>
                <w:color w:val="202020"/>
                <w:sz w:val="20"/>
              </w:rPr>
              <w:t xml:space="preserve">: the app registration's </w:t>
            </w:r>
            <w:r>
              <w:rPr>
                <w:b/>
                <w:color w:val="202020"/>
                <w:sz w:val="20"/>
              </w:rPr>
              <w:t>client id</w:t>
            </w:r>
            <w:r>
              <w:rPr>
                <w:color w:val="202020"/>
                <w:sz w:val="20"/>
              </w:rPr>
              <w:t xml:space="preserve">, </w:t>
            </w:r>
            <w:r>
              <w:rPr>
                <w:b/>
                <w:color w:val="202020"/>
                <w:sz w:val="20"/>
              </w:rPr>
              <w:t>object id</w:t>
            </w:r>
            <w:r>
              <w:rPr>
                <w:color w:val="202020"/>
                <w:sz w:val="20"/>
              </w:rPr>
              <w:t xml:space="preserve"> and </w:t>
            </w:r>
            <w:r>
              <w:rPr>
                <w:b/>
                <w:color w:val="202020"/>
                <w:sz w:val="20"/>
              </w:rPr>
              <w:t>tenant id</w:t>
            </w:r>
            <w:r>
              <w:rPr>
                <w:color w:val="202020"/>
                <w:sz w:val="20"/>
              </w:rPr>
              <w:t xml:space="preserve">; </w:t>
            </w:r>
            <w:r>
              <w:rPr>
                <w:b/>
                <w:color w:val="202020"/>
                <w:sz w:val="20"/>
              </w:rPr>
              <w:t>admin consent</w:t>
            </w:r>
            <w:r>
              <w:rPr>
                <w:color w:val="202020"/>
                <w:sz w:val="20"/>
              </w:rPr>
              <w:t xml:space="preserve"> for the three application permissions above; and the OAuth authority host if you are on a sovereign cloud. Without admin consent the connector cannot call Graph at all.</w:t>
            </w:r>
          </w:p>
        </w:tc>
      </w:tr>
    </w:tbl>
    <w:p>
      <w:pPr>
        <w:spacing w:after="40"/>
      </w:pPr>
    </w:p>
    <w:p>
      <w:pPr>
        <w:pStyle w:val="Heading2"/>
      </w:pPr>
      <w:r>
        <w:rPr>
          <w:color w:val="2E5496"/>
        </w:rPr>
        <w:t>7.3 Two ways to authenticate — secret vs. certificate</w:t>
      </w:r>
    </w:p>
    <w:p>
      <w:pPr>
        <w:spacing w:after="120"/>
      </w:pPr>
      <w:r>
        <w:rPr>
          <w:color w:val="202020"/>
        </w:rPr>
        <w:t xml:space="preserve">The connector obtains an </w:t>
      </w:r>
      <w:r>
        <w:rPr>
          <w:b/>
          <w:color w:val="202020"/>
        </w:rPr>
        <w:t>access token</w:t>
      </w:r>
      <w:r>
        <w:rPr>
          <w:color w:val="202020"/>
        </w:rPr>
        <w:t xml:space="preserve"> from Entra using the OAuth 2.0 </w:t>
      </w:r>
      <w:r>
        <w:rPr>
          <w:b/>
          <w:color w:val="202020"/>
        </w:rPr>
        <w:t>client-credentials</w:t>
      </w:r>
      <w:r>
        <w:rPr>
          <w:color w:val="202020"/>
        </w:rPr>
        <w:t xml:space="preserve"> flow, proving its identity in one of two ways: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200"/>
        <w:gridCol w:w="4460"/>
        <w:gridCol w:w="2700"/>
      </w:tblGrid>
      <w:tr>
        <w:tc>
          <w:tcPr>
            <w:tcW w:type="dxa" w:w="2200"/>
            <w:shd w:val="clear" w:color="auto" w:fill="2E5496"/>
          </w:tcPr>
          <w:p>
            <w:r>
              <w:rPr>
                <w:b/>
                <w:color w:val="FFFFFF"/>
                <w:sz w:val="19"/>
              </w:rPr>
              <w:t>Method</w:t>
            </w:r>
          </w:p>
        </w:tc>
        <w:tc>
          <w:tcPr>
            <w:tcW w:type="dxa" w:w="4460"/>
            <w:shd w:val="clear" w:color="auto" w:fill="2E5496"/>
          </w:tcPr>
          <w:p>
            <w:r>
              <w:rPr>
                <w:b/>
                <w:color w:val="FFFFFF"/>
                <w:sz w:val="19"/>
              </w:rPr>
              <w:t>How it works</w:t>
            </w:r>
          </w:p>
        </w:tc>
        <w:tc>
          <w:tcPr>
            <w:tcW w:type="dxa" w:w="2700"/>
            <w:shd w:val="clear" w:color="auto" w:fill="2E5496"/>
          </w:tcPr>
          <w:p>
            <w:r>
              <w:rPr>
                <w:b/>
                <w:color w:val="FFFFFF"/>
                <w:sz w:val="19"/>
              </w:rPr>
              <w:t>When to use it</w:t>
            </w:r>
          </w:p>
        </w:tc>
      </w:tr>
      <w:tr>
        <w:tc>
          <w:tcPr>
            <w:tcW w:type="dxa" w:w="2200"/>
          </w:tcPr>
          <w:p>
            <w:r>
              <w:rPr>
                <w:color w:val="202020"/>
                <w:sz w:val="19"/>
              </w:rPr>
              <w:t>Client secret</w:t>
            </w:r>
          </w:p>
        </w:tc>
        <w:tc>
          <w:tcPr>
            <w:tcW w:type="dxa" w:w="4460"/>
          </w:tcPr>
          <w:p>
            <w:r>
              <w:rPr>
                <w:color w:val="202020"/>
                <w:sz w:val="19"/>
              </w:rPr>
              <w:t>A shared secret string (SECRET_AAD_APP_CLIENT_SECRET) sent to Entra for a token</w:t>
            </w:r>
          </w:p>
        </w:tc>
        <w:tc>
          <w:tcPr>
            <w:tcW w:type="dxa" w:w="2700"/>
          </w:tcPr>
          <w:p>
            <w:r>
              <w:rPr>
                <w:color w:val="202020"/>
                <w:sz w:val="19"/>
              </w:rPr>
              <w:t>Simplest; fine for dev/test; acceptable in prod if stored in Key Vault and rotated</w:t>
            </w:r>
          </w:p>
        </w:tc>
      </w:tr>
      <w:tr>
        <w:tc>
          <w:tcPr>
            <w:tcW w:type="dxa" w:w="2200"/>
            <w:shd w:val="clear" w:color="auto" w:fill="F7F9FC"/>
          </w:tcPr>
          <w:p>
            <w:r>
              <w:rPr>
                <w:color w:val="202020"/>
                <w:sz w:val="19"/>
              </w:rPr>
              <w:t>Certificate credential</w:t>
            </w:r>
          </w:p>
        </w:tc>
        <w:tc>
          <w:tcPr>
            <w:tcW w:type="dxa" w:w="4460"/>
            <w:shd w:val="clear" w:color="auto" w:fill="F7F9FC"/>
          </w:tcPr>
          <w:p>
            <w:r>
              <w:rPr>
                <w:color w:val="202020"/>
                <w:sz w:val="19"/>
              </w:rPr>
              <w:t>An RS256 signed assertion (client_assertion, x5t#S256) proves possession of a private key that never leaves the host/store</w:t>
            </w:r>
          </w:p>
        </w:tc>
        <w:tc>
          <w:tcPr>
            <w:tcW w:type="dxa" w:w="2700"/>
            <w:shd w:val="clear" w:color="auto" w:fill="F7F9FC"/>
          </w:tcPr>
          <w:p>
            <w:r>
              <w:rPr>
                <w:color w:val="202020"/>
                <w:sz w:val="19"/>
              </w:rPr>
              <w:t>Preferred in production and required-in-spirit for FIPS estates; the key can be non-exportable in the machine store</w:t>
            </w:r>
          </w:p>
        </w:tc>
      </w:tr>
    </w:tbl>
    <w:p>
      <w:pPr>
        <w:spacing w:after="40"/>
      </w:pPr>
    </w:p>
    <w:p>
      <w:pPr>
        <w:spacing w:after="120"/>
      </w:pPr>
      <w:r>
        <w:rPr>
          <w:color w:val="202020"/>
        </w:rPr>
        <w:t xml:space="preserve">The certificate is configured with </w:t>
      </w:r>
      <w:r>
        <w:rPr>
          <w:rFonts w:ascii="Consolas" w:hAnsi="Consolas"/>
          <w:color w:val="202020"/>
          <w:sz w:val="19"/>
        </w:rPr>
        <w:t>GRAPH_CLIENT_CERT_THUMBPRINT</w:t>
      </w:r>
      <w:r>
        <w:rPr>
          <w:color w:val="202020"/>
        </w:rPr>
        <w:t xml:space="preserve"> (load from the Windows store — preferred, key can stay non-exportable) or </w:t>
      </w:r>
      <w:r>
        <w:rPr>
          <w:rFonts w:ascii="Consolas" w:hAnsi="Consolas"/>
          <w:color w:val="202020"/>
          <w:sz w:val="19"/>
        </w:rPr>
        <w:t>GRAPH_CLIENT_CERT_PATH</w:t>
      </w:r>
      <w:r>
        <w:rPr>
          <w:color w:val="202020"/>
        </w:rPr>
        <w:t xml:space="preserve"> (+</w:t>
      </w:r>
      <w:r>
        <w:rPr>
          <w:rFonts w:ascii="Consolas" w:hAnsi="Consolas"/>
          <w:color w:val="202020"/>
          <w:sz w:val="19"/>
        </w:rPr>
        <w:t>GRAPH_CLIENT_CERT_PASSWORD</w:t>
      </w:r>
      <w:r>
        <w:rPr>
          <w:color w:val="202020"/>
        </w:rPr>
        <w:t xml:space="preserve">) for a PFX file. </w:t>
      </w:r>
      <w:r>
        <w:rPr>
          <w:b/>
          <w:color w:val="202020"/>
        </w:rPr>
        <w:t>The certificate wins when both a certificate and a secret are configured</w:t>
      </w:r>
      <w:r>
        <w:rPr>
          <w:color w:val="202020"/>
        </w:rPr>
        <w:t>, which gives a safe rotation escape hatch: a still-valid secret keeps working if a cert rotation goes wrong. The chosen mode is logged at startup; key material is never logged. Assertions are short-lived (10 minutes) with a unique id.</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Decide with your </w:t>
            </w:r>
            <w:r>
              <w:rPr>
                <w:b/>
                <w:color w:val="202020"/>
                <w:sz w:val="20"/>
              </w:rPr>
              <w:t>security team</w:t>
            </w:r>
            <w:r>
              <w:rPr>
                <w:color w:val="202020"/>
                <w:sz w:val="20"/>
              </w:rPr>
              <w:t xml:space="preserve"> whether this connector uses a </w:t>
            </w:r>
            <w:r>
              <w:rPr>
                <w:b/>
                <w:color w:val="202020"/>
                <w:sz w:val="20"/>
              </w:rPr>
              <w:t>client secret</w:t>
            </w:r>
            <w:r>
              <w:rPr>
                <w:color w:val="202020"/>
                <w:sz w:val="20"/>
              </w:rPr>
              <w:t xml:space="preserve"> or a </w:t>
            </w:r>
            <w:r>
              <w:rPr>
                <w:b/>
                <w:color w:val="202020"/>
                <w:sz w:val="20"/>
              </w:rPr>
              <w:t>certificate</w:t>
            </w:r>
            <w:r>
              <w:rPr>
                <w:color w:val="202020"/>
                <w:sz w:val="20"/>
              </w:rPr>
              <w:t xml:space="preserve">. For a certificate, request the cert (and its thumbprint, or the PFX + password) from your </w:t>
            </w:r>
            <w:r>
              <w:rPr>
                <w:b/>
                <w:color w:val="202020"/>
                <w:sz w:val="20"/>
              </w:rPr>
              <w:t>PKI / certificate team</w:t>
            </w:r>
            <w:r>
              <w:rPr>
                <w:color w:val="202020"/>
                <w:sz w:val="20"/>
              </w:rPr>
              <w:t xml:space="preserve"> and have its </w:t>
            </w:r>
            <w:r>
              <w:rPr>
                <w:b/>
                <w:color w:val="202020"/>
                <w:sz w:val="20"/>
              </w:rPr>
              <w:t>public key uploaded to the app registration</w:t>
            </w:r>
            <w:r>
              <w:rPr>
                <w:color w:val="202020"/>
                <w:sz w:val="20"/>
              </w:rPr>
              <w:t xml:space="preserve"> by the </w:t>
            </w:r>
            <w:r>
              <w:rPr>
                <w:b/>
                <w:color w:val="202020"/>
                <w:sz w:val="20"/>
              </w:rPr>
              <w:t>Entra administrator</w:t>
            </w:r>
            <w:r>
              <w:rPr>
                <w:color w:val="202020"/>
                <w:sz w:val="20"/>
              </w:rPr>
              <w:t xml:space="preserve">. For a secret, request the </w:t>
            </w:r>
            <w:r>
              <w:rPr>
                <w:b/>
                <w:color w:val="202020"/>
                <w:sz w:val="20"/>
              </w:rPr>
              <w:t>secret value</w:t>
            </w:r>
            <w:r>
              <w:rPr>
                <w:color w:val="202020"/>
                <w:sz w:val="20"/>
              </w:rPr>
              <w:t xml:space="preserve"> (not the secret id) from the </w:t>
            </w:r>
            <w:r>
              <w:rPr>
                <w:b/>
                <w:color w:val="202020"/>
                <w:sz w:val="20"/>
              </w:rPr>
              <w:t>Entra administrator</w:t>
            </w:r>
            <w:r>
              <w:rPr>
                <w:color w:val="202020"/>
                <w:sz w:val="20"/>
              </w:rPr>
              <w:t xml:space="preserve"> — and never paste it into a document or ticket; put it straight into Key Vault or the secret file.</w:t>
            </w:r>
          </w:p>
        </w:tc>
      </w:tr>
    </w:tbl>
    <w:p>
      <w:pPr>
        <w:spacing w:after="40"/>
      </w:pPr>
    </w:p>
    <w:p>
      <w:pPr>
        <w:pStyle w:val="Heading2"/>
      </w:pPr>
      <w:r>
        <w:rPr>
          <w:color w:val="2E5496"/>
        </w:rPr>
        <w:t>7.4 Azure Key Vault</w:t>
      </w:r>
    </w:p>
    <w:p>
      <w:pPr>
        <w:spacing w:after="120"/>
      </w:pPr>
      <w:r>
        <w:rPr>
          <w:color w:val="202020"/>
        </w:rPr>
        <w:t xml:space="preserve">Set </w:t>
      </w:r>
      <w:r>
        <w:rPr>
          <w:rFonts w:ascii="Consolas" w:hAnsi="Consolas"/>
          <w:color w:val="202020"/>
          <w:sz w:val="19"/>
        </w:rPr>
        <w:t>USE_KEY_VAULT=true</w:t>
      </w:r>
      <w:r>
        <w:rPr>
          <w:color w:val="202020"/>
        </w:rPr>
        <w:t xml:space="preserve"> and </w:t>
      </w:r>
      <w:r>
        <w:rPr>
          <w:rFonts w:ascii="Consolas" w:hAnsi="Consolas"/>
          <w:color w:val="202020"/>
          <w:sz w:val="19"/>
        </w:rPr>
        <w:t>KEY_VAULT_URI</w:t>
      </w:r>
      <w:r>
        <w:rPr>
          <w:color w:val="202020"/>
        </w:rPr>
        <w:t xml:space="preserve"> to read every </w:t>
      </w:r>
      <w:r>
        <w:rPr>
          <w:rFonts w:ascii="Consolas" w:hAnsi="Consolas"/>
          <w:color w:val="202020"/>
          <w:sz w:val="19"/>
        </w:rPr>
        <w:t>SECRET_*</w:t>
      </w:r>
      <w:r>
        <w:rPr>
          <w:color w:val="202020"/>
        </w:rPr>
        <w:t xml:space="preserve"> value from </w:t>
      </w:r>
      <w:r>
        <w:rPr>
          <w:b/>
          <w:color w:val="202020"/>
        </w:rPr>
        <w:t>Azure Key Vault</w:t>
      </w:r>
      <w:r>
        <w:rPr>
          <w:color w:val="202020"/>
        </w:rPr>
        <w:t xml:space="preserve"> instead of a file on disk. The vault secret name is the environment-variable name lowercased with underscores turned into hyphens (for example </w:t>
      </w:r>
      <w:r>
        <w:rPr>
          <w:rFonts w:ascii="Consolas" w:hAnsi="Consolas"/>
          <w:color w:val="202020"/>
          <w:sz w:val="19"/>
        </w:rPr>
        <w:t>SECRET_AAD_APP_CLIENT_SECRET</w:t>
      </w:r>
      <w:r>
        <w:rPr>
          <w:color w:val="202020"/>
        </w:rPr>
        <w:t xml:space="preserve"> becomes </w:t>
      </w:r>
      <w:r>
        <w:rPr>
          <w:rFonts w:ascii="Consolas" w:hAnsi="Consolas"/>
          <w:color w:val="202020"/>
          <w:sz w:val="19"/>
        </w:rPr>
        <w:t>secret-aad-app-client-secret</w:t>
      </w:r>
      <w:r>
        <w:rPr>
          <w:color w:val="202020"/>
        </w:rPr>
        <w:t xml:space="preserve">). This is the recommended production pattern: no secret file exists on the box at all, and rotating a secret is a single vault write rather than a change on every node. The connector's identity needs only the </w:t>
      </w:r>
      <w:r>
        <w:rPr>
          <w:rFonts w:ascii="Consolas" w:hAnsi="Consolas"/>
          <w:color w:val="202020"/>
          <w:sz w:val="19"/>
        </w:rPr>
        <w:t>get</w:t>
      </w:r>
      <w:r>
        <w:rPr>
          <w:color w:val="202020"/>
        </w:rPr>
        <w:t xml:space="preserve"> permission on secrets.</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Request from your </w:t>
            </w:r>
            <w:r>
              <w:rPr>
                <w:b/>
                <w:color w:val="202020"/>
                <w:sz w:val="20"/>
              </w:rPr>
              <w:t>Azure platform / Key Vault team</w:t>
            </w:r>
            <w:r>
              <w:rPr>
                <w:color w:val="202020"/>
                <w:sz w:val="20"/>
              </w:rPr>
              <w:t xml:space="preserve">: the </w:t>
            </w:r>
            <w:r>
              <w:rPr>
                <w:b/>
                <w:color w:val="202020"/>
                <w:sz w:val="20"/>
              </w:rPr>
              <w:t>Key Vault URI</w:t>
            </w:r>
            <w:r>
              <w:rPr>
                <w:color w:val="202020"/>
                <w:sz w:val="20"/>
              </w:rPr>
              <w:t xml:space="preserve">, and </w:t>
            </w:r>
            <w:r>
              <w:rPr>
                <w:rFonts w:ascii="Consolas" w:hAnsi="Consolas"/>
                <w:b/>
                <w:color w:val="202020"/>
                <w:sz w:val="19"/>
              </w:rPr>
              <w:t>get</w:t>
            </w:r>
            <w:r>
              <w:rPr>
                <w:b/>
                <w:color w:val="202020"/>
                <w:sz w:val="20"/>
              </w:rPr>
              <w:t xml:space="preserve"> access on secrets</w:t>
            </w:r>
            <w:r>
              <w:rPr>
                <w:color w:val="202020"/>
                <w:sz w:val="20"/>
              </w:rPr>
              <w:t xml:space="preserve"> for the connector's service account or managed identity. Ask the rotation automation owner for </w:t>
            </w:r>
            <w:r>
              <w:rPr>
                <w:rFonts w:ascii="Consolas" w:hAnsi="Consolas"/>
                <w:b/>
                <w:color w:val="202020"/>
                <w:sz w:val="19"/>
              </w:rPr>
              <w:t>set</w:t>
            </w:r>
            <w:r>
              <w:rPr>
                <w:color w:val="202020"/>
                <w:sz w:val="20"/>
              </w:rPr>
              <w:t xml:space="preserve"> access — the connector itself never needs it.</w:t>
            </w:r>
          </w:p>
        </w:tc>
      </w:tr>
    </w:tbl>
    <w:p>
      <w:pPr>
        <w:spacing w:after="40"/>
      </w:pPr>
    </w:p>
    <w:p>
      <w:pPr>
        <w:pStyle w:val="Heading2"/>
      </w:pPr>
      <w:r>
        <w:rPr>
          <w:color w:val="2E5496"/>
        </w:rPr>
        <w:t>7.5 Corporate proxy and TLS inspection</w:t>
      </w:r>
    </w:p>
    <w:p>
      <w:pPr>
        <w:spacing w:after="120"/>
      </w:pPr>
      <w:r>
        <w:rPr>
          <w:color w:val="202020"/>
        </w:rPr>
        <w:t>Behind a locked-down egress, point outbound traffic through your proxy and trust your inspection certificate authority (CA):</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400"/>
        <w:gridCol w:w="6960"/>
      </w:tblGrid>
      <w:tr>
        <w:tc>
          <w:tcPr>
            <w:tcW w:type="dxa" w:w="2400"/>
            <w:shd w:val="clear" w:color="auto" w:fill="2E5496"/>
          </w:tcPr>
          <w:p>
            <w:r>
              <w:rPr>
                <w:b/>
                <w:color w:val="FFFFFF"/>
                <w:sz w:val="19"/>
              </w:rPr>
              <w:t>Setting</w:t>
            </w:r>
          </w:p>
        </w:tc>
        <w:tc>
          <w:tcPr>
            <w:tcW w:type="dxa" w:w="6960"/>
            <w:shd w:val="clear" w:color="auto" w:fill="2E5496"/>
          </w:tcPr>
          <w:p>
            <w:r>
              <w:rPr>
                <w:b/>
                <w:color w:val="FFFFFF"/>
                <w:sz w:val="19"/>
              </w:rPr>
              <w:t>Purpose</w:t>
            </w:r>
          </w:p>
        </w:tc>
      </w:tr>
      <w:tr>
        <w:tc>
          <w:tcPr>
            <w:tcW w:type="dxa" w:w="2400"/>
          </w:tcPr>
          <w:p>
            <w:r>
              <w:rPr>
                <w:color w:val="202020"/>
                <w:sz w:val="19"/>
              </w:rPr>
              <w:t>PROXY_URL</w:t>
            </w:r>
          </w:p>
        </w:tc>
        <w:tc>
          <w:tcPr>
            <w:tcW w:type="dxa" w:w="6960"/>
          </w:tcPr>
          <w:p>
            <w:r>
              <w:rPr>
                <w:color w:val="202020"/>
                <w:sz w:val="19"/>
              </w:rPr>
              <w:t>Explicit outbound proxy for all connector HTTP (source, Graph, webhook). Unset = .NET default, which already honours HTTPS_PROXY / HTTP_PROXY / NO_PROXY and OS proxy settings</w:t>
            </w:r>
          </w:p>
        </w:tc>
      </w:tr>
      <w:tr>
        <w:tc>
          <w:tcPr>
            <w:tcW w:type="dxa" w:w="2400"/>
            <w:shd w:val="clear" w:color="auto" w:fill="F7F9FC"/>
          </w:tcPr>
          <w:p>
            <w:r>
              <w:rPr>
                <w:color w:val="202020"/>
                <w:sz w:val="19"/>
              </w:rPr>
              <w:t>PROXY_BYPASS</w:t>
            </w:r>
          </w:p>
        </w:tc>
        <w:tc>
          <w:tcPr>
            <w:tcW w:type="dxa" w:w="6960"/>
            <w:shd w:val="clear" w:color="auto" w:fill="F7F9FC"/>
          </w:tcPr>
          <w:p>
            <w:r>
              <w:rPr>
                <w:color w:val="202020"/>
                <w:sz w:val="19"/>
              </w:rPr>
              <w:t>Host suffixes that skip the proxy (internal endpoints); only meaningful with PROXY_URL</w:t>
            </w:r>
          </w:p>
        </w:tc>
      </w:tr>
      <w:tr>
        <w:tc>
          <w:tcPr>
            <w:tcW w:type="dxa" w:w="2400"/>
          </w:tcPr>
          <w:p>
            <w:r>
              <w:rPr>
                <w:color w:val="202020"/>
                <w:sz w:val="19"/>
              </w:rPr>
              <w:t>CA_BUNDLE_PATH</w:t>
            </w:r>
          </w:p>
        </w:tc>
        <w:tc>
          <w:tcPr>
            <w:tcW w:type="dxa" w:w="6960"/>
          </w:tcPr>
          <w:p>
            <w:r>
              <w:rPr>
                <w:color w:val="202020"/>
                <w:sz w:val="19"/>
              </w:rPr>
              <w:t>PEM file of additional trusted root CAs for a TLS-inspecting proxy. Additive — the system store still works and hostname checks stay enforced; nothing is ever set to trust-all. A missing/unparseable file fails startup, naming the setting (fail-closed)</w:t>
            </w:r>
          </w:p>
        </w:tc>
      </w:tr>
    </w:tbl>
    <w:p>
      <w:pPr>
        <w:spacing w:after="40"/>
      </w:pPr>
    </w:p>
    <w:p>
      <w:pPr>
        <w:spacing w:after="120"/>
      </w:pPr>
      <w:r>
        <w:rPr>
          <w:color w:val="202020"/>
        </w:rPr>
        <w:t xml:space="preserve">Outbound destinations to allow (public cloud): your source system's endpoint, </w:t>
      </w:r>
      <w:r>
        <w:rPr>
          <w:rFonts w:ascii="Consolas" w:hAnsi="Consolas"/>
          <w:color w:val="202020"/>
          <w:sz w:val="19"/>
        </w:rPr>
        <w:t>graph.microsoft.com</w:t>
      </w:r>
      <w:r>
        <w:rPr>
          <w:color w:val="202020"/>
        </w:rPr>
        <w:t xml:space="preserve">, </w:t>
      </w:r>
      <w:r>
        <w:rPr>
          <w:rFonts w:ascii="Consolas" w:hAnsi="Consolas"/>
          <w:color w:val="202020"/>
          <w:sz w:val="19"/>
        </w:rPr>
        <w:t>login.microsoftonline.com</w:t>
      </w:r>
      <w:r>
        <w:rPr>
          <w:color w:val="202020"/>
        </w:rPr>
        <w:t xml:space="preserve">, and </w:t>
      </w:r>
      <w:r>
        <w:rPr>
          <w:rFonts w:ascii="Consolas" w:hAnsi="Consolas"/>
          <w:color w:val="202020"/>
          <w:sz w:val="19"/>
        </w:rPr>
        <w:t>*.vault.azure.net</w:t>
      </w:r>
      <w:r>
        <w:rPr>
          <w:color w:val="202020"/>
        </w:rPr>
        <w:t xml:space="preserve"> when Key Vault is used. Both proxy and CA settings are logged at startup, so </w:t>
      </w:r>
      <w:r>
        <w:rPr>
          <w:rFonts w:ascii="Consolas" w:hAnsi="Consolas"/>
          <w:color w:val="202020"/>
          <w:sz w:val="19"/>
        </w:rPr>
        <w:t>validate-config --strict</w:t>
      </w:r>
      <w:r>
        <w:rPr>
          <w:color w:val="202020"/>
        </w:rPr>
        <w:t xml:space="preserve"> doubles as an egress smoke test.</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Request from your </w:t>
            </w:r>
            <w:r>
              <w:rPr>
                <w:b/>
                <w:color w:val="202020"/>
                <w:sz w:val="20"/>
              </w:rPr>
              <w:t>network / firewall team</w:t>
            </w:r>
            <w:r>
              <w:rPr>
                <w:color w:val="202020"/>
                <w:sz w:val="20"/>
              </w:rPr>
              <w:t xml:space="preserve">: the </w:t>
            </w:r>
            <w:r>
              <w:rPr>
                <w:b/>
                <w:color w:val="202020"/>
                <w:sz w:val="20"/>
              </w:rPr>
              <w:t>proxy URL</w:t>
            </w:r>
            <w:r>
              <w:rPr>
                <w:color w:val="202020"/>
                <w:sz w:val="20"/>
              </w:rPr>
              <w:t xml:space="preserve"> (and any credentials, treated as a secret) and </w:t>
            </w:r>
            <w:r>
              <w:rPr>
                <w:b/>
                <w:color w:val="202020"/>
                <w:sz w:val="20"/>
              </w:rPr>
              <w:t>bypass list</w:t>
            </w:r>
            <w:r>
              <w:rPr>
                <w:color w:val="202020"/>
                <w:sz w:val="20"/>
              </w:rPr>
              <w:t xml:space="preserve">; confirmation that </w:t>
            </w:r>
            <w:r>
              <w:rPr>
                <w:b/>
                <w:color w:val="202020"/>
                <w:sz w:val="20"/>
              </w:rPr>
              <w:t>outbound 443</w:t>
            </w:r>
            <w:r>
              <w:rPr>
                <w:color w:val="202020"/>
                <w:sz w:val="20"/>
              </w:rPr>
              <w:t xml:space="preserve"> to the destinations above is permitted; and, if TLS is inspected, the </w:t>
            </w:r>
            <w:r>
              <w:rPr>
                <w:b/>
                <w:color w:val="202020"/>
                <w:sz w:val="20"/>
              </w:rPr>
              <w:t>inspection root CA bundle</w:t>
            </w:r>
            <w:r>
              <w:rPr>
                <w:color w:val="202020"/>
                <w:sz w:val="20"/>
              </w:rPr>
              <w:t xml:space="preserve"> (PEM) plus where it is deployed on the host.</w:t>
            </w:r>
          </w:p>
        </w:tc>
      </w:tr>
    </w:tbl>
    <w:p>
      <w:pPr>
        <w:spacing w:after="40"/>
      </w:pPr>
    </w:p>
    <w:p>
      <w:pPr>
        <w:pStyle w:val="Heading2"/>
      </w:pPr>
      <w:r>
        <w:rPr>
          <w:color w:val="2E5496"/>
        </w:rPr>
        <w:t>7.6 FIPS mode</w:t>
      </w:r>
    </w:p>
    <w:p>
      <w:pPr>
        <w:spacing w:after="120"/>
      </w:pPr>
      <w:r>
        <w:rPr>
          <w:color w:val="202020"/>
        </w:rPr>
        <w:t xml:space="preserve">On a Windows host with the FIPS local-security policy enabled, .NET maps its cryptography to validated providers, and the connector's TLS, SHA-256 usage and RSA signing comply. The </w:t>
      </w:r>
      <w:r>
        <w:rPr>
          <w:b/>
          <w:color w:val="202020"/>
        </w:rPr>
        <w:t>certificate-thumbprint credential with a non-exportable key in the machine store</w:t>
      </w:r>
      <w:r>
        <w:rPr>
          <w:color w:val="202020"/>
        </w:rPr>
        <w:t xml:space="preserve"> is the FIPS-friendly choice — prefer it over PFX files and client secrets in FIPS estates. (One legacy MD5 call exists as a non-security cache key inherited from the original; it is used for bucketing, not integrity or authentication, and the per-connector threat model documents it.)</w:t>
      </w:r>
    </w:p>
    <w:p>
      <w:pPr>
        <w:pStyle w:val="Heading2"/>
      </w:pPr>
      <w:r>
        <w:rPr>
          <w:color w:val="2E5496"/>
        </w:rPr>
        <w:t>7.7 Data at rest and dead-letter redaction</w:t>
      </w:r>
    </w:p>
    <w:p>
      <w:pPr>
        <w:spacing w:after="120"/>
      </w:pPr>
      <w:r>
        <w:rPr>
          <w:color w:val="202020"/>
        </w:rPr>
        <w:t>Know what the connector stores on disk (or in SQL) and how sensitive it is: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200"/>
        <w:gridCol w:w="3660"/>
        <w:gridCol w:w="3500"/>
      </w:tblGrid>
      <w:tr>
        <w:tc>
          <w:tcPr>
            <w:tcW w:type="dxa" w:w="2200"/>
            <w:shd w:val="clear" w:color="auto" w:fill="2E5496"/>
          </w:tcPr>
          <w:p>
            <w:r>
              <w:rPr>
                <w:b/>
                <w:color w:val="FFFFFF"/>
                <w:sz w:val="19"/>
              </w:rPr>
              <w:t>Store</w:t>
            </w:r>
          </w:p>
        </w:tc>
        <w:tc>
          <w:tcPr>
            <w:tcW w:type="dxa" w:w="3660"/>
            <w:shd w:val="clear" w:color="auto" w:fill="2E5496"/>
          </w:tcPr>
          <w:p>
            <w:r>
              <w:rPr>
                <w:b/>
                <w:color w:val="FFFFFF"/>
                <w:sz w:val="19"/>
              </w:rPr>
              <w:t>Contents</w:t>
            </w:r>
          </w:p>
        </w:tc>
        <w:tc>
          <w:tcPr>
            <w:tcW w:type="dxa" w:w="3500"/>
            <w:shd w:val="clear" w:color="auto" w:fill="2E5496"/>
          </w:tcPr>
          <w:p>
            <w:r>
              <w:rPr>
                <w:b/>
                <w:color w:val="FFFFFF"/>
                <w:sz w:val="19"/>
              </w:rPr>
              <w:t>Sensitivity &amp; protection</w:t>
            </w:r>
          </w:p>
        </w:tc>
      </w:tr>
      <w:tr>
        <w:tc>
          <w:tcPr>
            <w:tcW w:type="dxa" w:w="2200"/>
          </w:tcPr>
          <w:p>
            <w:r>
              <w:rPr>
                <w:color w:val="202020"/>
                <w:sz w:val="19"/>
              </w:rPr>
              <w:t>Identity store (SQLite / SQL)</w:t>
            </w:r>
          </w:p>
        </w:tc>
        <w:tc>
          <w:tcPr>
            <w:tcW w:type="dxa" w:w="3660"/>
          </w:tcPr>
          <w:p>
            <w:r>
              <w:rPr>
                <w:color w:val="202020"/>
                <w:sz w:val="19"/>
              </w:rPr>
              <w:t>Source-to-Entra id mappings, emails/UPNs, group memberships. No source record content</w:t>
            </w:r>
          </w:p>
        </w:tc>
        <w:tc>
          <w:tcPr>
            <w:tcW w:type="dxa" w:w="3500"/>
          </w:tcPr>
          <w:p>
            <w:r>
              <w:rPr>
                <w:color w:val="202020"/>
                <w:sz w:val="19"/>
              </w:rPr>
              <w:t>PII (emails). File ACLs + volume encryption; SQL: TDE + least-privilege login</w:t>
            </w:r>
          </w:p>
        </w:tc>
      </w:tr>
      <w:tr>
        <w:tc>
          <w:tcPr>
            <w:tcW w:type="dxa" w:w="2200"/>
            <w:shd w:val="clear" w:color="auto" w:fill="F7F9FC"/>
          </w:tcPr>
          <w:p>
            <w:r>
              <w:rPr>
                <w:color w:val="202020"/>
                <w:sz w:val="19"/>
              </w:rPr>
              <w:t>Item inventory (SQLite / SQL)</w:t>
            </w:r>
          </w:p>
        </w:tc>
        <w:tc>
          <w:tcPr>
            <w:tcW w:type="dxa" w:w="3660"/>
            <w:shd w:val="clear" w:color="auto" w:fill="F7F9FC"/>
          </w:tcPr>
          <w:p>
            <w:r>
              <w:rPr>
                <w:color w:val="202020"/>
                <w:sz w:val="19"/>
              </w:rPr>
              <w:t>Ingested item ids per object type (for deletion detection)</w:t>
            </w:r>
          </w:p>
        </w:tc>
        <w:tc>
          <w:tcPr>
            <w:tcW w:type="dxa" w:w="3500"/>
            <w:shd w:val="clear" w:color="auto" w:fill="F7F9FC"/>
          </w:tcPr>
          <w:p>
            <w:r>
              <w:rPr>
                <w:color w:val="202020"/>
                <w:sz w:val="19"/>
              </w:rPr>
              <w:t>Low (ids only)</w:t>
            </w:r>
          </w:p>
        </w:tc>
      </w:tr>
      <w:tr>
        <w:tc>
          <w:tcPr>
            <w:tcW w:type="dxa" w:w="2200"/>
          </w:tcPr>
          <w:p>
            <w:r>
              <w:rPr>
                <w:color w:val="202020"/>
                <w:sz w:val="19"/>
              </w:rPr>
              <w:t>Dead-letter queue</w:t>
            </w:r>
          </w:p>
        </w:tc>
        <w:tc>
          <w:tcPr>
            <w:tcW w:type="dxa" w:w="3660"/>
          </w:tcPr>
          <w:p>
            <w:r>
              <w:rPr>
                <w:color w:val="202020"/>
                <w:sz w:val="19"/>
              </w:rPr>
              <w:t>Failed item ids, object type, error, timestamps — plus full request/response payloads (source field values) in the default DEADLETTER_PAYLOAD_MODE=full</w:t>
            </w:r>
          </w:p>
        </w:tc>
        <w:tc>
          <w:tcPr>
            <w:tcW w:type="dxa" w:w="3500"/>
          </w:tcPr>
          <w:p>
            <w:r>
              <w:rPr>
                <w:color w:val="202020"/>
                <w:sz w:val="19"/>
              </w:rPr>
              <w:t>HIGH in full mode. Set DEADLETTER_PAYLOAD_MODE=redacted where source data is sensitive (keeps ids/errors/ACLs/field names + sha256 hashes); file ACLs; drain with retry-failed</w:t>
            </w:r>
          </w:p>
        </w:tc>
      </w:tr>
      <w:tr>
        <w:tc>
          <w:tcPr>
            <w:tcW w:type="dxa" w:w="2200"/>
            <w:shd w:val="clear" w:color="auto" w:fill="F7F9FC"/>
          </w:tcPr>
          <w:p>
            <w:r>
              <w:rPr>
                <w:color w:val="202020"/>
                <w:sz w:val="19"/>
              </w:rPr>
              <w:t>Checkpoint / sync-state files</w:t>
            </w:r>
          </w:p>
        </w:tc>
        <w:tc>
          <w:tcPr>
            <w:tcW w:type="dxa" w:w="3660"/>
            <w:shd w:val="clear" w:color="auto" w:fill="F7F9FC"/>
          </w:tcPr>
          <w:p>
            <w:r>
              <w:rPr>
                <w:color w:val="202020"/>
                <w:sz w:val="19"/>
              </w:rPr>
              <w:t>Chunk positions, sync timestamps</w:t>
            </w:r>
          </w:p>
        </w:tc>
        <w:tc>
          <w:tcPr>
            <w:tcW w:type="dxa" w:w="3500"/>
            <w:shd w:val="clear" w:color="auto" w:fill="F7F9FC"/>
          </w:tcPr>
          <w:p>
            <w:r>
              <w:rPr>
                <w:color w:val="202020"/>
                <w:sz w:val="19"/>
              </w:rPr>
              <w:t>None. File ACLs</w:t>
            </w:r>
          </w:p>
        </w:tc>
      </w:tr>
      <w:tr>
        <w:tc>
          <w:tcPr>
            <w:tcW w:type="dxa" w:w="2200"/>
          </w:tcPr>
          <w:p>
            <w:r>
              <w:rPr>
                <w:color w:val="202020"/>
                <w:sz w:val="19"/>
              </w:rPr>
              <w:t>Run logs</w:t>
            </w:r>
          </w:p>
        </w:tc>
        <w:tc>
          <w:tcPr>
            <w:tcW w:type="dxa" w:w="3660"/>
          </w:tcPr>
          <w:p>
            <w:r>
              <w:rPr>
                <w:color w:val="202020"/>
                <w:sz w:val="19"/>
              </w:rPr>
              <w:t>Ids, counts, errors, URLs, field names (not values, except deliberate single-item debug)</w:t>
            </w:r>
          </w:p>
        </w:tc>
        <w:tc>
          <w:tcPr>
            <w:tcW w:type="dxa" w:w="3500"/>
          </w:tcPr>
          <w:p>
            <w:r>
              <w:rPr>
                <w:color w:val="202020"/>
                <w:sz w:val="19"/>
              </w:rPr>
              <w:t>Medium. File ACLs; LOG_RETENTION_DAYS pruning; ship-and-delete via your collector</w:t>
            </w:r>
          </w:p>
        </w:tc>
      </w:tr>
      <w:tr>
        <w:tc>
          <w:tcPr>
            <w:tcW w:type="dxa" w:w="2200"/>
            <w:shd w:val="clear" w:color="auto" w:fill="F7F9FC"/>
          </w:tcPr>
          <w:p>
            <w:r>
              <w:rPr>
                <w:color w:val="202020"/>
                <w:sz w:val="19"/>
              </w:rPr>
              <w:t>Secret file (.env.local.user)</w:t>
            </w:r>
          </w:p>
        </w:tc>
        <w:tc>
          <w:tcPr>
            <w:tcW w:type="dxa" w:w="3660"/>
            <w:shd w:val="clear" w:color="auto" w:fill="F7F9FC"/>
          </w:tcPr>
          <w:p>
            <w:r>
              <w:rPr>
                <w:color w:val="202020"/>
                <w:sz w:val="19"/>
              </w:rPr>
              <w:t>Client secrets, if not using Key Vault</w:t>
            </w:r>
          </w:p>
        </w:tc>
        <w:tc>
          <w:tcPr>
            <w:tcW w:type="dxa" w:w="3500"/>
            <w:shd w:val="clear" w:color="auto" w:fill="F7F9FC"/>
          </w:tcPr>
          <w:p>
            <w:r>
              <w:rPr>
                <w:color w:val="202020"/>
                <w:sz w:val="19"/>
              </w:rPr>
              <w:t>CRITICAL. Prefer Key Vault so the file does not exist; else read-only ACL to the service account</w:t>
            </w:r>
          </w:p>
        </w:tc>
      </w:tr>
    </w:tbl>
    <w:p>
      <w:pPr>
        <w:spacing w:after="40"/>
      </w:pPr>
    </w:p>
    <w:p>
      <w:pPr>
        <w:spacing w:after="120"/>
      </w:pPr>
      <w:r>
        <w:rPr>
          <w:color w:val="202020"/>
        </w:rPr>
        <w:t xml:space="preserve">Access tokens, client-assertion JWTs, resolved Key Vault values and certificate private keys are </w:t>
      </w:r>
      <w:r>
        <w:rPr>
          <w:b/>
          <w:color w:val="202020"/>
        </w:rPr>
        <w:t>never persisted</w:t>
      </w:r>
      <w:r>
        <w:rPr>
          <w:color w:val="202020"/>
        </w:rPr>
        <w:t xml:space="preserve"> — they live in process memory or the OS store only.</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In a bank, treat the </w:t>
            </w:r>
            <w:r>
              <w:rPr>
                <w:b/>
                <w:color w:val="202020"/>
                <w:sz w:val="20"/>
              </w:rPr>
              <w:t>dead-letter payload mode</w:t>
            </w:r>
            <w:r>
              <w:rPr>
                <w:color w:val="202020"/>
                <w:sz w:val="20"/>
              </w:rPr>
              <w:t xml:space="preserve"> as a compliance decision: set </w:t>
            </w:r>
            <w:r>
              <w:rPr>
                <w:rFonts w:ascii="Consolas" w:hAnsi="Consolas"/>
                <w:color w:val="202020"/>
                <w:sz w:val="19"/>
              </w:rPr>
              <w:t>DEADLETTER_PAYLOAD_MODE=redacted</w:t>
            </w:r>
            <w:r>
              <w:rPr>
                <w:color w:val="202020"/>
                <w:sz w:val="20"/>
              </w:rPr>
              <w:t xml:space="preserve"> for any connector whose source records contain customer PII/financial data, unless a debugging window justifies </w:t>
            </w:r>
            <w:r>
              <w:rPr>
                <w:rFonts w:ascii="Consolas" w:hAnsi="Consolas"/>
                <w:color w:val="202020"/>
                <w:sz w:val="19"/>
              </w:rPr>
              <w:t>full</w:t>
            </w:r>
            <w:r>
              <w:rPr>
                <w:color w:val="202020"/>
                <w:sz w:val="20"/>
              </w:rPr>
              <w:t xml:space="preserve">. Confirm the required mode with your </w:t>
            </w:r>
            <w:r>
              <w:rPr>
                <w:b/>
                <w:color w:val="202020"/>
                <w:sz w:val="20"/>
              </w:rPr>
              <w:t>security / compliance team</w:t>
            </w:r>
            <w:r>
              <w:rPr>
                <w:color w:val="202020"/>
                <w:sz w:val="20"/>
              </w:rPr>
              <w:t xml:space="preserve"> per connector.</w:t>
            </w:r>
          </w:p>
        </w:tc>
      </w:tr>
    </w:tbl>
    <w:p>
      <w:pPr>
        <w:spacing w:after="40"/>
      </w:pPr>
    </w:p>
    <w:p>
      <w:pPr>
        <w:pStyle w:val="Heading2"/>
      </w:pPr>
      <w:r>
        <w:rPr>
          <w:color w:val="2E5496"/>
        </w:rPr>
        <w:t>7.8 Least privilege and secret/certificate rotation</w:t>
      </w:r>
    </w:p>
    <w:p>
      <w:pPr>
        <w:pStyle w:val="ListBullet"/>
        <w:spacing w:after="40"/>
      </w:pPr>
      <w:r>
        <w:rPr>
          <w:b/>
          <w:color w:val="202020"/>
        </w:rPr>
        <w:t>Service account</w:t>
      </w:r>
      <w:r>
        <w:rPr>
          <w:color w:val="202020"/>
        </w:rPr>
        <w:t xml:space="preserve"> — run the service as a dedicated principal, ideally a group-managed service account (gMSA, no password to rotate); grant only logon-as-a-service, write to the state/log directories, read on the secret directory, and read+execute on the binaries. Never an admin, never interactive logon.</w:t>
      </w:r>
    </w:p>
    <w:p>
      <w:pPr>
        <w:pStyle w:val="ListBullet"/>
        <w:spacing w:after="40"/>
      </w:pPr>
      <w:r>
        <w:rPr>
          <w:b/>
          <w:color w:val="202020"/>
        </w:rPr>
        <w:t>SQL</w:t>
      </w:r>
      <w:r>
        <w:rPr>
          <w:color w:val="202020"/>
        </w:rPr>
        <w:t xml:space="preserve"> — map the account to the least-privilege SQL login (never db_owner), or use </w:t>
      </w:r>
      <w:r>
        <w:rPr>
          <w:rFonts w:ascii="Consolas" w:hAnsi="Consolas"/>
          <w:color w:val="202020"/>
          <w:sz w:val="19"/>
        </w:rPr>
        <w:t>SQL_USE_MANAGED_IDENTITY=true</w:t>
      </w:r>
      <w:r>
        <w:rPr>
          <w:color w:val="202020"/>
        </w:rPr>
        <w:t xml:space="preserve"> on Azure.</w:t>
      </w:r>
    </w:p>
    <w:p>
      <w:pPr>
        <w:pStyle w:val="ListBullet"/>
        <w:spacing w:after="40"/>
      </w:pPr>
      <w:r>
        <w:rPr>
          <w:b/>
          <w:color w:val="202020"/>
        </w:rPr>
        <w:t>Rotation is zero-downtime</w:t>
      </w:r>
      <w:r>
        <w:rPr>
          <w:color w:val="202020"/>
        </w:rPr>
        <w:t xml:space="preserve"> — the pattern is always add new, point config at new, restart the service (it resumes from checkpoint), retire old. A client secret supports a dual-secret window; a certificate supports two registered certs; Key Vault collapses "update every node" into one vault write. Calendar every secret/cert expiry.</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Request from your </w:t>
            </w:r>
            <w:r>
              <w:rPr>
                <w:b/>
                <w:color w:val="202020"/>
                <w:sz w:val="20"/>
              </w:rPr>
              <w:t>Active Directory / server team</w:t>
            </w:r>
            <w:r>
              <w:rPr>
                <w:color w:val="202020"/>
                <w:sz w:val="20"/>
              </w:rPr>
              <w:t xml:space="preserve"> the </w:t>
            </w:r>
            <w:r>
              <w:rPr>
                <w:b/>
                <w:color w:val="202020"/>
                <w:sz w:val="20"/>
              </w:rPr>
              <w:t>service account</w:t>
            </w:r>
            <w:r>
              <w:rPr>
                <w:color w:val="202020"/>
                <w:sz w:val="20"/>
              </w:rPr>
              <w:t xml:space="preserve"> (gMSA preferred) for each connector, with logon-as-a-service granted, and agree who calendars </w:t>
            </w:r>
            <w:r>
              <w:rPr>
                <w:b/>
                <w:color w:val="202020"/>
                <w:sz w:val="20"/>
              </w:rPr>
              <w:t>credential expiry</w:t>
            </w:r>
            <w:r>
              <w:rPr>
                <w:color w:val="202020"/>
                <w:sz w:val="20"/>
              </w:rPr>
              <w:t xml:space="preserve"> and performs rotation.</w:t>
            </w:r>
          </w:p>
        </w:tc>
      </w:tr>
    </w:tbl>
    <w:p>
      <w:pPr>
        <w:spacing w:after="40"/>
      </w:pPr>
    </w:p>
    <w:p>
      <w:r>
        <w:br w:type="page"/>
      </w:r>
    </w:p>
    <w:p>
      <w:pPr>
        <w:pStyle w:val="Heading1"/>
      </w:pPr>
      <w:r>
        <w:rPr>
          <w:color w:val="1F3864"/>
        </w:rPr>
        <w:t>8. Tenant limits, quotas and capacity planning</w:t>
      </w:r>
    </w:p>
    <w:p>
      <w:pPr>
        <w:spacing w:after="200"/>
      </w:pPr>
      <w:r>
        <w:rPr>
          <w:color w:val="595959"/>
          <w:sz w:val="23"/>
        </w:rPr>
        <w:t>All five connectors live in one Microsoft 365 tenant and share that tenant's Graph quotas. Nothing in the code coordinates them — this plan is that coordination. Treat it as shared configuration under change control.</w:t>
      </w:r>
    </w:p>
    <w:p>
      <w:pPr>
        <w:pStyle w:val="Heading2"/>
      </w:pPr>
      <w:r>
        <w:rPr>
          <w:color w:val="2E5496"/>
        </w:rPr>
        <w:t>8.1 The hard limits that bind the fleet</w:t>
      </w:r>
    </w:p>
    <w:p>
      <w:pPr>
        <w:spacing w:after="120"/>
      </w:pPr>
      <w:r>
        <w:rPr>
          <w:color w:val="202020"/>
        </w:rPr>
        <w:t>These are Microsoft-published limits per tenant / per connection. They are the ceiling the whole fleet plans against.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000"/>
        <w:gridCol w:w="2860"/>
        <w:gridCol w:w="3500"/>
      </w:tblGrid>
      <w:tr>
        <w:tc>
          <w:tcPr>
            <w:tcW w:type="dxa" w:w="3000"/>
            <w:shd w:val="clear" w:color="auto" w:fill="2E5496"/>
          </w:tcPr>
          <w:p>
            <w:r>
              <w:rPr>
                <w:b/>
                <w:color w:val="FFFFFF"/>
                <w:sz w:val="19"/>
              </w:rPr>
              <w:t>Limit</w:t>
            </w:r>
          </w:p>
        </w:tc>
        <w:tc>
          <w:tcPr>
            <w:tcW w:type="dxa" w:w="2860"/>
            <w:shd w:val="clear" w:color="auto" w:fill="2E5496"/>
          </w:tcPr>
          <w:p>
            <w:r>
              <w:rPr>
                <w:b/>
                <w:color w:val="FFFFFF"/>
                <w:sz w:val="19"/>
              </w:rPr>
              <w:t>Value</w:t>
            </w:r>
          </w:p>
        </w:tc>
        <w:tc>
          <w:tcPr>
            <w:tcW w:type="dxa" w:w="3500"/>
            <w:shd w:val="clear" w:color="auto" w:fill="2E5496"/>
          </w:tcPr>
          <w:p>
            <w:r>
              <w:rPr>
                <w:b/>
                <w:color w:val="FFFFFF"/>
                <w:sz w:val="19"/>
              </w:rPr>
              <w:t>Scope</w:t>
            </w:r>
          </w:p>
        </w:tc>
      </w:tr>
      <w:tr>
        <w:tc>
          <w:tcPr>
            <w:tcW w:type="dxa" w:w="3000"/>
          </w:tcPr>
          <w:p>
            <w:r>
              <w:rPr>
                <w:color w:val="202020"/>
                <w:sz w:val="19"/>
              </w:rPr>
              <w:t>Connections</w:t>
            </w:r>
          </w:p>
        </w:tc>
        <w:tc>
          <w:tcPr>
            <w:tcW w:type="dxa" w:w="2860"/>
          </w:tcPr>
          <w:p>
            <w:r>
              <w:rPr>
                <w:color w:val="202020"/>
                <w:sz w:val="19"/>
              </w:rPr>
              <w:t>30</w:t>
            </w:r>
          </w:p>
        </w:tc>
        <w:tc>
          <w:tcPr>
            <w:tcW w:type="dxa" w:w="3500"/>
          </w:tcPr>
          <w:p>
            <w:r>
              <w:rPr>
                <w:color w:val="202020"/>
                <w:sz w:val="19"/>
              </w:rPr>
              <w:t>per tenant (all connectors combined)</w:t>
            </w:r>
          </w:p>
        </w:tc>
      </w:tr>
      <w:tr>
        <w:tc>
          <w:tcPr>
            <w:tcW w:type="dxa" w:w="3000"/>
            <w:shd w:val="clear" w:color="auto" w:fill="F7F9FC"/>
          </w:tcPr>
          <w:p>
            <w:r>
              <w:rPr>
                <w:color w:val="202020"/>
                <w:sz w:val="19"/>
              </w:rPr>
              <w:t>Items per connection</w:t>
            </w:r>
          </w:p>
        </w:tc>
        <w:tc>
          <w:tcPr>
            <w:tcW w:type="dxa" w:w="2860"/>
            <w:shd w:val="clear" w:color="auto" w:fill="F7F9FC"/>
          </w:tcPr>
          <w:p>
            <w:r>
              <w:rPr>
                <w:color w:val="202020"/>
                <w:sz w:val="19"/>
              </w:rPr>
              <w:t>5,000,000</w:t>
            </w:r>
          </w:p>
        </w:tc>
        <w:tc>
          <w:tcPr>
            <w:tcW w:type="dxa" w:w="3500"/>
            <w:shd w:val="clear" w:color="auto" w:fill="F7F9FC"/>
          </w:tcPr>
          <w:p>
            <w:r>
              <w:rPr>
                <w:color w:val="202020"/>
                <w:sz w:val="19"/>
              </w:rPr>
              <w:t>per connection</w:t>
            </w:r>
          </w:p>
        </w:tc>
      </w:tr>
      <w:tr>
        <w:tc>
          <w:tcPr>
            <w:tcW w:type="dxa" w:w="3000"/>
          </w:tcPr>
          <w:p>
            <w:r>
              <w:rPr>
                <w:color w:val="202020"/>
                <w:sz w:val="19"/>
              </w:rPr>
              <w:t>Indexed items</w:t>
            </w:r>
          </w:p>
        </w:tc>
        <w:tc>
          <w:tcPr>
            <w:tcW w:type="dxa" w:w="2860"/>
          </w:tcPr>
          <w:p>
            <w:r>
              <w:rPr>
                <w:color w:val="202020"/>
                <w:sz w:val="19"/>
              </w:rPr>
              <w:t>50,000,000</w:t>
            </w:r>
          </w:p>
        </w:tc>
        <w:tc>
          <w:tcPr>
            <w:tcW w:type="dxa" w:w="3500"/>
          </w:tcPr>
          <w:p>
            <w:r>
              <w:rPr>
                <w:color w:val="202020"/>
                <w:sz w:val="19"/>
              </w:rPr>
              <w:t>per tenant (all connections)</w:t>
            </w:r>
          </w:p>
        </w:tc>
      </w:tr>
      <w:tr>
        <w:tc>
          <w:tcPr>
            <w:tcW w:type="dxa" w:w="3000"/>
            <w:shd w:val="clear" w:color="auto" w:fill="F7F9FC"/>
          </w:tcPr>
          <w:p>
            <w:r>
              <w:rPr>
                <w:color w:val="202020"/>
                <w:sz w:val="19"/>
              </w:rPr>
              <w:t>Schema properties</w:t>
            </w:r>
          </w:p>
        </w:tc>
        <w:tc>
          <w:tcPr>
            <w:tcW w:type="dxa" w:w="2860"/>
            <w:shd w:val="clear" w:color="auto" w:fill="F7F9FC"/>
          </w:tcPr>
          <w:p>
            <w:r>
              <w:rPr>
                <w:color w:val="202020"/>
                <w:sz w:val="19"/>
              </w:rPr>
              <w:t>128</w:t>
            </w:r>
          </w:p>
        </w:tc>
        <w:tc>
          <w:tcPr>
            <w:tcW w:type="dxa" w:w="3500"/>
            <w:shd w:val="clear" w:color="auto" w:fill="F7F9FC"/>
          </w:tcPr>
          <w:p>
            <w:r>
              <w:rPr>
                <w:color w:val="202020"/>
                <w:sz w:val="19"/>
              </w:rPr>
              <w:t>per connection</w:t>
            </w:r>
          </w:p>
        </w:tc>
      </w:tr>
      <w:tr>
        <w:tc>
          <w:tcPr>
            <w:tcW w:type="dxa" w:w="3000"/>
          </w:tcPr>
          <w:p>
            <w:r>
              <w:rPr>
                <w:color w:val="202020"/>
                <w:sz w:val="19"/>
              </w:rPr>
              <w:t>Item payload size</w:t>
            </w:r>
          </w:p>
        </w:tc>
        <w:tc>
          <w:tcPr>
            <w:tcW w:type="dxa" w:w="2860"/>
          </w:tcPr>
          <w:p>
            <w:r>
              <w:rPr>
                <w:color w:val="202020"/>
                <w:sz w:val="19"/>
              </w:rPr>
              <w:t>4 MB</w:t>
            </w:r>
          </w:p>
        </w:tc>
        <w:tc>
          <w:tcPr>
            <w:tcW w:type="dxa" w:w="3500"/>
          </w:tcPr>
          <w:p>
            <w:r>
              <w:rPr>
                <w:color w:val="202020"/>
                <w:sz w:val="19"/>
              </w:rPr>
              <w:t>per item</w:t>
            </w:r>
          </w:p>
        </w:tc>
      </w:tr>
      <w:tr>
        <w:tc>
          <w:tcPr>
            <w:tcW w:type="dxa" w:w="3000"/>
            <w:shd w:val="clear" w:color="auto" w:fill="F7F9FC"/>
          </w:tcPr>
          <w:p>
            <w:r>
              <w:rPr>
                <w:color w:val="202020"/>
                <w:sz w:val="19"/>
              </w:rPr>
              <w:t>$batch size</w:t>
            </w:r>
          </w:p>
        </w:tc>
        <w:tc>
          <w:tcPr>
            <w:tcW w:type="dxa" w:w="2860"/>
            <w:shd w:val="clear" w:color="auto" w:fill="F7F9FC"/>
          </w:tcPr>
          <w:p>
            <w:r>
              <w:rPr>
                <w:color w:val="202020"/>
                <w:sz w:val="19"/>
              </w:rPr>
              <w:t>20 sub-requests</w:t>
            </w:r>
          </w:p>
        </w:tc>
        <w:tc>
          <w:tcPr>
            <w:tcW w:type="dxa" w:w="3500"/>
            <w:shd w:val="clear" w:color="auto" w:fill="F7F9FC"/>
          </w:tcPr>
          <w:p>
            <w:r>
              <w:rPr>
                <w:color w:val="202020"/>
                <w:sz w:val="19"/>
              </w:rPr>
              <w:t>per call</w:t>
            </w:r>
          </w:p>
        </w:tc>
      </w:tr>
      <w:tr>
        <w:tc>
          <w:tcPr>
            <w:tcW w:type="dxa" w:w="3000"/>
          </w:tcPr>
          <w:p>
            <w:r>
              <w:rPr>
                <w:color w:val="202020"/>
                <w:sz w:val="19"/>
              </w:rPr>
              <w:t>Ingest throughput</w:t>
            </w:r>
          </w:p>
        </w:tc>
        <w:tc>
          <w:tcPr>
            <w:tcW w:type="dxa" w:w="2860"/>
          </w:tcPr>
          <w:p>
            <w:r>
              <w:rPr>
                <w:color w:val="202020"/>
                <w:sz w:val="19"/>
              </w:rPr>
              <w:t>throttled per app + per tenant (dynamic)</w:t>
            </w:r>
          </w:p>
        </w:tc>
        <w:tc>
          <w:tcPr>
            <w:tcW w:type="dxa" w:w="3500"/>
          </w:tcPr>
          <w:p>
            <w:r>
              <w:rPr>
                <w:color w:val="202020"/>
                <w:sz w:val="19"/>
              </w:rPr>
              <w:t>429 + Retry-After is the ground truth</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Microsoft delisted the platform capacity/throughput table in May 2025, so treat the count and rate figures as </w:t>
            </w:r>
            <w:r>
              <w:rPr>
                <w:b/>
                <w:color w:val="202020"/>
                <w:sz w:val="20"/>
              </w:rPr>
              <w:t>planning assumptions validated against real 429 behaviour</w:t>
            </w:r>
            <w:r>
              <w:rPr>
                <w:color w:val="202020"/>
                <w:sz w:val="20"/>
              </w:rPr>
              <w:t>, not contractual guarantees. The per-connection push rate last documented (Nov 2024) was ~25 items/sec (~90,000/hour); a full crawl of a 1,000,000-item source therefore takes roughly 11–16 hours on one connection. The connector's own pipeline is ~500x faster than Graph — the connector node is never the bottleneck (section 9.6).</w:t>
            </w:r>
          </w:p>
        </w:tc>
      </w:tr>
    </w:tbl>
    <w:p>
      <w:pPr>
        <w:spacing w:after="40"/>
      </w:pPr>
    </w:p>
    <w:p>
      <w:pPr>
        <w:pStyle w:val="Heading2"/>
      </w:pPr>
      <w:r>
        <w:rPr>
          <w:color w:val="2E5496"/>
        </w:rPr>
        <w:t>8.2 Fleet allocation (from the tenant governance plan)</w:t>
      </w:r>
    </w:p>
    <w:p>
      <w:pPr>
        <w:spacing w:after="120"/>
      </w:pPr>
      <w:r>
        <w:rPr>
          <w:color w:val="202020"/>
        </w:rPr>
        <w:t xml:space="preserve">Connections and item budgets are allocated per connector below. Shard counts are set with </w:t>
      </w:r>
      <w:r>
        <w:rPr>
          <w:rFonts w:ascii="Consolas" w:hAnsi="Consolas"/>
          <w:color w:val="202020"/>
          <w:sz w:val="19"/>
        </w:rPr>
        <w:t>GRAPH_CONNECTION_SHARDS</w:t>
      </w:r>
      <w:r>
        <w:rPr>
          <w:color w:val="202020"/>
        </w:rPr>
        <w:t xml:space="preserve">. This allocation is </w:t>
      </w:r>
      <w:r>
        <w:rPr>
          <w:b/>
          <w:color w:val="202020"/>
        </w:rPr>
        <w:t>shared across all five connectors</w:t>
      </w:r>
      <w:r>
        <w:rPr>
          <w:color w:val="202020"/>
        </w:rPr>
        <w:t xml:space="preserve"> and is the authority — a connector never borrows another's shards, and adding shards means editing this plan first.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700"/>
        <w:gridCol w:w="2100"/>
        <w:gridCol w:w="1560"/>
        <w:gridCol w:w="4000"/>
      </w:tblGrid>
      <w:tr>
        <w:tc>
          <w:tcPr>
            <w:tcW w:type="dxa" w:w="1700"/>
            <w:shd w:val="clear" w:color="auto" w:fill="2E5496"/>
          </w:tcPr>
          <w:p>
            <w:r>
              <w:rPr>
                <w:b/>
                <w:color w:val="FFFFFF"/>
                <w:sz w:val="19"/>
              </w:rPr>
              <w:t>Connector</w:t>
            </w:r>
          </w:p>
        </w:tc>
        <w:tc>
          <w:tcPr>
            <w:tcW w:type="dxa" w:w="2100"/>
            <w:shd w:val="clear" w:color="auto" w:fill="2E5496"/>
          </w:tcPr>
          <w:p>
            <w:r>
              <w:rPr>
                <w:b/>
                <w:color w:val="FFFFFF"/>
                <w:sz w:val="19"/>
              </w:rPr>
              <w:t>Connections (shards)</w:t>
            </w:r>
          </w:p>
        </w:tc>
        <w:tc>
          <w:tcPr>
            <w:tcW w:type="dxa" w:w="1560"/>
            <w:shd w:val="clear" w:color="auto" w:fill="2E5496"/>
          </w:tcPr>
          <w:p>
            <w:r>
              <w:rPr>
                <w:b/>
                <w:color w:val="FFFFFF"/>
                <w:sz w:val="19"/>
              </w:rPr>
              <w:t>Item budget</w:t>
            </w:r>
          </w:p>
        </w:tc>
        <w:tc>
          <w:tcPr>
            <w:tcW w:type="dxa" w:w="4000"/>
            <w:shd w:val="clear" w:color="auto" w:fill="2E5496"/>
          </w:tcPr>
          <w:p>
            <w:r>
              <w:rPr>
                <w:b/>
                <w:color w:val="FFFFFF"/>
                <w:sz w:val="19"/>
              </w:rPr>
              <w:t>Rationale</w:t>
            </w:r>
          </w:p>
        </w:tc>
      </w:tr>
      <w:tr>
        <w:tc>
          <w:tcPr>
            <w:tcW w:type="dxa" w:w="1700"/>
          </w:tcPr>
          <w:p>
            <w:r>
              <w:rPr>
                <w:color w:val="202020"/>
                <w:sz w:val="19"/>
              </w:rPr>
              <w:t>Salesforce</w:t>
            </w:r>
          </w:p>
        </w:tc>
        <w:tc>
          <w:tcPr>
            <w:tcW w:type="dxa" w:w="2100"/>
          </w:tcPr>
          <w:p>
            <w:r>
              <w:rPr>
                <w:color w:val="202020"/>
                <w:sz w:val="19"/>
              </w:rPr>
              <w:t>4</w:t>
            </w:r>
          </w:p>
        </w:tc>
        <w:tc>
          <w:tcPr>
            <w:tcW w:type="dxa" w:w="1560"/>
          </w:tcPr>
          <w:p>
            <w:r>
              <w:rPr>
                <w:color w:val="202020"/>
                <w:sz w:val="19"/>
              </w:rPr>
              <w:t>12M</w:t>
            </w:r>
          </w:p>
        </w:tc>
        <w:tc>
          <w:tcPr>
            <w:tcW w:type="dxa" w:w="4000"/>
          </w:tcPr>
          <w:p>
            <w:r>
              <w:rPr>
                <w:color w:val="202020"/>
                <w:sz w:val="19"/>
              </w:rPr>
              <w:t>Largest live object scope; 4 shards keep each under the 5M/connection cap with headroom</w:t>
            </w:r>
          </w:p>
        </w:tc>
      </w:tr>
      <w:tr>
        <w:tc>
          <w:tcPr>
            <w:tcW w:type="dxa" w:w="1700"/>
            <w:shd w:val="clear" w:color="auto" w:fill="F7F9FC"/>
          </w:tcPr>
          <w:p>
            <w:r>
              <w:rPr>
                <w:color w:val="202020"/>
                <w:sz w:val="19"/>
              </w:rPr>
              <w:t>Hadoop (BDH)</w:t>
            </w:r>
          </w:p>
        </w:tc>
        <w:tc>
          <w:tcPr>
            <w:tcW w:type="dxa" w:w="2100"/>
            <w:shd w:val="clear" w:color="auto" w:fill="F7F9FC"/>
          </w:tcPr>
          <w:p>
            <w:r>
              <w:rPr>
                <w:color w:val="202020"/>
                <w:sz w:val="19"/>
              </w:rPr>
              <w:t>4</w:t>
            </w:r>
          </w:p>
        </w:tc>
        <w:tc>
          <w:tcPr>
            <w:tcW w:type="dxa" w:w="1560"/>
            <w:shd w:val="clear" w:color="auto" w:fill="F7F9FC"/>
          </w:tcPr>
          <w:p>
            <w:r>
              <w:rPr>
                <w:color w:val="202020"/>
                <w:sz w:val="19"/>
              </w:rPr>
              <w:t>16M</w:t>
            </w:r>
          </w:p>
        </w:tc>
        <w:tc>
          <w:tcPr>
            <w:tcW w:type="dxa" w:w="4000"/>
            <w:shd w:val="clear" w:color="auto" w:fill="F7F9FC"/>
          </w:tcPr>
          <w:p>
            <w:r>
              <w:rPr>
                <w:color w:val="202020"/>
                <w:sz w:val="19"/>
              </w:rPr>
              <w:t>150M+ source rows must be filter-reduced; the fail-closed scale guard enforces it — any full-scan override is a capacity-plan change</w:t>
            </w:r>
          </w:p>
        </w:tc>
      </w:tr>
      <w:tr>
        <w:tc>
          <w:tcPr>
            <w:tcW w:type="dxa" w:w="1700"/>
          </w:tcPr>
          <w:p>
            <w:r>
              <w:rPr>
                <w:color w:val="202020"/>
                <w:sz w:val="19"/>
              </w:rPr>
              <w:t>Clarizen</w:t>
            </w:r>
          </w:p>
        </w:tc>
        <w:tc>
          <w:tcPr>
            <w:tcW w:type="dxa" w:w="2100"/>
          </w:tcPr>
          <w:p>
            <w:r>
              <w:rPr>
                <w:color w:val="202020"/>
                <w:sz w:val="19"/>
              </w:rPr>
              <w:t>2</w:t>
            </w:r>
          </w:p>
        </w:tc>
        <w:tc>
          <w:tcPr>
            <w:tcW w:type="dxa" w:w="1560"/>
          </w:tcPr>
          <w:p>
            <w:r>
              <w:rPr>
                <w:color w:val="202020"/>
                <w:sz w:val="19"/>
              </w:rPr>
              <w:t>6M</w:t>
            </w:r>
          </w:p>
        </w:tc>
        <w:tc>
          <w:tcPr>
            <w:tcW w:type="dxa" w:w="4000"/>
          </w:tcPr>
          <w:p>
            <w:r>
              <w:rPr>
                <w:color w:val="202020"/>
                <w:sz w:val="19"/>
              </w:rPr>
              <w:t>Projects / tasks / financial objects</w:t>
            </w:r>
          </w:p>
        </w:tc>
      </w:tr>
      <w:tr>
        <w:tc>
          <w:tcPr>
            <w:tcW w:type="dxa" w:w="1700"/>
            <w:shd w:val="clear" w:color="auto" w:fill="F7F9FC"/>
          </w:tcPr>
          <w:p>
            <w:r>
              <w:rPr>
                <w:color w:val="202020"/>
                <w:sz w:val="19"/>
              </w:rPr>
              <w:t>Seismic</w:t>
            </w:r>
          </w:p>
        </w:tc>
        <w:tc>
          <w:tcPr>
            <w:tcW w:type="dxa" w:w="2100"/>
            <w:shd w:val="clear" w:color="auto" w:fill="F7F9FC"/>
          </w:tcPr>
          <w:p>
            <w:r>
              <w:rPr>
                <w:color w:val="202020"/>
                <w:sz w:val="19"/>
              </w:rPr>
              <w:t>1</w:t>
            </w:r>
          </w:p>
        </w:tc>
        <w:tc>
          <w:tcPr>
            <w:tcW w:type="dxa" w:w="1560"/>
            <w:shd w:val="clear" w:color="auto" w:fill="F7F9FC"/>
          </w:tcPr>
          <w:p>
            <w:r>
              <w:rPr>
                <w:color w:val="202020"/>
                <w:sz w:val="19"/>
              </w:rPr>
              <w:t>3M</w:t>
            </w:r>
          </w:p>
        </w:tc>
        <w:tc>
          <w:tcPr>
            <w:tcW w:type="dxa" w:w="4000"/>
            <w:shd w:val="clear" w:color="auto" w:fill="F7F9FC"/>
          </w:tcPr>
          <w:p>
            <w:r>
              <w:rPr>
                <w:color w:val="202020"/>
                <w:sz w:val="19"/>
              </w:rPr>
              <w:t>Content library scale</w:t>
            </w:r>
          </w:p>
        </w:tc>
      </w:tr>
      <w:tr>
        <w:tc>
          <w:tcPr>
            <w:tcW w:type="dxa" w:w="1700"/>
          </w:tcPr>
          <w:p>
            <w:r>
              <w:rPr>
                <w:color w:val="202020"/>
                <w:sz w:val="19"/>
              </w:rPr>
              <w:t>Altrata</w:t>
            </w:r>
          </w:p>
        </w:tc>
        <w:tc>
          <w:tcPr>
            <w:tcW w:type="dxa" w:w="2100"/>
          </w:tcPr>
          <w:p>
            <w:r>
              <w:rPr>
                <w:color w:val="202020"/>
                <w:sz w:val="19"/>
              </w:rPr>
              <w:t>1</w:t>
            </w:r>
          </w:p>
        </w:tc>
        <w:tc>
          <w:tcPr>
            <w:tcW w:type="dxa" w:w="1560"/>
          </w:tcPr>
          <w:p>
            <w:r>
              <w:rPr>
                <w:color w:val="202020"/>
                <w:sz w:val="19"/>
              </w:rPr>
              <w:t>2M</w:t>
            </w:r>
          </w:p>
        </w:tc>
        <w:tc>
          <w:tcPr>
            <w:tcW w:type="dxa" w:w="4000"/>
          </w:tcPr>
          <w:p>
            <w:r>
              <w:rPr>
                <w:color w:val="202020"/>
                <w:sz w:val="19"/>
              </w:rPr>
              <w:t>Licensed-seat-scoped profiles</w:t>
            </w:r>
          </w:p>
        </w:tc>
      </w:tr>
      <w:tr>
        <w:tc>
          <w:tcPr>
            <w:tcW w:type="dxa" w:w="1700"/>
            <w:shd w:val="clear" w:color="auto" w:fill="F7F9FC"/>
          </w:tcPr>
          <w:p>
            <w:r>
              <w:rPr>
                <w:color w:val="202020"/>
                <w:sz w:val="19"/>
              </w:rPr>
              <w:t>Total</w:t>
            </w:r>
          </w:p>
        </w:tc>
        <w:tc>
          <w:tcPr>
            <w:tcW w:type="dxa" w:w="2100"/>
            <w:shd w:val="clear" w:color="auto" w:fill="F7F9FC"/>
          </w:tcPr>
          <w:p>
            <w:r>
              <w:rPr>
                <w:color w:val="202020"/>
                <w:sz w:val="19"/>
              </w:rPr>
              <w:t>12 / 30</w:t>
            </w:r>
          </w:p>
        </w:tc>
        <w:tc>
          <w:tcPr>
            <w:tcW w:type="dxa" w:w="1560"/>
            <w:shd w:val="clear" w:color="auto" w:fill="F7F9FC"/>
          </w:tcPr>
          <w:p>
            <w:r>
              <w:rPr>
                <w:color w:val="202020"/>
                <w:sz w:val="19"/>
              </w:rPr>
              <w:t>39M / 50M</w:t>
            </w:r>
          </w:p>
        </w:tc>
        <w:tc>
          <w:tcPr>
            <w:tcW w:type="dxa" w:w="4000"/>
            <w:shd w:val="clear" w:color="auto" w:fill="F7F9FC"/>
          </w:tcPr>
          <w:p>
            <w:r>
              <w:rPr>
                <w:color w:val="202020"/>
                <w:sz w:val="19"/>
              </w:rPr>
              <w:t>18 connections and ~11M items of tenant headroom</w:t>
            </w:r>
          </w:p>
        </w:tc>
      </w:tr>
    </w:tbl>
    <w:p>
      <w:pPr>
        <w:spacing w:after="40"/>
      </w:pPr>
    </w:p>
    <w:p>
      <w:pPr>
        <w:spacing w:after="120"/>
      </w:pPr>
      <w:r>
        <w:rPr>
          <w:color w:val="202020"/>
        </w:rPr>
        <w:t xml:space="preserve">Hadoop and Salesforce index overlapping records (Hadoop mirrors Salesforce with ~24h lag). They deliberately use </w:t>
      </w:r>
      <w:r>
        <w:rPr>
          <w:b/>
          <w:color w:val="202020"/>
        </w:rPr>
        <w:t>separate connections</w:t>
      </w:r>
      <w:r>
        <w:rPr>
          <w:color w:val="202020"/>
        </w:rPr>
        <w:t xml:space="preserve"> and distinct item-id namespaces; de-duplication is a Copilot-side ranking concern, so never point both at one connection.</w:t>
      </w:r>
    </w:p>
    <w:p>
      <w:pPr>
        <w:pStyle w:val="Heading2"/>
      </w:pPr>
      <w:r>
        <w:rPr>
          <w:color w:val="2E5496"/>
        </w:rPr>
        <w:t>8.3 One app registration per connector — throttling isolation</w:t>
      </w:r>
    </w:p>
    <w:p>
      <w:pPr>
        <w:spacing w:after="120"/>
      </w:pPr>
      <w:r>
        <w:rPr>
          <w:color w:val="202020"/>
        </w:rPr>
        <w:t xml:space="preserve">Graph throttles </w:t>
      </w:r>
      <w:r>
        <w:rPr>
          <w:b/>
          <w:color w:val="202020"/>
        </w:rPr>
        <w:t>per app, per tenant</w:t>
      </w:r>
      <w:r>
        <w:rPr>
          <w:color w:val="202020"/>
        </w:rPr>
        <w:t xml:space="preserve">. Giving each connector its </w:t>
      </w:r>
      <w:r>
        <w:rPr>
          <w:b/>
          <w:color w:val="202020"/>
        </w:rPr>
        <w:t>own Entra app registration</w:t>
      </w:r>
      <w:r>
        <w:rPr>
          <w:color w:val="202020"/>
        </w:rPr>
        <w:t xml:space="preserve"> (five total) means one connector's 429 storm is charged to its own app and cannot starve the others. It also gives least-privilege consent per connector and independent credential rotation. Under a tenant-wide throttling event all five back off independently (honouring </w:t>
      </w:r>
      <w:r>
        <w:rPr>
          <w:rFonts w:ascii="Consolas" w:hAnsi="Consolas"/>
          <w:color w:val="202020"/>
          <w:sz w:val="19"/>
        </w:rPr>
        <w:t>Retry-After</w:t>
      </w:r>
      <w:r>
        <w:rPr>
          <w:color w:val="202020"/>
        </w:rPr>
        <w:t>, with jitter in HA) and recover without coordination.</w:t>
      </w:r>
    </w:p>
    <w:p>
      <w:pPr>
        <w:pStyle w:val="Heading2"/>
      </w:pPr>
      <w:r>
        <w:rPr>
          <w:color w:val="2E5496"/>
        </w:rPr>
        <w:t>8.4 Crawl scheduling (the stagger plan)</w:t>
      </w:r>
    </w:p>
    <w:p>
      <w:pPr>
        <w:spacing w:after="120"/>
      </w:pPr>
      <w:r>
        <w:rPr>
          <w:color w:val="202020"/>
        </w:rPr>
        <w:t>Full crawls are the expensive events, so they are staggered across the night (server local time). Two full crawls must not overlap by schedule.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200"/>
        <w:gridCol w:w="1800"/>
        <w:gridCol w:w="6360"/>
      </w:tblGrid>
      <w:tr>
        <w:tc>
          <w:tcPr>
            <w:tcW w:type="dxa" w:w="1200"/>
            <w:shd w:val="clear" w:color="auto" w:fill="2E5496"/>
          </w:tcPr>
          <w:p>
            <w:r>
              <w:rPr>
                <w:b/>
                <w:color w:val="FFFFFF"/>
                <w:sz w:val="19"/>
              </w:rPr>
              <w:t>Window</w:t>
            </w:r>
          </w:p>
        </w:tc>
        <w:tc>
          <w:tcPr>
            <w:tcW w:type="dxa" w:w="1800"/>
            <w:shd w:val="clear" w:color="auto" w:fill="2E5496"/>
          </w:tcPr>
          <w:p>
            <w:r>
              <w:rPr>
                <w:b/>
                <w:color w:val="FFFFFF"/>
                <w:sz w:val="19"/>
              </w:rPr>
              <w:t>Connector</w:t>
            </w:r>
          </w:p>
        </w:tc>
        <w:tc>
          <w:tcPr>
            <w:tcW w:type="dxa" w:w="6360"/>
            <w:shd w:val="clear" w:color="auto" w:fill="2E5496"/>
          </w:tcPr>
          <w:p>
            <w:r>
              <w:rPr>
                <w:b/>
                <w:color w:val="FFFFFF"/>
                <w:sz w:val="19"/>
              </w:rPr>
              <w:t>Mode</w:t>
            </w:r>
          </w:p>
        </w:tc>
      </w:tr>
      <w:tr>
        <w:tc>
          <w:tcPr>
            <w:tcW w:type="dxa" w:w="1200"/>
          </w:tcPr>
          <w:p>
            <w:r>
              <w:rPr>
                <w:color w:val="202020"/>
                <w:sz w:val="19"/>
              </w:rPr>
              <w:t>00:30</w:t>
            </w:r>
          </w:p>
        </w:tc>
        <w:tc>
          <w:tcPr>
            <w:tcW w:type="dxa" w:w="1800"/>
          </w:tcPr>
          <w:p>
            <w:r>
              <w:rPr>
                <w:color w:val="202020"/>
                <w:sz w:val="19"/>
              </w:rPr>
              <w:t>Hadoop</w:t>
            </w:r>
          </w:p>
        </w:tc>
        <w:tc>
          <w:tcPr>
            <w:tcW w:type="dxa" w:w="6360"/>
          </w:tcPr>
          <w:p>
            <w:r>
              <w:rPr>
                <w:color w:val="202020"/>
                <w:sz w:val="19"/>
              </w:rPr>
              <w:t>Full/incremental, after the nightly BDH mirror lands (earlier runs are pointless due to the 24h-lag watermark)</w:t>
            </w:r>
          </w:p>
        </w:tc>
      </w:tr>
      <w:tr>
        <w:tc>
          <w:tcPr>
            <w:tcW w:type="dxa" w:w="1200"/>
            <w:shd w:val="clear" w:color="auto" w:fill="F7F9FC"/>
          </w:tcPr>
          <w:p>
            <w:r>
              <w:rPr>
                <w:color w:val="202020"/>
                <w:sz w:val="19"/>
              </w:rPr>
              <w:t>02:30</w:t>
            </w:r>
          </w:p>
        </w:tc>
        <w:tc>
          <w:tcPr>
            <w:tcW w:type="dxa" w:w="1800"/>
            <w:shd w:val="clear" w:color="auto" w:fill="F7F9FC"/>
          </w:tcPr>
          <w:p>
            <w:r>
              <w:rPr>
                <w:color w:val="202020"/>
                <w:sz w:val="19"/>
              </w:rPr>
              <w:t>Salesforce</w:t>
            </w:r>
          </w:p>
        </w:tc>
        <w:tc>
          <w:tcPr>
            <w:tcW w:type="dxa" w:w="6360"/>
            <w:shd w:val="clear" w:color="auto" w:fill="F7F9FC"/>
          </w:tcPr>
          <w:p>
            <w:r>
              <w:rPr>
                <w:color w:val="202020"/>
                <w:sz w:val="19"/>
              </w:rPr>
              <w:t>Incremental (full: monthly, first Saturday)</w:t>
            </w:r>
          </w:p>
        </w:tc>
      </w:tr>
      <w:tr>
        <w:tc>
          <w:tcPr>
            <w:tcW w:type="dxa" w:w="1200"/>
          </w:tcPr>
          <w:p>
            <w:r>
              <w:rPr>
                <w:color w:val="202020"/>
                <w:sz w:val="19"/>
              </w:rPr>
              <w:t>04:00</w:t>
            </w:r>
          </w:p>
        </w:tc>
        <w:tc>
          <w:tcPr>
            <w:tcW w:type="dxa" w:w="1800"/>
          </w:tcPr>
          <w:p>
            <w:r>
              <w:rPr>
                <w:color w:val="202020"/>
                <w:sz w:val="19"/>
              </w:rPr>
              <w:t>Clarizen</w:t>
            </w:r>
          </w:p>
        </w:tc>
        <w:tc>
          <w:tcPr>
            <w:tcW w:type="dxa" w:w="6360"/>
          </w:tcPr>
          <w:p>
            <w:r>
              <w:rPr>
                <w:color w:val="202020"/>
                <w:sz w:val="19"/>
              </w:rPr>
              <w:t>Incremental</w:t>
            </w:r>
          </w:p>
        </w:tc>
      </w:tr>
      <w:tr>
        <w:tc>
          <w:tcPr>
            <w:tcW w:type="dxa" w:w="1200"/>
            <w:shd w:val="clear" w:color="auto" w:fill="F7F9FC"/>
          </w:tcPr>
          <w:p>
            <w:r>
              <w:rPr>
                <w:color w:val="202020"/>
                <w:sz w:val="19"/>
              </w:rPr>
              <w:t>05:00</w:t>
            </w:r>
          </w:p>
        </w:tc>
        <w:tc>
          <w:tcPr>
            <w:tcW w:type="dxa" w:w="1800"/>
            <w:shd w:val="clear" w:color="auto" w:fill="F7F9FC"/>
          </w:tcPr>
          <w:p>
            <w:r>
              <w:rPr>
                <w:color w:val="202020"/>
                <w:sz w:val="19"/>
              </w:rPr>
              <w:t>Seismic</w:t>
            </w:r>
          </w:p>
        </w:tc>
        <w:tc>
          <w:tcPr>
            <w:tcW w:type="dxa" w:w="6360"/>
            <w:shd w:val="clear" w:color="auto" w:fill="F7F9FC"/>
          </w:tcPr>
          <w:p>
            <w:r>
              <w:rPr>
                <w:color w:val="202020"/>
                <w:sz w:val="19"/>
              </w:rPr>
              <w:t>Incremental (webhooks carry the day)</w:t>
            </w:r>
          </w:p>
        </w:tc>
      </w:tr>
      <w:tr>
        <w:tc>
          <w:tcPr>
            <w:tcW w:type="dxa" w:w="1200"/>
          </w:tcPr>
          <w:p>
            <w:r>
              <w:rPr>
                <w:color w:val="202020"/>
                <w:sz w:val="19"/>
              </w:rPr>
              <w:t>05:30</w:t>
            </w:r>
          </w:p>
        </w:tc>
        <w:tc>
          <w:tcPr>
            <w:tcW w:type="dxa" w:w="1800"/>
          </w:tcPr>
          <w:p>
            <w:r>
              <w:rPr>
                <w:color w:val="202020"/>
                <w:sz w:val="19"/>
              </w:rPr>
              <w:t>Altrata</w:t>
            </w:r>
          </w:p>
        </w:tc>
        <w:tc>
          <w:tcPr>
            <w:tcW w:type="dxa" w:w="6360"/>
          </w:tcPr>
          <w:p>
            <w:r>
              <w:rPr>
                <w:color w:val="202020"/>
                <w:sz w:val="19"/>
              </w:rPr>
              <w:t>Feed-driven (runs when a delivery lands; nightly window is the norm)</w:t>
            </w:r>
          </w:p>
        </w:tc>
      </w:tr>
    </w:tbl>
    <w:p>
      <w:pPr>
        <w:spacing w:after="40"/>
      </w:pPr>
    </w:p>
    <w:p>
      <w:pPr>
        <w:spacing w:after="120"/>
      </w:pPr>
      <w:r>
        <w:rPr>
          <w:color w:val="202020"/>
        </w:rPr>
        <w:t xml:space="preserve">If a full crawl overruns into another's window, adaptive throttling keeps it </w:t>
      </w:r>
      <w:r>
        <w:rPr>
          <w:b/>
          <w:color w:val="202020"/>
        </w:rPr>
        <w:t>safe, just slower</w:t>
      </w:r>
      <w:r>
        <w:rPr>
          <w:color w:val="202020"/>
        </w:rPr>
        <w:t xml:space="preserve"> — but recurring overlap means the stagger needs re-planning.</w:t>
      </w:r>
    </w:p>
    <w:p>
      <w:pPr>
        <w:pStyle w:val="Heading2"/>
      </w:pPr>
      <w:r>
        <w:rPr>
          <w:color w:val="2E5496"/>
        </w:rPr>
        <w:t>8.5 Monitoring the shared budget and change control</w:t>
      </w:r>
    </w:p>
    <w:p>
      <w:pPr>
        <w:pStyle w:val="ListBullet"/>
        <w:spacing w:after="40"/>
      </w:pPr>
      <w:r>
        <w:rPr>
          <w:color w:val="202020"/>
        </w:rPr>
        <w:t xml:space="preserve">Watch the </w:t>
      </w:r>
      <w:r>
        <w:rPr>
          <w:b/>
          <w:color w:val="202020"/>
        </w:rPr>
        <w:t>sum of per-connector item counts against the 50M tenant quota</w:t>
      </w:r>
      <w:r>
        <w:rPr>
          <w:color w:val="202020"/>
        </w:rPr>
        <w:t xml:space="preserve">. Approaching </w:t>
      </w:r>
      <w:r>
        <w:rPr>
          <w:b/>
          <w:color w:val="202020"/>
        </w:rPr>
        <w:t>40M (80%)</w:t>
      </w:r>
      <w:r>
        <w:rPr>
          <w:color w:val="202020"/>
        </w:rPr>
        <w:t xml:space="preserve"> triggers a scope review — tighten the Hadoop filters first, as it has the most elastic scope.</w:t>
      </w:r>
    </w:p>
    <w:p>
      <w:pPr>
        <w:pStyle w:val="ListBullet"/>
        <w:spacing w:after="40"/>
      </w:pPr>
      <w:r>
        <w:rPr>
          <w:color w:val="202020"/>
        </w:rPr>
        <w:t xml:space="preserve">A </w:t>
      </w:r>
      <w:r>
        <w:rPr>
          <w:b/>
          <w:color w:val="202020"/>
        </w:rPr>
        <w:t>tenant-wide 429 spike hitting all five at once</w:t>
      </w:r>
      <w:r>
        <w:rPr>
          <w:color w:val="202020"/>
        </w:rPr>
        <w:t xml:space="preserve"> is a tenant-level throttling event, not one connector's fault — check Microsoft 365 service health before touching any connector's config.</w:t>
      </w:r>
    </w:p>
    <w:p>
      <w:pPr>
        <w:pStyle w:val="ListBullet"/>
        <w:spacing w:after="40"/>
      </w:pPr>
      <w:r>
        <w:rPr>
          <w:color w:val="202020"/>
        </w:rPr>
        <w:t xml:space="preserve">Any use of a </w:t>
      </w:r>
      <w:r>
        <w:rPr>
          <w:b/>
          <w:color w:val="202020"/>
        </w:rPr>
        <w:t>full-scan override</w:t>
      </w:r>
      <w:r>
        <w:rPr>
          <w:color w:val="202020"/>
        </w:rPr>
        <w:t xml:space="preserve"> (Hadoop) or a </w:t>
      </w:r>
      <w:r>
        <w:rPr>
          <w:b/>
          <w:color w:val="202020"/>
        </w:rPr>
        <w:t>deletion-guard override</w:t>
      </w:r>
      <w:r>
        <w:rPr>
          <w:color w:val="202020"/>
        </w:rPr>
        <w:t xml:space="preserve"> is a capacity event, not routine ops — flag it.</w:t>
      </w:r>
    </w:p>
    <w:p>
      <w:pPr>
        <w:pStyle w:val="ListBullet"/>
        <w:spacing w:after="40"/>
      </w:pPr>
      <w:r>
        <w:rPr>
          <w:color w:val="202020"/>
        </w:rPr>
        <w:t xml:space="preserve">Treat this plan as configuration: changes to shard counts, item budgets, crawl windows or app registrations go through the </w:t>
      </w:r>
      <w:r>
        <w:rPr>
          <w:b/>
          <w:color w:val="202020"/>
        </w:rPr>
        <w:t>same review as code</w:t>
      </w:r>
      <w:r>
        <w:rPr>
          <w:color w:val="202020"/>
        </w:rPr>
        <w:t>.</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You do not set the shard counts, item budgets or app registrations yourself. Request the </w:t>
            </w:r>
            <w:r>
              <w:rPr>
                <w:b/>
                <w:color w:val="202020"/>
                <w:sz w:val="20"/>
              </w:rPr>
              <w:t>per-connector allocation</w:t>
            </w:r>
            <w:r>
              <w:rPr>
                <w:color w:val="202020"/>
                <w:sz w:val="20"/>
              </w:rPr>
              <w:t xml:space="preserve"> (connections, item budget, app registration) and any change to it from the </w:t>
            </w:r>
            <w:r>
              <w:rPr>
                <w:b/>
                <w:color w:val="202020"/>
                <w:sz w:val="20"/>
              </w:rPr>
              <w:t>connector platform team / tenant governance owner</w:t>
            </w:r>
            <w:r>
              <w:rPr>
                <w:color w:val="202020"/>
                <w:sz w:val="20"/>
              </w:rPr>
              <w:t xml:space="preserve"> who maintains this plan.</w:t>
            </w:r>
          </w:p>
        </w:tc>
      </w:tr>
    </w:tbl>
    <w:p>
      <w:pPr>
        <w:spacing w:after="40"/>
      </w:pPr>
    </w:p>
    <w:p>
      <w:r>
        <w:br w:type="page"/>
      </w:r>
    </w:p>
    <w:p>
      <w:pPr>
        <w:pStyle w:val="Heading1"/>
      </w:pPr>
      <w:r>
        <w:rPr>
          <w:color w:val="1F3864"/>
        </w:rPr>
        <w:t>9. Deployment and environments</w:t>
      </w:r>
    </w:p>
    <w:p>
      <w:pPr>
        <w:spacing w:after="200"/>
      </w:pPr>
      <w:r>
        <w:rPr>
          <w:color w:val="595959"/>
          <w:sz w:val="23"/>
        </w:rPr>
        <w:t>Each connector runs as a Windows service on Windows Server, installed by MSI and configured by your management tooling. This section covers the target, the install, managed configuration, environments, prerequisites and sizing.</w:t>
      </w:r>
    </w:p>
    <w:p>
      <w:pPr>
        <w:pStyle w:val="Heading2"/>
      </w:pPr>
      <w:r>
        <w:rPr>
          <w:color w:val="2E5496"/>
        </w:rPr>
        <w:t>9.1 Target: a Windows service</w:t>
      </w:r>
    </w:p>
    <w:p>
      <w:pPr>
        <w:spacing w:after="120"/>
      </w:pPr>
      <w:r>
        <w:rPr>
          <w:color w:val="202020"/>
        </w:rPr>
        <w:t xml:space="preserve">The deployment target is </w:t>
      </w:r>
      <w:r>
        <w:rPr>
          <w:b/>
          <w:color w:val="202020"/>
        </w:rPr>
        <w:t>Windows Server</w:t>
      </w:r>
      <w:r>
        <w:rPr>
          <w:color w:val="202020"/>
        </w:rPr>
        <w:t xml:space="preserve">, running the connector as a </w:t>
      </w:r>
      <w:r>
        <w:rPr>
          <w:b/>
          <w:color w:val="202020"/>
        </w:rPr>
        <w:t>Windows service</w:t>
      </w:r>
      <w:r>
        <w:rPr>
          <w:color w:val="202020"/>
        </w:rPr>
        <w:t xml:space="preserve"> under the Service Control Manager (SCM). The service runs </w:t>
      </w:r>
      <w:r>
        <w:rPr>
          <w:rFonts w:ascii="Consolas" w:hAnsi="Consolas"/>
          <w:color w:val="202020"/>
          <w:sz w:val="19"/>
        </w:rPr>
        <w:t>ingest --continuous</w:t>
      </w:r>
      <w:r>
        <w:rPr>
          <w:color w:val="202020"/>
        </w:rPr>
        <w:t xml:space="preserve">, which loops the incremental/full schedule. The install sets the service to </w:t>
      </w:r>
      <w:r>
        <w:rPr>
          <w:b/>
          <w:color w:val="202020"/>
        </w:rPr>
        <w:t>Automatic (delayed start)</w:t>
      </w:r>
      <w:r>
        <w:rPr>
          <w:color w:val="202020"/>
        </w:rPr>
        <w:t xml:space="preserve"> but does </w:t>
      </w:r>
      <w:r>
        <w:rPr>
          <w:b/>
          <w:color w:val="202020"/>
        </w:rPr>
        <w:t>not</w:t>
      </w:r>
      <w:r>
        <w:rPr>
          <w:color w:val="202020"/>
        </w:rPr>
        <w:t xml:space="preserve"> start it — configuration is a separate managed step, so one package serves every environment. Add an SCM crash-restart policy so the service self-heals; because crawls checkpoint, a restart resumes rather than restarting the crawl.</w:t>
      </w:r>
    </w:p>
    <w:p>
      <w:pPr>
        <w:pStyle w:val="Heading2"/>
      </w:pPr>
      <w:r>
        <w:rPr>
          <w:color w:val="2E5496"/>
        </w:rPr>
        <w:t>9.2 MSI deployment via SCCM / Intune</w:t>
      </w:r>
    </w:p>
    <w:p>
      <w:pPr>
        <w:spacing w:after="120"/>
      </w:pPr>
      <w:r>
        <w:rPr>
          <w:color w:val="202020"/>
        </w:rPr>
        <w:t xml:space="preserve">The MSI installs per-machine to </w:t>
      </w:r>
      <w:r>
        <w:rPr>
          <w:rFonts w:ascii="Consolas" w:hAnsi="Consolas"/>
          <w:color w:val="202020"/>
          <w:sz w:val="19"/>
        </w:rPr>
        <w:t>%ProgramFiles%\&lt;Connector&gt;</w:t>
      </w:r>
      <w:r>
        <w:rPr>
          <w:color w:val="202020"/>
        </w:rPr>
        <w:t xml:space="preserve">: the executable, config templates, the environment example file, the Windows service, and the Windows Event Log source. It ships </w:t>
      </w:r>
      <w:r>
        <w:rPr>
          <w:b/>
          <w:color w:val="202020"/>
        </w:rPr>
        <w:t>no credentials and no live configuration</w:t>
      </w:r>
      <w:r>
        <w:rPr>
          <w:color w:val="202020"/>
        </w:rPr>
        <w:t xml:space="preserve"> by design.</w:t>
      </w:r>
    </w:p>
    <w:p>
      <w:pPr>
        <w:pStyle w:val="ListBullet"/>
        <w:spacing w:after="40"/>
      </w:pPr>
      <w:r>
        <w:rPr>
          <w:b/>
          <w:color w:val="202020"/>
        </w:rPr>
        <w:t>SCCM</w:t>
      </w:r>
      <w:r>
        <w:rPr>
          <w:color w:val="202020"/>
        </w:rPr>
        <w:t xml:space="preserve"> — standard MSI application model; detect by MSI product code or the exe file version; upgrades are a major-upgrade in place (the service resumes from its checkpoint); uninstall leaves state behind by design.</w:t>
      </w:r>
    </w:p>
    <w:p>
      <w:pPr>
        <w:pStyle w:val="ListBullet"/>
        <w:spacing w:after="40"/>
      </w:pPr>
      <w:r>
        <w:rPr>
          <w:b/>
          <w:color w:val="202020"/>
        </w:rPr>
        <w:t>Intune</w:t>
      </w:r>
      <w:r>
        <w:rPr>
          <w:color w:val="202020"/>
        </w:rPr>
        <w:t xml:space="preserve"> — wrap the MSI as a Win32 app so you get requirement rules and a configuration script in one package; assign to a device group in system context.</w:t>
      </w:r>
    </w:p>
    <w:p>
      <w:pPr>
        <w:pStyle w:val="ListBullet"/>
        <w:spacing w:after="40"/>
      </w:pPr>
      <w:r>
        <w:rPr>
          <w:b/>
          <w:color w:val="202020"/>
        </w:rPr>
        <w:t>Deploy order per node</w:t>
      </w:r>
      <w:r>
        <w:rPr>
          <w:color w:val="202020"/>
        </w:rPr>
        <w:t xml:space="preserve"> — 1) MSI, 2) configuration (next section), 3) start the service, 4) verify </w:t>
      </w:r>
      <w:r>
        <w:rPr>
          <w:rFonts w:ascii="Consolas" w:hAnsi="Consolas"/>
          <w:color w:val="202020"/>
          <w:sz w:val="19"/>
        </w:rPr>
        <w:t>validate-config --strict</w:t>
      </w:r>
      <w:r>
        <w:rPr>
          <w:color w:val="202020"/>
        </w:rPr>
        <w:t xml:space="preserve"> exits 0 in the install directory.</w:t>
      </w:r>
    </w:p>
    <w:p>
      <w:pPr>
        <w:pStyle w:val="ListBullet"/>
        <w:spacing w:after="40"/>
      </w:pPr>
      <w:r>
        <w:rPr>
          <w:b/>
          <w:color w:val="202020"/>
        </w:rPr>
        <w:t>No-MSI fleets</w:t>
      </w:r>
      <w:r>
        <w:rPr>
          <w:color w:val="202020"/>
        </w:rPr>
        <w:t xml:space="preserve"> — a zip bundle plus the </w:t>
      </w:r>
      <w:r>
        <w:rPr>
          <w:rFonts w:ascii="Consolas" w:hAnsi="Consolas"/>
          <w:color w:val="202020"/>
          <w:sz w:val="19"/>
        </w:rPr>
        <w:t>install-windows-service.ps1</w:t>
      </w:r>
      <w:r>
        <w:rPr>
          <w:color w:val="202020"/>
        </w:rPr>
        <w:t xml:space="preserve"> script does the same things, including creating the event source.</w:t>
      </w:r>
    </w:p>
    <w:p>
      <w:pPr>
        <w:pStyle w:val="Heading2"/>
      </w:pPr>
      <w:r>
        <w:rPr>
          <w:color w:val="2E5496"/>
        </w:rPr>
        <w:t>9.3 Managed configuration (GPO / DSC)</w:t>
      </w:r>
    </w:p>
    <w:p>
      <w:pPr>
        <w:spacing w:after="120"/>
      </w:pPr>
      <w:r>
        <w:rPr>
          <w:color w:val="202020"/>
        </w:rPr>
        <w:t xml:space="preserve">The connector reads </w:t>
      </w:r>
      <w:r>
        <w:rPr>
          <w:b/>
          <w:color w:val="202020"/>
        </w:rPr>
        <w:t>process environment first, then the env files</w:t>
      </w:r>
      <w:r>
        <w:rPr>
          <w:color w:val="202020"/>
        </w:rPr>
        <w:t xml:space="preserve"> (process env wins), giving two managed channels. The recommended split:</w:t>
      </w:r>
    </w:p>
    <w:p>
      <w:pPr>
        <w:pStyle w:val="ListBullet"/>
        <w:spacing w:after="40"/>
      </w:pPr>
      <w:r>
        <w:rPr>
          <w:b/>
          <w:color w:val="202020"/>
        </w:rPr>
        <w:t>Env file for the functional knobs</w:t>
      </w:r>
      <w:r>
        <w:rPr>
          <w:color w:val="202020"/>
        </w:rPr>
        <w:t xml:space="preserve"> — drop </w:t>
      </w:r>
      <w:r>
        <w:rPr>
          <w:rFonts w:ascii="Consolas" w:hAnsi="Consolas"/>
          <w:color w:val="202020"/>
          <w:sz w:val="19"/>
        </w:rPr>
        <w:t>env\.env.local</w:t>
      </w:r>
      <w:r>
        <w:rPr>
          <w:color w:val="202020"/>
        </w:rPr>
        <w:t xml:space="preserve"> (non-secret) via DSC File / an SCCM configuration item; it is diffable and identical across Windows, Linux and containers, and drift detection is a file hash.</w:t>
      </w:r>
    </w:p>
    <w:p>
      <w:pPr>
        <w:pStyle w:val="ListBullet"/>
        <w:spacing w:after="40"/>
      </w:pPr>
      <w:r>
        <w:rPr>
          <w:b/>
          <w:color w:val="202020"/>
        </w:rPr>
        <w:t>Key Vault for every secret</w:t>
      </w:r>
      <w:r>
        <w:rPr>
          <w:color w:val="202020"/>
        </w:rPr>
        <w:t xml:space="preserve"> — with </w:t>
      </w:r>
      <w:r>
        <w:rPr>
          <w:rFonts w:ascii="Consolas" w:hAnsi="Consolas"/>
          <w:color w:val="202020"/>
          <w:sz w:val="19"/>
        </w:rPr>
        <w:t>USE_KEY_VAULT=true</w:t>
      </w:r>
      <w:r>
        <w:rPr>
          <w:color w:val="202020"/>
        </w:rPr>
        <w:t xml:space="preserve"> the secret file does not exist on disk at all.</w:t>
      </w:r>
    </w:p>
    <w:p>
      <w:pPr>
        <w:pStyle w:val="ListBullet"/>
        <w:spacing w:after="40"/>
      </w:pPr>
      <w:r>
        <w:rPr>
          <w:b/>
          <w:color w:val="202020"/>
        </w:rPr>
        <w:t>Registry only for the two bootstrap values</w:t>
      </w:r>
      <w:r>
        <w:rPr>
          <w:color w:val="202020"/>
        </w:rPr>
        <w:t xml:space="preserve"> — the install directory home and optionally the Key Vault toggle/URI, written to the service's environment via Group Policy Preferences.</w:t>
      </w:r>
    </w:p>
    <w:p>
      <w:pPr>
        <w:pStyle w:val="ListBullet"/>
        <w:spacing w:after="40"/>
      </w:pPr>
      <w:r>
        <w:rPr>
          <w:b/>
          <w:color w:val="202020"/>
        </w:rPr>
        <w:t>Never machine-wide environment variables</w:t>
      </w:r>
      <w:r>
        <w:rPr>
          <w:color w:val="202020"/>
        </w:rPr>
        <w:t xml:space="preserve"> (</w:t>
      </w:r>
      <w:r>
        <w:rPr>
          <w:rFonts w:ascii="Consolas" w:hAnsi="Consolas"/>
          <w:color w:val="202020"/>
          <w:sz w:val="19"/>
        </w:rPr>
        <w:t>setx /M</w:t>
      </w:r>
      <w:r>
        <w:rPr>
          <w:color w:val="202020"/>
        </w:rPr>
        <w:t>) — they leak into every process on the box.</w:t>
      </w:r>
    </w:p>
    <w:p>
      <w:pPr>
        <w:pStyle w:val="Heading2"/>
      </w:pPr>
      <w:r>
        <w:rPr>
          <w:color w:val="2E5496"/>
        </w:rPr>
        <w:t>9.4 Environments: dev, test, prod</w:t>
      </w:r>
    </w:p>
    <w:p>
      <w:pPr>
        <w:spacing w:after="120"/>
      </w:pPr>
      <w:r>
        <w:rPr>
          <w:color w:val="202020"/>
        </w:rPr>
        <w:t xml:space="preserve">Run separate dev, test and prod deployments — separate hosts, separate service accounts, separate app registrations and secrets, and ideally separate tenants (or at least separate connection ids). Never point a dev connector at a prod connection id: it would ingest into the production index. Use </w:t>
      </w:r>
      <w:r>
        <w:rPr>
          <w:rFonts w:ascii="Consolas" w:hAnsi="Consolas"/>
          <w:color w:val="202020"/>
          <w:sz w:val="19"/>
        </w:rPr>
        <w:t>SALESFORCE_QUERY_LIMIT</w:t>
      </w:r>
      <w:r>
        <w:rPr>
          <w:color w:val="202020"/>
        </w:rPr>
        <w:t>-style caps (per source) to keep dev/test crawls small, and always leave them at 0 (full) in production.</w:t>
      </w:r>
    </w:p>
    <w:p>
      <w:pPr>
        <w:pStyle w:val="Heading2"/>
      </w:pPr>
      <w:r>
        <w:rPr>
          <w:color w:val="2E5496"/>
        </w:rPr>
        <w:t>9.5 Prerequisites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000"/>
        <w:gridCol w:w="4560"/>
        <w:gridCol w:w="2800"/>
      </w:tblGrid>
      <w:tr>
        <w:tc>
          <w:tcPr>
            <w:tcW w:type="dxa" w:w="2000"/>
            <w:shd w:val="clear" w:color="auto" w:fill="2E5496"/>
          </w:tcPr>
          <w:p>
            <w:r>
              <w:rPr>
                <w:b/>
                <w:color w:val="FFFFFF"/>
                <w:sz w:val="19"/>
              </w:rPr>
              <w:t>Prerequisite</w:t>
            </w:r>
          </w:p>
        </w:tc>
        <w:tc>
          <w:tcPr>
            <w:tcW w:type="dxa" w:w="4560"/>
            <w:shd w:val="clear" w:color="auto" w:fill="2E5496"/>
          </w:tcPr>
          <w:p>
            <w:r>
              <w:rPr>
                <w:b/>
                <w:color w:val="FFFFFF"/>
                <w:sz w:val="19"/>
              </w:rPr>
              <w:t>Requirement</w:t>
            </w:r>
          </w:p>
        </w:tc>
        <w:tc>
          <w:tcPr>
            <w:tcW w:type="dxa" w:w="2800"/>
            <w:shd w:val="clear" w:color="auto" w:fill="2E5496"/>
          </w:tcPr>
          <w:p>
            <w:r>
              <w:rPr>
                <w:b/>
                <w:color w:val="FFFFFF"/>
                <w:sz w:val="19"/>
              </w:rPr>
              <w:t>Who provides it</w:t>
            </w:r>
          </w:p>
        </w:tc>
      </w:tr>
      <w:tr>
        <w:tc>
          <w:tcPr>
            <w:tcW w:type="dxa" w:w="2000"/>
          </w:tcPr>
          <w:p>
            <w:r>
              <w:rPr>
                <w:color w:val="202020"/>
                <w:sz w:val="19"/>
              </w:rPr>
              <w:t>Operating system</w:t>
            </w:r>
          </w:p>
        </w:tc>
        <w:tc>
          <w:tcPr>
            <w:tcW w:type="dxa" w:w="4560"/>
          </w:tcPr>
          <w:p>
            <w:r>
              <w:rPr>
                <w:color w:val="202020"/>
                <w:sz w:val="19"/>
              </w:rPr>
              <w:t>Windows Server (supported, patched); the code is cross-platform for dev only</w:t>
            </w:r>
          </w:p>
        </w:tc>
        <w:tc>
          <w:tcPr>
            <w:tcW w:type="dxa" w:w="2800"/>
          </w:tcPr>
          <w:p>
            <w:r>
              <w:rPr>
                <w:color w:val="202020"/>
                <w:sz w:val="19"/>
              </w:rPr>
              <w:t>Server / platform team</w:t>
            </w:r>
          </w:p>
        </w:tc>
      </w:tr>
      <w:tr>
        <w:tc>
          <w:tcPr>
            <w:tcW w:type="dxa" w:w="2000"/>
            <w:shd w:val="clear" w:color="auto" w:fill="F7F9FC"/>
          </w:tcPr>
          <w:p>
            <w:r>
              <w:rPr>
                <w:color w:val="202020"/>
                <w:sz w:val="19"/>
              </w:rPr>
              <w:t>.NET runtime</w:t>
            </w:r>
          </w:p>
        </w:tc>
        <w:tc>
          <w:tcPr>
            <w:tcW w:type="dxa" w:w="4560"/>
            <w:shd w:val="clear" w:color="auto" w:fill="F7F9FC"/>
          </w:tcPr>
          <w:p>
            <w:r>
              <w:rPr>
                <w:color w:val="202020"/>
                <w:sz w:val="19"/>
              </w:rPr>
              <w:t>.NET 10 runtime installed on the host</w:t>
            </w:r>
          </w:p>
        </w:tc>
        <w:tc>
          <w:tcPr>
            <w:tcW w:type="dxa" w:w="2800"/>
            <w:shd w:val="clear" w:color="auto" w:fill="F7F9FC"/>
          </w:tcPr>
          <w:p>
            <w:r>
              <w:rPr>
                <w:color w:val="202020"/>
                <w:sz w:val="19"/>
              </w:rPr>
              <w:t>Server / platform team</w:t>
            </w:r>
          </w:p>
        </w:tc>
      </w:tr>
      <w:tr>
        <w:tc>
          <w:tcPr>
            <w:tcW w:type="dxa" w:w="2000"/>
          </w:tcPr>
          <w:p>
            <w:r>
              <w:rPr>
                <w:color w:val="202020"/>
                <w:sz w:val="19"/>
              </w:rPr>
              <w:t>Service account</w:t>
            </w:r>
          </w:p>
        </w:tc>
        <w:tc>
          <w:tcPr>
            <w:tcW w:type="dxa" w:w="4560"/>
          </w:tcPr>
          <w:p>
            <w:r>
              <w:rPr>
                <w:color w:val="202020"/>
                <w:sz w:val="19"/>
              </w:rPr>
              <w:t>Dedicated gMSA (preferred) with logon-as-a-service</w:t>
            </w:r>
          </w:p>
        </w:tc>
        <w:tc>
          <w:tcPr>
            <w:tcW w:type="dxa" w:w="2800"/>
          </w:tcPr>
          <w:p>
            <w:r>
              <w:rPr>
                <w:color w:val="202020"/>
                <w:sz w:val="19"/>
              </w:rPr>
              <w:t>Active Directory team</w:t>
            </w:r>
          </w:p>
        </w:tc>
      </w:tr>
      <w:tr>
        <w:tc>
          <w:tcPr>
            <w:tcW w:type="dxa" w:w="2000"/>
            <w:shd w:val="clear" w:color="auto" w:fill="F7F9FC"/>
          </w:tcPr>
          <w:p>
            <w:r>
              <w:rPr>
                <w:color w:val="202020"/>
                <w:sz w:val="19"/>
              </w:rPr>
              <w:t>Network egress</w:t>
            </w:r>
          </w:p>
        </w:tc>
        <w:tc>
          <w:tcPr>
            <w:tcW w:type="dxa" w:w="4560"/>
            <w:shd w:val="clear" w:color="auto" w:fill="F7F9FC"/>
          </w:tcPr>
          <w:p>
            <w:r>
              <w:rPr>
                <w:color w:val="202020"/>
                <w:sz w:val="19"/>
              </w:rPr>
              <w:t>Outbound 443 to source, graph.microsoft.com, login.microsoftonline.com, *.vault.azure.net</w:t>
            </w:r>
          </w:p>
        </w:tc>
        <w:tc>
          <w:tcPr>
            <w:tcW w:type="dxa" w:w="2800"/>
            <w:shd w:val="clear" w:color="auto" w:fill="F7F9FC"/>
          </w:tcPr>
          <w:p>
            <w:r>
              <w:rPr>
                <w:color w:val="202020"/>
                <w:sz w:val="19"/>
              </w:rPr>
              <w:t>Network / firewall team</w:t>
            </w:r>
          </w:p>
        </w:tc>
      </w:tr>
      <w:tr>
        <w:tc>
          <w:tcPr>
            <w:tcW w:type="dxa" w:w="2000"/>
          </w:tcPr>
          <w:p>
            <w:r>
              <w:rPr>
                <w:color w:val="202020"/>
                <w:sz w:val="19"/>
              </w:rPr>
              <w:t>App registration</w:t>
            </w:r>
          </w:p>
        </w:tc>
        <w:tc>
          <w:tcPr>
            <w:tcW w:type="dxa" w:w="4560"/>
          </w:tcPr>
          <w:p>
            <w:r>
              <w:rPr>
                <w:color w:val="202020"/>
                <w:sz w:val="19"/>
              </w:rPr>
              <w:t>One per connector, admin-consented (section 7.2)</w:t>
            </w:r>
          </w:p>
        </w:tc>
        <w:tc>
          <w:tcPr>
            <w:tcW w:type="dxa" w:w="2800"/>
          </w:tcPr>
          <w:p>
            <w:r>
              <w:rPr>
                <w:color w:val="202020"/>
                <w:sz w:val="19"/>
              </w:rPr>
              <w:t>Entra ID administrator</w:t>
            </w:r>
          </w:p>
        </w:tc>
      </w:tr>
      <w:tr>
        <w:tc>
          <w:tcPr>
            <w:tcW w:type="dxa" w:w="2000"/>
            <w:shd w:val="clear" w:color="auto" w:fill="F7F9FC"/>
          </w:tcPr>
          <w:p>
            <w:r>
              <w:rPr>
                <w:color w:val="202020"/>
                <w:sz w:val="19"/>
              </w:rPr>
              <w:t>Credentials</w:t>
            </w:r>
          </w:p>
        </w:tc>
        <w:tc>
          <w:tcPr>
            <w:tcW w:type="dxa" w:w="4560"/>
            <w:shd w:val="clear" w:color="auto" w:fill="F7F9FC"/>
          </w:tcPr>
          <w:p>
            <w:r>
              <w:rPr>
                <w:color w:val="202020"/>
                <w:sz w:val="19"/>
              </w:rPr>
              <w:t>Client secret or certificate; Key Vault access</w:t>
            </w:r>
          </w:p>
        </w:tc>
        <w:tc>
          <w:tcPr>
            <w:tcW w:type="dxa" w:w="2800"/>
            <w:shd w:val="clear" w:color="auto" w:fill="F7F9FC"/>
          </w:tcPr>
          <w:p>
            <w:r>
              <w:rPr>
                <w:color w:val="202020"/>
                <w:sz w:val="19"/>
              </w:rPr>
              <w:t>Entra admin / PKI team / Key Vault team</w:t>
            </w:r>
          </w:p>
        </w:tc>
      </w:tr>
      <w:tr>
        <w:tc>
          <w:tcPr>
            <w:tcW w:type="dxa" w:w="2000"/>
          </w:tcPr>
          <w:p>
            <w:r>
              <w:rPr>
                <w:color w:val="202020"/>
                <w:sz w:val="19"/>
              </w:rPr>
              <w:t>Source access</w:t>
            </w:r>
          </w:p>
        </w:tc>
        <w:tc>
          <w:tcPr>
            <w:tcW w:type="dxa" w:w="4560"/>
          </w:tcPr>
          <w:p>
            <w:r>
              <w:rPr>
                <w:color w:val="202020"/>
                <w:sz w:val="19"/>
              </w:rPr>
              <w:t>Source endpoint + read-only integration credentials</w:t>
            </w:r>
          </w:p>
        </w:tc>
        <w:tc>
          <w:tcPr>
            <w:tcW w:type="dxa" w:w="2800"/>
          </w:tcPr>
          <w:p>
            <w:r>
              <w:rPr>
                <w:color w:val="202020"/>
                <w:sz w:val="19"/>
              </w:rPr>
              <w:t>Source-system administrator</w:t>
            </w:r>
          </w:p>
        </w:tc>
      </w:tr>
      <w:tr>
        <w:tc>
          <w:tcPr>
            <w:tcW w:type="dxa" w:w="2000"/>
            <w:shd w:val="clear" w:color="auto" w:fill="F7F9FC"/>
          </w:tcPr>
          <w:p>
            <w:r>
              <w:rPr>
                <w:color w:val="202020"/>
                <w:sz w:val="19"/>
              </w:rPr>
              <w:t>SQL Server (if HA)</w:t>
            </w:r>
          </w:p>
        </w:tc>
        <w:tc>
          <w:tcPr>
            <w:tcW w:type="dxa" w:w="4560"/>
            <w:shd w:val="clear" w:color="auto" w:fill="F7F9FC"/>
          </w:tcPr>
          <w:p>
            <w:r>
              <w:rPr>
                <w:color w:val="202020"/>
                <w:sz w:val="19"/>
              </w:rPr>
              <w:t>Database + least-privilege login; AG listener for HA</w:t>
            </w:r>
          </w:p>
        </w:tc>
        <w:tc>
          <w:tcPr>
            <w:tcW w:type="dxa" w:w="2800"/>
            <w:shd w:val="clear" w:color="auto" w:fill="F7F9FC"/>
          </w:tcPr>
          <w:p>
            <w:r>
              <w:rPr>
                <w:color w:val="202020"/>
                <w:sz w:val="19"/>
              </w:rPr>
              <w:t>Database administrator</w:t>
            </w:r>
          </w:p>
        </w:tc>
      </w:tr>
    </w:tbl>
    <w:p>
      <w:pPr>
        <w:spacing w:after="40"/>
      </w:pPr>
    </w:p>
    <w:p>
      <w:pPr>
        <w:pStyle w:val="Heading2"/>
      </w:pPr>
      <w:r>
        <w:rPr>
          <w:color w:val="2E5496"/>
        </w:rPr>
        <w:t>9.6 Hardware sizing</w:t>
      </w:r>
    </w:p>
    <w:p>
      <w:pPr>
        <w:spacing w:after="120"/>
      </w:pPr>
      <w:r>
        <w:rPr>
          <w:color w:val="202020"/>
        </w:rPr>
        <w:t xml:space="preserve">The workload is </w:t>
      </w:r>
      <w:r>
        <w:rPr>
          <w:b/>
          <w:color w:val="202020"/>
        </w:rPr>
        <w:t>Graph-bound, not CPU-bound</w:t>
      </w:r>
      <w:r>
        <w:rPr>
          <w:color w:val="202020"/>
        </w:rPr>
        <w:t xml:space="preserve"> — the connector's pipeline outruns Graph's accept rate by roughly 500x, so a larger node buys nothing. Sensible starting points: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500"/>
        <w:gridCol w:w="3060"/>
        <w:gridCol w:w="4800"/>
      </w:tblGrid>
      <w:tr>
        <w:tc>
          <w:tcPr>
            <w:tcW w:type="dxa" w:w="1500"/>
            <w:shd w:val="clear" w:color="auto" w:fill="2E5496"/>
          </w:tcPr>
          <w:p>
            <w:r>
              <w:rPr>
                <w:b/>
                <w:color w:val="FFFFFF"/>
                <w:sz w:val="19"/>
              </w:rPr>
              <w:t>Resource</w:t>
            </w:r>
          </w:p>
        </w:tc>
        <w:tc>
          <w:tcPr>
            <w:tcW w:type="dxa" w:w="3060"/>
            <w:shd w:val="clear" w:color="auto" w:fill="2E5496"/>
          </w:tcPr>
          <w:p>
            <w:r>
              <w:rPr>
                <w:b/>
                <w:color w:val="FFFFFF"/>
                <w:sz w:val="19"/>
              </w:rPr>
              <w:t>Starting point</w:t>
            </w:r>
          </w:p>
        </w:tc>
        <w:tc>
          <w:tcPr>
            <w:tcW w:type="dxa" w:w="4800"/>
            <w:shd w:val="clear" w:color="auto" w:fill="2E5496"/>
          </w:tcPr>
          <w:p>
            <w:r>
              <w:rPr>
                <w:b/>
                <w:color w:val="FFFFFF"/>
                <w:sz w:val="19"/>
              </w:rPr>
              <w:t>What drives it</w:t>
            </w:r>
          </w:p>
        </w:tc>
      </w:tr>
      <w:tr>
        <w:tc>
          <w:tcPr>
            <w:tcW w:type="dxa" w:w="1500"/>
          </w:tcPr>
          <w:p>
            <w:r>
              <w:rPr>
                <w:color w:val="202020"/>
                <w:sz w:val="19"/>
              </w:rPr>
              <w:t>CPU</w:t>
            </w:r>
          </w:p>
        </w:tc>
        <w:tc>
          <w:tcPr>
            <w:tcW w:type="dxa" w:w="3060"/>
          </w:tcPr>
          <w:p>
            <w:r>
              <w:rPr>
                <w:color w:val="202020"/>
                <w:sz w:val="19"/>
              </w:rPr>
              <w:t>4 vCPU</w:t>
            </w:r>
          </w:p>
        </w:tc>
        <w:tc>
          <w:tcPr>
            <w:tcW w:type="dxa" w:w="4800"/>
          </w:tcPr>
          <w:p>
            <w:r>
              <w:rPr>
                <w:color w:val="202020"/>
                <w:sz w:val="19"/>
              </w:rPr>
              <w:t>Ample; the node is almost always waiting on Graph, not computing</w:t>
            </w:r>
          </w:p>
        </w:tc>
      </w:tr>
      <w:tr>
        <w:tc>
          <w:tcPr>
            <w:tcW w:type="dxa" w:w="1500"/>
            <w:shd w:val="clear" w:color="auto" w:fill="F7F9FC"/>
          </w:tcPr>
          <w:p>
            <w:r>
              <w:rPr>
                <w:color w:val="202020"/>
                <w:sz w:val="19"/>
              </w:rPr>
              <w:t>RAM</w:t>
            </w:r>
          </w:p>
        </w:tc>
        <w:tc>
          <w:tcPr>
            <w:tcW w:type="dxa" w:w="3060"/>
            <w:shd w:val="clear" w:color="auto" w:fill="F7F9FC"/>
          </w:tcPr>
          <w:p>
            <w:r>
              <w:rPr>
                <w:color w:val="202020"/>
                <w:sz w:val="19"/>
              </w:rPr>
              <w:t>8–16 GB</w:t>
            </w:r>
          </w:p>
        </w:tc>
        <w:tc>
          <w:tcPr>
            <w:tcW w:type="dxa" w:w="4800"/>
            <w:shd w:val="clear" w:color="auto" w:fill="F7F9FC"/>
          </w:tcPr>
          <w:p>
            <w:r>
              <w:rPr>
                <w:color w:val="202020"/>
                <w:sz w:val="19"/>
              </w:rPr>
              <w:t>Working set is small (hundreds of MB under load); headroom for the OS and management agents</w:t>
            </w:r>
          </w:p>
        </w:tc>
      </w:tr>
      <w:tr>
        <w:tc>
          <w:tcPr>
            <w:tcW w:type="dxa" w:w="1500"/>
          </w:tcPr>
          <w:p>
            <w:r>
              <w:rPr>
                <w:color w:val="202020"/>
                <w:sz w:val="19"/>
              </w:rPr>
              <w:t>Disk</w:t>
            </w:r>
          </w:p>
        </w:tc>
        <w:tc>
          <w:tcPr>
            <w:tcW w:type="dxa" w:w="3060"/>
          </w:tcPr>
          <w:p>
            <w:r>
              <w:rPr>
                <w:color w:val="202020"/>
                <w:sz w:val="19"/>
              </w:rPr>
              <w:t>Modest SSD; size for logs + state + dead-letter</w:t>
            </w:r>
          </w:p>
        </w:tc>
        <w:tc>
          <w:tcPr>
            <w:tcW w:type="dxa" w:w="4800"/>
          </w:tcPr>
          <w:p>
            <w:r>
              <w:rPr>
                <w:color w:val="202020"/>
                <w:sz w:val="19"/>
              </w:rPr>
              <w:t>Log retention (LOG_RETENTION_DAYS) and dead-letter growth, not item volume</w:t>
            </w:r>
          </w:p>
        </w:tc>
      </w:tr>
      <w:tr>
        <w:tc>
          <w:tcPr>
            <w:tcW w:type="dxa" w:w="1500"/>
            <w:shd w:val="clear" w:color="auto" w:fill="F7F9FC"/>
          </w:tcPr>
          <w:p>
            <w:r>
              <w:rPr>
                <w:color w:val="202020"/>
                <w:sz w:val="19"/>
              </w:rPr>
              <w:t>Network</w:t>
            </w:r>
          </w:p>
        </w:tc>
        <w:tc>
          <w:tcPr>
            <w:tcW w:type="dxa" w:w="3060"/>
            <w:shd w:val="clear" w:color="auto" w:fill="F7F9FC"/>
          </w:tcPr>
          <w:p>
            <w:r>
              <w:rPr>
                <w:color w:val="202020"/>
                <w:sz w:val="19"/>
              </w:rPr>
              <w:t>Outbound 443; &lt; 1 MB/s typical</w:t>
            </w:r>
          </w:p>
        </w:tc>
        <w:tc>
          <w:tcPr>
            <w:tcW w:type="dxa" w:w="4800"/>
            <w:shd w:val="clear" w:color="auto" w:fill="F7F9FC"/>
          </w:tcPr>
          <w:p>
            <w:r>
              <w:rPr>
                <w:color w:val="202020"/>
                <w:sz w:val="19"/>
              </w:rPr>
              <w:t>Item size; 25 items/sec at 4 MB worst-case is &lt;= ~100 MB/s, realistically far less</w:t>
            </w:r>
          </w:p>
        </w:tc>
      </w:tr>
    </w:tbl>
    <w:p>
      <w:pPr>
        <w:spacing w:after="40"/>
      </w:pPr>
    </w:p>
    <w:p>
      <w:pPr>
        <w:spacing w:after="120"/>
      </w:pPr>
      <w:r>
        <w:rPr>
          <w:color w:val="202020"/>
        </w:rPr>
        <w:t>For HA, run two such nodes (section 6.9) — the second is for availability, not speed. For throughput, add shards (section 6.7), not bigger boxes.</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Request from your </w:t>
            </w:r>
            <w:r>
              <w:rPr>
                <w:b/>
                <w:color w:val="202020"/>
                <w:sz w:val="20"/>
              </w:rPr>
              <w:t>server / platform team</w:t>
            </w:r>
            <w:r>
              <w:rPr>
                <w:color w:val="202020"/>
                <w:sz w:val="20"/>
              </w:rPr>
              <w:t xml:space="preserve"> a </w:t>
            </w:r>
            <w:r>
              <w:rPr>
                <w:b/>
                <w:color w:val="202020"/>
                <w:sz w:val="20"/>
              </w:rPr>
              <w:t>Windows Server host</w:t>
            </w:r>
            <w:r>
              <w:rPr>
                <w:color w:val="202020"/>
                <w:sz w:val="20"/>
              </w:rPr>
              <w:t xml:space="preserve"> (per environment, per connector) meeting section 9.5, with the </w:t>
            </w:r>
            <w:r>
              <w:rPr>
                <w:b/>
                <w:color w:val="202020"/>
                <w:sz w:val="20"/>
              </w:rPr>
              <w:t>.NET 10 runtime</w:t>
            </w:r>
            <w:r>
              <w:rPr>
                <w:color w:val="202020"/>
                <w:sz w:val="20"/>
              </w:rPr>
              <w:t xml:space="preserve"> installed and the agreed </w:t>
            </w:r>
            <w:r>
              <w:rPr>
                <w:b/>
                <w:color w:val="202020"/>
                <w:sz w:val="20"/>
              </w:rPr>
              <w:t>CPU/RAM/disk</w:t>
            </w:r>
            <w:r>
              <w:rPr>
                <w:color w:val="202020"/>
                <w:sz w:val="20"/>
              </w:rPr>
              <w:t xml:space="preserve">. For HA also request the second node and, from your </w:t>
            </w:r>
            <w:r>
              <w:rPr>
                <w:b/>
                <w:color w:val="202020"/>
                <w:sz w:val="20"/>
              </w:rPr>
              <w:t>DBA</w:t>
            </w:r>
            <w:r>
              <w:rPr>
                <w:color w:val="202020"/>
                <w:sz w:val="20"/>
              </w:rPr>
              <w:t xml:space="preserve">, the </w:t>
            </w:r>
            <w:r>
              <w:rPr>
                <w:b/>
                <w:color w:val="202020"/>
                <w:sz w:val="20"/>
              </w:rPr>
              <w:t>SQL Server database, login and AG listener name</w:t>
            </w:r>
            <w:r>
              <w:rPr>
                <w:color w:val="202020"/>
                <w:sz w:val="20"/>
              </w:rPr>
              <w:t>.</w:t>
            </w:r>
          </w:p>
        </w:tc>
      </w:tr>
    </w:tbl>
    <w:p>
      <w:pPr>
        <w:spacing w:after="40"/>
      </w:pPr>
    </w:p>
    <w:p>
      <w:r>
        <w:br w:type="page"/>
      </w:r>
    </w:p>
    <w:p>
      <w:pPr>
        <w:pStyle w:val="Heading1"/>
      </w:pPr>
      <w:r>
        <w:rPr>
          <w:color w:val="1F3864"/>
        </w:rPr>
        <w:t>10. Monitoring and observability</w:t>
      </w:r>
    </w:p>
    <w:p>
      <w:pPr>
        <w:spacing w:after="200"/>
      </w:pPr>
      <w:r>
        <w:rPr>
          <w:color w:val="595959"/>
          <w:sz w:val="23"/>
        </w:rPr>
        <w:t>How you know a connector is healthy, and how you find out fast when it is not. Everything here is off by default and switched on with the environment variables named below.</w:t>
      </w:r>
    </w:p>
    <w:p>
      <w:pPr>
        <w:pStyle w:val="Heading2"/>
      </w:pPr>
      <w:r>
        <w:rPr>
          <w:color w:val="2E5496"/>
        </w:rPr>
        <w:t>10.1 Health, readiness and metrics endpoints</w:t>
      </w:r>
    </w:p>
    <w:p>
      <w:pPr>
        <w:spacing w:after="120"/>
      </w:pPr>
      <w:r>
        <w:rPr>
          <w:color w:val="202020"/>
        </w:rPr>
        <w:t xml:space="preserve">With </w:t>
      </w:r>
      <w:r>
        <w:rPr>
          <w:rFonts w:ascii="Consolas" w:hAnsi="Consolas"/>
          <w:color w:val="202020"/>
          <w:sz w:val="19"/>
        </w:rPr>
        <w:t>HEALTH_PORT</w:t>
      </w:r>
      <w:r>
        <w:rPr>
          <w:color w:val="202020"/>
        </w:rPr>
        <w:t xml:space="preserve"> set, the connector serves three routes. Point your monitoring at them and firewall the port to the monitoring subnet.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200"/>
        <w:gridCol w:w="4360"/>
        <w:gridCol w:w="2800"/>
      </w:tblGrid>
      <w:tr>
        <w:tc>
          <w:tcPr>
            <w:tcW w:type="dxa" w:w="2200"/>
            <w:shd w:val="clear" w:color="auto" w:fill="2E5496"/>
          </w:tcPr>
          <w:p>
            <w:r>
              <w:rPr>
                <w:b/>
                <w:color w:val="FFFFFF"/>
                <w:sz w:val="19"/>
              </w:rPr>
              <w:t>Route</w:t>
            </w:r>
          </w:p>
        </w:tc>
        <w:tc>
          <w:tcPr>
            <w:tcW w:type="dxa" w:w="4360"/>
            <w:shd w:val="clear" w:color="auto" w:fill="2E5496"/>
          </w:tcPr>
          <w:p>
            <w:r>
              <w:rPr>
                <w:b/>
                <w:color w:val="FFFFFF"/>
                <w:sz w:val="19"/>
              </w:rPr>
              <w:t>Meaning</w:t>
            </w:r>
          </w:p>
        </w:tc>
        <w:tc>
          <w:tcPr>
            <w:tcW w:type="dxa" w:w="2800"/>
            <w:shd w:val="clear" w:color="auto" w:fill="2E5496"/>
          </w:tcPr>
          <w:p>
            <w:r>
              <w:rPr>
                <w:b/>
                <w:color w:val="FFFFFF"/>
                <w:sz w:val="19"/>
              </w:rPr>
              <w:t>Healthy response</w:t>
            </w:r>
          </w:p>
        </w:tc>
      </w:tr>
      <w:tr>
        <w:tc>
          <w:tcPr>
            <w:tcW w:type="dxa" w:w="2200"/>
          </w:tcPr>
          <w:p>
            <w:r>
              <w:rPr>
                <w:color w:val="202020"/>
                <w:sz w:val="19"/>
              </w:rPr>
              <w:t>GET /health</w:t>
            </w:r>
          </w:p>
        </w:tc>
        <w:tc>
          <w:tcPr>
            <w:tcW w:type="dxa" w:w="4360"/>
          </w:tcPr>
          <w:p>
            <w:r>
              <w:rPr>
                <w:color w:val="202020"/>
                <w:sz w:val="19"/>
              </w:rPr>
              <w:t>Liveness — the process is up</w:t>
            </w:r>
          </w:p>
        </w:tc>
        <w:tc>
          <w:tcPr>
            <w:tcW w:type="dxa" w:w="2800"/>
          </w:tcPr>
          <w:p>
            <w:r>
              <w:rPr>
                <w:color w:val="202020"/>
                <w:sz w:val="19"/>
              </w:rPr>
              <w:t>200 OK</w:t>
            </w:r>
          </w:p>
        </w:tc>
      </w:tr>
      <w:tr>
        <w:tc>
          <w:tcPr>
            <w:tcW w:type="dxa" w:w="2200"/>
            <w:shd w:val="clear" w:color="auto" w:fill="F7F9FC"/>
          </w:tcPr>
          <w:p>
            <w:r>
              <w:rPr>
                <w:color w:val="202020"/>
                <w:sz w:val="19"/>
              </w:rPr>
              <w:t>GET /ready</w:t>
            </w:r>
          </w:p>
        </w:tc>
        <w:tc>
          <w:tcPr>
            <w:tcW w:type="dxa" w:w="4360"/>
            <w:shd w:val="clear" w:color="auto" w:fill="F7F9FC"/>
          </w:tcPr>
          <w:p>
            <w:r>
              <w:rPr>
                <w:color w:val="202020"/>
                <w:sz w:val="19"/>
              </w:rPr>
              <w:t>Readiness — configuration is loaded</w:t>
            </w:r>
          </w:p>
        </w:tc>
        <w:tc>
          <w:tcPr>
            <w:tcW w:type="dxa" w:w="2800"/>
            <w:shd w:val="clear" w:color="auto" w:fill="F7F9FC"/>
          </w:tcPr>
          <w:p>
            <w:r>
              <w:rPr>
                <w:color w:val="202020"/>
                <w:sz w:val="19"/>
              </w:rPr>
              <w:t>200 READY</w:t>
            </w:r>
          </w:p>
        </w:tc>
      </w:tr>
      <w:tr>
        <w:tc>
          <w:tcPr>
            <w:tcW w:type="dxa" w:w="2200"/>
          </w:tcPr>
          <w:p>
            <w:r>
              <w:rPr>
                <w:color w:val="202020"/>
                <w:sz w:val="19"/>
              </w:rPr>
              <w:t>GET /metrics</w:t>
            </w:r>
          </w:p>
        </w:tc>
        <w:tc>
          <w:tcPr>
            <w:tcW w:type="dxa" w:w="4360"/>
          </w:tcPr>
          <w:p>
            <w:r>
              <w:rPr>
                <w:color w:val="202020"/>
                <w:sz w:val="19"/>
              </w:rPr>
              <w:t>Prometheus-format metrics (refreshed each scrape)</w:t>
            </w:r>
          </w:p>
        </w:tc>
        <w:tc>
          <w:tcPr>
            <w:tcW w:type="dxa" w:w="2800"/>
          </w:tcPr>
          <w:p>
            <w:r>
              <w:rPr>
                <w:color w:val="202020"/>
                <w:sz w:val="19"/>
              </w:rPr>
              <w:t>200 with the metric text below</w:t>
            </w:r>
          </w:p>
        </w:tc>
      </w:tr>
    </w:tbl>
    <w:p>
      <w:pPr>
        <w:spacing w:after="40"/>
      </w:pPr>
    </w:p>
    <w:p>
      <w:pPr>
        <w:pStyle w:val="Heading2"/>
      </w:pPr>
      <w:r>
        <w:rPr>
          <w:color w:val="2E5496"/>
        </w:rPr>
        <w:t>10.2 The metric families</w:t>
      </w:r>
    </w:p>
    <w:p>
      <w:pPr>
        <w:spacing w:after="120"/>
      </w:pPr>
      <w:r>
        <w:rPr>
          <w:color w:val="202020"/>
        </w:rPr>
        <w:t xml:space="preserve">Metrics are standard Prometheus text (no exporter sidecar needed). Each connector prefixes its metrics with its own name — the Salesforce connector uses </w:t>
      </w:r>
      <w:r>
        <w:rPr>
          <w:rFonts w:ascii="Consolas" w:hAnsi="Consolas"/>
          <w:color w:val="202020"/>
          <w:sz w:val="19"/>
        </w:rPr>
        <w:t>salesforce_connector_</w:t>
      </w:r>
      <w:r>
        <w:rPr>
          <w:color w:val="202020"/>
        </w:rPr>
        <w:t>; substitute your connector's prefix (its guide names it). The families: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600"/>
        <w:gridCol w:w="1400"/>
        <w:gridCol w:w="4360"/>
      </w:tblGrid>
      <w:tr>
        <w:tc>
          <w:tcPr>
            <w:tcW w:type="dxa" w:w="3600"/>
            <w:shd w:val="clear" w:color="auto" w:fill="2E5496"/>
          </w:tcPr>
          <w:p>
            <w:r>
              <w:rPr>
                <w:b/>
                <w:color w:val="FFFFFF"/>
                <w:sz w:val="19"/>
              </w:rPr>
              <w:t>Metric (suffix after the connector prefix)</w:t>
            </w:r>
          </w:p>
        </w:tc>
        <w:tc>
          <w:tcPr>
            <w:tcW w:type="dxa" w:w="1400"/>
            <w:shd w:val="clear" w:color="auto" w:fill="2E5496"/>
          </w:tcPr>
          <w:p>
            <w:r>
              <w:rPr>
                <w:b/>
                <w:color w:val="FFFFFF"/>
                <w:sz w:val="19"/>
              </w:rPr>
              <w:t>Type</w:t>
            </w:r>
          </w:p>
        </w:tc>
        <w:tc>
          <w:tcPr>
            <w:tcW w:type="dxa" w:w="4360"/>
            <w:shd w:val="clear" w:color="auto" w:fill="2E5496"/>
          </w:tcPr>
          <w:p>
            <w:r>
              <w:rPr>
                <w:b/>
                <w:color w:val="FFFFFF"/>
                <w:sz w:val="19"/>
              </w:rPr>
              <w:t>What it tells you</w:t>
            </w:r>
          </w:p>
        </w:tc>
      </w:tr>
      <w:tr>
        <w:tc>
          <w:tcPr>
            <w:tcW w:type="dxa" w:w="3600"/>
          </w:tcPr>
          <w:p>
            <w:r>
              <w:rPr>
                <w:color w:val="202020"/>
                <w:sz w:val="19"/>
              </w:rPr>
              <w:t>items_ingested_total</w:t>
            </w:r>
          </w:p>
        </w:tc>
        <w:tc>
          <w:tcPr>
            <w:tcW w:type="dxa" w:w="1400"/>
          </w:tcPr>
          <w:p>
            <w:r>
              <w:rPr>
                <w:color w:val="202020"/>
                <w:sz w:val="19"/>
              </w:rPr>
              <w:t>counter</w:t>
            </w:r>
          </w:p>
        </w:tc>
        <w:tc>
          <w:tcPr>
            <w:tcW w:type="dxa" w:w="4360"/>
          </w:tcPr>
          <w:p>
            <w:r>
              <w:rPr>
                <w:color w:val="202020"/>
                <w:sz w:val="19"/>
              </w:rPr>
              <w:t>Items successfully pushed</w:t>
            </w:r>
          </w:p>
        </w:tc>
      </w:tr>
      <w:tr>
        <w:tc>
          <w:tcPr>
            <w:tcW w:type="dxa" w:w="3600"/>
            <w:shd w:val="clear" w:color="auto" w:fill="F7F9FC"/>
          </w:tcPr>
          <w:p>
            <w:r>
              <w:rPr>
                <w:color w:val="202020"/>
                <w:sz w:val="19"/>
              </w:rPr>
              <w:t>items_failed_total</w:t>
            </w:r>
          </w:p>
        </w:tc>
        <w:tc>
          <w:tcPr>
            <w:tcW w:type="dxa" w:w="1400"/>
            <w:shd w:val="clear" w:color="auto" w:fill="F7F9FC"/>
          </w:tcPr>
          <w:p>
            <w:r>
              <w:rPr>
                <w:color w:val="202020"/>
                <w:sz w:val="19"/>
              </w:rPr>
              <w:t>counter</w:t>
            </w:r>
          </w:p>
        </w:tc>
        <w:tc>
          <w:tcPr>
            <w:tcW w:type="dxa" w:w="4360"/>
            <w:shd w:val="clear" w:color="auto" w:fill="F7F9FC"/>
          </w:tcPr>
          <w:p>
            <w:r>
              <w:rPr>
                <w:color w:val="202020"/>
                <w:sz w:val="19"/>
              </w:rPr>
              <w:t>Items that failed to ingest (feed the dead-letter queue)</w:t>
            </w:r>
          </w:p>
        </w:tc>
      </w:tr>
      <w:tr>
        <w:tc>
          <w:tcPr>
            <w:tcW w:type="dxa" w:w="3600"/>
          </w:tcPr>
          <w:p>
            <w:r>
              <w:rPr>
                <w:color w:val="202020"/>
                <w:sz w:val="19"/>
              </w:rPr>
              <w:t>items_deleted_total</w:t>
            </w:r>
          </w:p>
        </w:tc>
        <w:tc>
          <w:tcPr>
            <w:tcW w:type="dxa" w:w="1400"/>
          </w:tcPr>
          <w:p>
            <w:r>
              <w:rPr>
                <w:color w:val="202020"/>
                <w:sz w:val="19"/>
              </w:rPr>
              <w:t>counter</w:t>
            </w:r>
          </w:p>
        </w:tc>
        <w:tc>
          <w:tcPr>
            <w:tcW w:type="dxa" w:w="4360"/>
          </w:tcPr>
          <w:p>
            <w:r>
              <w:rPr>
                <w:color w:val="202020"/>
                <w:sz w:val="19"/>
              </w:rPr>
              <w:t>Items removed by the deletion sweep</w:t>
            </w:r>
          </w:p>
        </w:tc>
      </w:tr>
      <w:tr>
        <w:tc>
          <w:tcPr>
            <w:tcW w:type="dxa" w:w="3600"/>
            <w:shd w:val="clear" w:color="auto" w:fill="F7F9FC"/>
          </w:tcPr>
          <w:p>
            <w:r>
              <w:rPr>
                <w:color w:val="202020"/>
                <w:sz w:val="19"/>
              </w:rPr>
              <w:t>items_skipped_total</w:t>
            </w:r>
          </w:p>
        </w:tc>
        <w:tc>
          <w:tcPr>
            <w:tcW w:type="dxa" w:w="1400"/>
            <w:shd w:val="clear" w:color="auto" w:fill="F7F9FC"/>
          </w:tcPr>
          <w:p>
            <w:r>
              <w:rPr>
                <w:color w:val="202020"/>
                <w:sz w:val="19"/>
              </w:rPr>
              <w:t>counter</w:t>
            </w:r>
          </w:p>
        </w:tc>
        <w:tc>
          <w:tcPr>
            <w:tcW w:type="dxa" w:w="4360"/>
            <w:shd w:val="clear" w:color="auto" w:fill="F7F9FC"/>
          </w:tcPr>
          <w:p>
            <w:r>
              <w:rPr>
                <w:color w:val="202020"/>
                <w:sz w:val="19"/>
              </w:rPr>
              <w:t>Items skipped (e.g. already checkpointed)</w:t>
            </w:r>
          </w:p>
        </w:tc>
      </w:tr>
      <w:tr>
        <w:tc>
          <w:tcPr>
            <w:tcW w:type="dxa" w:w="3600"/>
          </w:tcPr>
          <w:p>
            <w:r>
              <w:rPr>
                <w:color w:val="202020"/>
                <w:sz w:val="19"/>
              </w:rPr>
              <w:t>crawls_started_total / crawls_completed_total</w:t>
            </w:r>
          </w:p>
        </w:tc>
        <w:tc>
          <w:tcPr>
            <w:tcW w:type="dxa" w:w="1400"/>
          </w:tcPr>
          <w:p>
            <w:r>
              <w:rPr>
                <w:color w:val="202020"/>
                <w:sz w:val="19"/>
              </w:rPr>
              <w:t>counters</w:t>
            </w:r>
          </w:p>
        </w:tc>
        <w:tc>
          <w:tcPr>
            <w:tcW w:type="dxa" w:w="4360"/>
          </w:tcPr>
          <w:p>
            <w:r>
              <w:rPr>
                <w:color w:val="202020"/>
                <w:sz w:val="19"/>
              </w:rPr>
              <w:t>Started vs completed — a persistent gap means a crawl is stuck</w:t>
            </w:r>
          </w:p>
        </w:tc>
      </w:tr>
      <w:tr>
        <w:tc>
          <w:tcPr>
            <w:tcW w:type="dxa" w:w="3600"/>
            <w:shd w:val="clear" w:color="auto" w:fill="F7F9FC"/>
          </w:tcPr>
          <w:p>
            <w:r>
              <w:rPr>
                <w:color w:val="202020"/>
                <w:sz w:val="19"/>
              </w:rPr>
              <w:t>throttled_429_total</w:t>
            </w:r>
          </w:p>
        </w:tc>
        <w:tc>
          <w:tcPr>
            <w:tcW w:type="dxa" w:w="1400"/>
            <w:shd w:val="clear" w:color="auto" w:fill="F7F9FC"/>
          </w:tcPr>
          <w:p>
            <w:r>
              <w:rPr>
                <w:color w:val="202020"/>
                <w:sz w:val="19"/>
              </w:rPr>
              <w:t>counter</w:t>
            </w:r>
          </w:p>
        </w:tc>
        <w:tc>
          <w:tcPr>
            <w:tcW w:type="dxa" w:w="4360"/>
            <w:shd w:val="clear" w:color="auto" w:fill="F7F9FC"/>
          </w:tcPr>
          <w:p>
            <w:r>
              <w:rPr>
                <w:color w:val="202020"/>
                <w:sz w:val="19"/>
              </w:rPr>
              <w:t>429 responses seen — throttling pressure</w:t>
            </w:r>
          </w:p>
        </w:tc>
      </w:tr>
      <w:tr>
        <w:tc>
          <w:tcPr>
            <w:tcW w:type="dxa" w:w="3600"/>
          </w:tcPr>
          <w:p>
            <w:r>
              <w:rPr>
                <w:color w:val="202020"/>
                <w:sz w:val="19"/>
              </w:rPr>
              <w:t>dead_letter_depth</w:t>
            </w:r>
          </w:p>
        </w:tc>
        <w:tc>
          <w:tcPr>
            <w:tcW w:type="dxa" w:w="1400"/>
          </w:tcPr>
          <w:p>
            <w:r>
              <w:rPr>
                <w:color w:val="202020"/>
                <w:sz w:val="19"/>
              </w:rPr>
              <w:t>gauge</w:t>
            </w:r>
          </w:p>
        </w:tc>
        <w:tc>
          <w:tcPr>
            <w:tcW w:type="dxa" w:w="4360"/>
          </w:tcPr>
          <w:p>
            <w:r>
              <w:rPr>
                <w:color w:val="202020"/>
                <w:sz w:val="19"/>
              </w:rPr>
              <w:t>Current dead-letter backlog (should trend to 0)</w:t>
            </w:r>
          </w:p>
        </w:tc>
      </w:tr>
      <w:tr>
        <w:tc>
          <w:tcPr>
            <w:tcW w:type="dxa" w:w="3600"/>
            <w:shd w:val="clear" w:color="auto" w:fill="F7F9FC"/>
          </w:tcPr>
          <w:p>
            <w:r>
              <w:rPr>
                <w:color w:val="202020"/>
                <w:sz w:val="19"/>
              </w:rPr>
              <w:t>adaptive_concurrency_level</w:t>
            </w:r>
          </w:p>
        </w:tc>
        <w:tc>
          <w:tcPr>
            <w:tcW w:type="dxa" w:w="1400"/>
            <w:shd w:val="clear" w:color="auto" w:fill="F7F9FC"/>
          </w:tcPr>
          <w:p>
            <w:r>
              <w:rPr>
                <w:color w:val="202020"/>
                <w:sz w:val="19"/>
              </w:rPr>
              <w:t>gauge</w:t>
            </w:r>
          </w:p>
        </w:tc>
        <w:tc>
          <w:tcPr>
            <w:tcW w:type="dxa" w:w="4360"/>
            <w:shd w:val="clear" w:color="auto" w:fill="F7F9FC"/>
          </w:tcPr>
          <w:p>
            <w:r>
              <w:rPr>
                <w:color w:val="202020"/>
                <w:sz w:val="19"/>
              </w:rPr>
              <w:t>Current worker count (pinned at 1 = sustained throttling)</w:t>
            </w:r>
          </w:p>
        </w:tc>
      </w:tr>
      <w:tr>
        <w:tc>
          <w:tcPr>
            <w:tcW w:type="dxa" w:w="3600"/>
          </w:tcPr>
          <w:p>
            <w:r>
              <w:rPr>
                <w:color w:val="202020"/>
                <w:sz w:val="19"/>
              </w:rPr>
              <w:t>ha_claims_held</w:t>
            </w:r>
          </w:p>
        </w:tc>
        <w:tc>
          <w:tcPr>
            <w:tcW w:type="dxa" w:w="1400"/>
          </w:tcPr>
          <w:p>
            <w:r>
              <w:rPr>
                <w:color w:val="202020"/>
                <w:sz w:val="19"/>
              </w:rPr>
              <w:t>gauge</w:t>
            </w:r>
          </w:p>
        </w:tc>
        <w:tc>
          <w:tcPr>
            <w:tcW w:type="dxa" w:w="4360"/>
          </w:tcPr>
          <w:p>
            <w:r>
              <w:rPr>
                <w:color w:val="202020"/>
                <w:sz w:val="19"/>
              </w:rPr>
              <w:t>Object claims this node holds (HA)</w:t>
            </w:r>
          </w:p>
        </w:tc>
      </w:tr>
      <w:tr>
        <w:tc>
          <w:tcPr>
            <w:tcW w:type="dxa" w:w="3600"/>
            <w:shd w:val="clear" w:color="auto" w:fill="F7F9FC"/>
          </w:tcPr>
          <w:p>
            <w:r>
              <w:rPr>
                <w:color w:val="202020"/>
                <w:sz w:val="19"/>
              </w:rPr>
              <w:t>object_records_fetched / object_records_total</w:t>
            </w:r>
          </w:p>
        </w:tc>
        <w:tc>
          <w:tcPr>
            <w:tcW w:type="dxa" w:w="1400"/>
            <w:shd w:val="clear" w:color="auto" w:fill="F7F9FC"/>
          </w:tcPr>
          <w:p>
            <w:r>
              <w:rPr>
                <w:color w:val="202020"/>
                <w:sz w:val="19"/>
              </w:rPr>
              <w:t>gauges</w:t>
            </w:r>
          </w:p>
        </w:tc>
        <w:tc>
          <w:tcPr>
            <w:tcW w:type="dxa" w:w="4360"/>
            <w:shd w:val="clear" w:color="auto" w:fill="F7F9FC"/>
          </w:tcPr>
          <w:p>
            <w:r>
              <w:rPr>
                <w:color w:val="202020"/>
                <w:sz w:val="19"/>
              </w:rPr>
              <w:t>Per-object progress vs source count</w:t>
            </w:r>
          </w:p>
        </w:tc>
      </w:tr>
      <w:tr>
        <w:tc>
          <w:tcPr>
            <w:tcW w:type="dxa" w:w="3600"/>
          </w:tcPr>
          <w:p>
            <w:r>
              <w:rPr>
                <w:color w:val="202020"/>
                <w:sz w:val="19"/>
              </w:rPr>
              <w:t>last_crawl_completed_timestamp_seconds</w:t>
            </w:r>
          </w:p>
        </w:tc>
        <w:tc>
          <w:tcPr>
            <w:tcW w:type="dxa" w:w="1400"/>
          </w:tcPr>
          <w:p>
            <w:r>
              <w:rPr>
                <w:color w:val="202020"/>
                <w:sz w:val="19"/>
              </w:rPr>
              <w:t>gauge</w:t>
            </w:r>
          </w:p>
        </w:tc>
        <w:tc>
          <w:tcPr>
            <w:tcW w:type="dxa" w:w="4360"/>
          </w:tcPr>
          <w:p>
            <w:r>
              <w:rPr>
                <w:color w:val="202020"/>
                <w:sz w:val="19"/>
              </w:rPr>
              <w:t>When the last crawl finished (staleness alarm)</w:t>
            </w:r>
          </w:p>
        </w:tc>
      </w:tr>
      <w:tr>
        <w:tc>
          <w:tcPr>
            <w:tcW w:type="dxa" w:w="3600"/>
            <w:shd w:val="clear" w:color="auto" w:fill="F7F9FC"/>
          </w:tcPr>
          <w:p>
            <w:r>
              <w:rPr>
                <w:color w:val="202020"/>
                <w:sz w:val="19"/>
              </w:rPr>
              <w:t>uptime_seconds</w:t>
            </w:r>
          </w:p>
        </w:tc>
        <w:tc>
          <w:tcPr>
            <w:tcW w:type="dxa" w:w="1400"/>
            <w:shd w:val="clear" w:color="auto" w:fill="F7F9FC"/>
          </w:tcPr>
          <w:p>
            <w:r>
              <w:rPr>
                <w:color w:val="202020"/>
                <w:sz w:val="19"/>
              </w:rPr>
              <w:t>gauge</w:t>
            </w:r>
          </w:p>
        </w:tc>
        <w:tc>
          <w:tcPr>
            <w:tcW w:type="dxa" w:w="4360"/>
            <w:shd w:val="clear" w:color="auto" w:fill="F7F9FC"/>
          </w:tcPr>
          <w:p>
            <w:r>
              <w:rPr>
                <w:color w:val="202020"/>
                <w:sz w:val="19"/>
              </w:rPr>
              <w:t>Seconds since process start (resets = restarts)</w:t>
            </w:r>
          </w:p>
        </w:tc>
      </w:tr>
    </w:tbl>
    <w:p>
      <w:pPr>
        <w:spacing w:after="40"/>
      </w:pPr>
    </w:p>
    <w:p>
      <w:pPr>
        <w:pStyle w:val="Heading2"/>
      </w:pPr>
      <w:r>
        <w:rPr>
          <w:color w:val="2E5496"/>
        </w:rPr>
        <w:t>10.3 Dashboards and alert rules (the ops/ folder)</w:t>
      </w:r>
    </w:p>
    <w:p>
      <w:pPr>
        <w:spacing w:after="120"/>
      </w:pPr>
      <w:r>
        <w:rPr>
          <w:color w:val="202020"/>
        </w:rPr>
        <w:t xml:space="preserve">Each connector ships an </w:t>
      </w:r>
      <w:r>
        <w:rPr>
          <w:rFonts w:ascii="Consolas" w:hAnsi="Consolas"/>
          <w:color w:val="202020"/>
          <w:sz w:val="19"/>
        </w:rPr>
        <w:t>ops/</w:t>
      </w:r>
      <w:r>
        <w:rPr>
          <w:color w:val="202020"/>
        </w:rPr>
        <w:t xml:space="preserve"> folder with ready-made monitoring assets:</w:t>
      </w:r>
    </w:p>
    <w:p>
      <w:pPr>
        <w:pStyle w:val="ListBullet"/>
        <w:spacing w:after="40"/>
      </w:pPr>
      <w:r>
        <w:rPr>
          <w:b/>
          <w:color w:val="202020"/>
        </w:rPr>
        <w:t>Grafana dashboard</w:t>
      </w:r>
      <w:r>
        <w:rPr>
          <w:color w:val="202020"/>
        </w:rPr>
        <w:t xml:space="preserve"> (</w:t>
      </w:r>
      <w:r>
        <w:rPr>
          <w:rFonts w:ascii="Consolas" w:hAnsi="Consolas"/>
          <w:color w:val="202020"/>
          <w:sz w:val="19"/>
        </w:rPr>
        <w:t>ops/grafana-dashboard.json</w:t>
      </w:r>
      <w:r>
        <w:rPr>
          <w:color w:val="202020"/>
        </w:rPr>
        <w:t>) — a dozen panels: crawl throughput, dead-letter depth, 429 rate, adaptive concurrency, HA claims held, last-crawl-completed, per-object progress, crawls started vs completed, and node uptime (restart detection). Import it and point it at your Prometheus.</w:t>
      </w:r>
    </w:p>
    <w:p>
      <w:pPr>
        <w:pStyle w:val="ListBullet"/>
        <w:spacing w:after="40"/>
      </w:pPr>
      <w:r>
        <w:rPr>
          <w:b/>
          <w:color w:val="202020"/>
        </w:rPr>
        <w:t>Prometheus alert rules</w:t>
      </w:r>
      <w:r>
        <w:rPr>
          <w:color w:val="202020"/>
        </w:rPr>
        <w:t xml:space="preserve"> (</w:t>
      </w:r>
      <w:r>
        <w:rPr>
          <w:rFonts w:ascii="Consolas" w:hAnsi="Consolas"/>
          <w:color w:val="202020"/>
          <w:sz w:val="19"/>
        </w:rPr>
        <w:t>ops/prometheus-alerts.yml</w:t>
      </w:r>
      <w:r>
        <w:rPr>
          <w:color w:val="202020"/>
        </w:rPr>
        <w:t>) — the metric-based alerts, each naming its runbook: connector down, restart loop, crawl stalled / never completed, stuck lease, 429 storm, adaptive concurrency pinned, dead-letter depth high / not draining, and high failure ratio.</w:t>
      </w:r>
    </w:p>
    <w:p>
      <w:pPr>
        <w:pStyle w:val="ListBullet"/>
        <w:spacing w:after="40"/>
      </w:pPr>
      <w:r>
        <w:rPr>
          <w:b/>
          <w:color w:val="202020"/>
        </w:rPr>
        <w:t>Azure Monitor / Sentinel rules</w:t>
      </w:r>
      <w:r>
        <w:rPr>
          <w:color w:val="202020"/>
        </w:rPr>
        <w:t xml:space="preserve"> (</w:t>
      </w:r>
      <w:r>
        <w:rPr>
          <w:rFonts w:ascii="Consolas" w:hAnsi="Consolas"/>
          <w:color w:val="202020"/>
          <w:sz w:val="19"/>
        </w:rPr>
        <w:t>ops/azure-monitor-alerts.kql</w:t>
      </w:r>
      <w:r>
        <w:rPr>
          <w:color w:val="202020"/>
        </w:rPr>
        <w:t>) — the log-based failure modes that have no metric: auth failures, deletion-sweep guard trips, dead-letter write failures, crashes and corrupt state.</w:t>
      </w:r>
    </w:p>
    <w:p>
      <w:pPr>
        <w:pStyle w:val="Heading2"/>
      </w:pPr>
      <w:r>
        <w:rPr>
          <w:color w:val="2E5496"/>
        </w:rPr>
        <w:t>10.4 Logs, Event Log and SIEM</w:t>
      </w:r>
    </w:p>
    <w:p>
      <w:pPr>
        <w:spacing w:after="120"/>
      </w:pPr>
      <w:r>
        <w:rPr>
          <w:color w:val="202020"/>
        </w:rPr>
        <w:t>Three telemetry feeds, use any combination (full detail in each connector's SIEM guide):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000"/>
        <w:gridCol w:w="2560"/>
        <w:gridCol w:w="4800"/>
      </w:tblGrid>
      <w:tr>
        <w:tc>
          <w:tcPr>
            <w:tcW w:type="dxa" w:w="2000"/>
            <w:shd w:val="clear" w:color="auto" w:fill="2E5496"/>
          </w:tcPr>
          <w:p>
            <w:r>
              <w:rPr>
                <w:b/>
                <w:color w:val="FFFFFF"/>
                <w:sz w:val="19"/>
              </w:rPr>
              <w:t>Feed</w:t>
            </w:r>
          </w:p>
        </w:tc>
        <w:tc>
          <w:tcPr>
            <w:tcW w:type="dxa" w:w="2560"/>
            <w:shd w:val="clear" w:color="auto" w:fill="2E5496"/>
          </w:tcPr>
          <w:p>
            <w:r>
              <w:rPr>
                <w:b/>
                <w:color w:val="FFFFFF"/>
                <w:sz w:val="19"/>
              </w:rPr>
              <w:t>Switch</w:t>
            </w:r>
          </w:p>
        </w:tc>
        <w:tc>
          <w:tcPr>
            <w:tcW w:type="dxa" w:w="4800"/>
            <w:shd w:val="clear" w:color="auto" w:fill="2E5496"/>
          </w:tcPr>
          <w:p>
            <w:r>
              <w:rPr>
                <w:b/>
                <w:color w:val="FFFFFF"/>
                <w:sz w:val="19"/>
              </w:rPr>
              <w:t>Best for</w:t>
            </w:r>
          </w:p>
        </w:tc>
      </w:tr>
      <w:tr>
        <w:tc>
          <w:tcPr>
            <w:tcW w:type="dxa" w:w="2000"/>
          </w:tcPr>
          <w:p>
            <w:r>
              <w:rPr>
                <w:color w:val="202020"/>
                <w:sz w:val="19"/>
              </w:rPr>
              <w:t>Windows Event Log</w:t>
            </w:r>
          </w:p>
        </w:tc>
        <w:tc>
          <w:tcPr>
            <w:tcW w:type="dxa" w:w="2560"/>
          </w:tcPr>
          <w:p>
            <w:r>
              <w:rPr>
                <w:color w:val="202020"/>
                <w:sz w:val="19"/>
              </w:rPr>
              <w:t>EVENTLOG_ENABLED=true</w:t>
            </w:r>
          </w:p>
        </w:tc>
        <w:tc>
          <w:tcPr>
            <w:tcW w:type="dxa" w:w="4800"/>
          </w:tcPr>
          <w:p>
            <w:r>
              <w:rPr>
                <w:color w:val="202020"/>
                <w:sz w:val="19"/>
              </w:rPr>
              <w:t>Agent-based Windows fleets; WARNING+/lifecycle only. Source = the connector name; stable ids 1000 (info/lifecycle), 2000 (warning), 3000 (error)</w:t>
            </w:r>
          </w:p>
        </w:tc>
      </w:tr>
      <w:tr>
        <w:tc>
          <w:tcPr>
            <w:tcW w:type="dxa" w:w="2000"/>
            <w:shd w:val="clear" w:color="auto" w:fill="F7F9FC"/>
          </w:tcPr>
          <w:p>
            <w:r>
              <w:rPr>
                <w:color w:val="202020"/>
                <w:sz w:val="19"/>
              </w:rPr>
              <w:t>JSON log files</w:t>
            </w:r>
          </w:p>
        </w:tc>
        <w:tc>
          <w:tcPr>
            <w:tcW w:type="dxa" w:w="2560"/>
            <w:shd w:val="clear" w:color="auto" w:fill="F7F9FC"/>
          </w:tcPr>
          <w:p>
            <w:r>
              <w:rPr>
                <w:color w:val="202020"/>
                <w:sz w:val="19"/>
              </w:rPr>
              <w:t>LOG_FORMAT=json</w:t>
            </w:r>
          </w:p>
        </w:tc>
        <w:tc>
          <w:tcPr>
            <w:tcW w:type="dxa" w:w="4800"/>
            <w:shd w:val="clear" w:color="auto" w:fill="F7F9FC"/>
          </w:tcPr>
          <w:p>
            <w:r>
              <w:rPr>
                <w:color w:val="202020"/>
                <w:sz w:val="19"/>
              </w:rPr>
              <w:t>File-tail collectors (Sentinel AMA, Splunk UF); one JSON object per line, all levels. Index level/logger/timestamp; keep message searchable</w:t>
            </w:r>
          </w:p>
        </w:tc>
      </w:tr>
      <w:tr>
        <w:tc>
          <w:tcPr>
            <w:tcW w:type="dxa" w:w="2000"/>
          </w:tcPr>
          <w:p>
            <w:r>
              <w:rPr>
                <w:color w:val="202020"/>
                <w:sz w:val="19"/>
              </w:rPr>
              <w:t>Webhook alerts</w:t>
            </w:r>
          </w:p>
        </w:tc>
        <w:tc>
          <w:tcPr>
            <w:tcW w:type="dxa" w:w="2560"/>
          </w:tcPr>
          <w:p>
            <w:r>
              <w:rPr>
                <w:color w:val="202020"/>
                <w:sz w:val="19"/>
              </w:rPr>
              <w:t>ALERT_WEBHOOK_URL</w:t>
            </w:r>
          </w:p>
        </w:tc>
        <w:tc>
          <w:tcPr>
            <w:tcW w:type="dxa" w:w="4800"/>
          </w:tcPr>
          <w:p>
            <w:r>
              <w:rPr>
                <w:color w:val="202020"/>
                <w:sz w:val="19"/>
              </w:rPr>
              <w:t>Pre-digested alerts (kinds crawl_failed, dead_letter, deletion_sweep_skipped) into a Logic App / endpoint</w:t>
            </w:r>
          </w:p>
        </w:tc>
      </w:tr>
    </w:tbl>
    <w:p>
      <w:pPr>
        <w:spacing w:after="40"/>
      </w:pPr>
    </w:p>
    <w:p>
      <w:pPr>
        <w:spacing w:after="120"/>
      </w:pPr>
      <w:r>
        <w:rPr>
          <w:color w:val="202020"/>
        </w:rPr>
        <w:t xml:space="preserve">Run logs live under </w:t>
      </w:r>
      <w:r>
        <w:rPr>
          <w:rFonts w:ascii="Consolas" w:hAnsi="Consolas"/>
          <w:color w:val="202020"/>
          <w:sz w:val="19"/>
        </w:rPr>
        <w:t>logs\{prefix}_{timestamp}\</w:t>
      </w:r>
      <w:r>
        <w:rPr>
          <w:color w:val="202020"/>
        </w:rPr>
        <w:t xml:space="preserve"> on each node (local even in SQL mode). Prometheus metrics are for dashboards/alerting — do not ship metric scrapes into the SIEM.</w:t>
      </w:r>
    </w:p>
    <w:p>
      <w:pPr>
        <w:pStyle w:val="Heading2"/>
      </w:pPr>
      <w:r>
        <w:rPr>
          <w:color w:val="2E5496"/>
        </w:rPr>
        <w:t>10.5 Tracing</w:t>
      </w:r>
    </w:p>
    <w:p>
      <w:pPr>
        <w:spacing w:after="120"/>
      </w:pPr>
      <w:r>
        <w:rPr>
          <w:color w:val="202020"/>
        </w:rPr>
        <w:t xml:space="preserve">Set </w:t>
      </w:r>
      <w:r>
        <w:rPr>
          <w:rFonts w:ascii="Consolas" w:hAnsi="Consolas"/>
          <w:color w:val="202020"/>
          <w:sz w:val="19"/>
        </w:rPr>
        <w:t>OTEL_EXPORTER_OTLP_ENDPOINT</w:t>
      </w:r>
      <w:r>
        <w:rPr>
          <w:color w:val="202020"/>
        </w:rPr>
        <w:t xml:space="preserve"> (with optional </w:t>
      </w:r>
      <w:r>
        <w:rPr>
          <w:rFonts w:ascii="Consolas" w:hAnsi="Consolas"/>
          <w:color w:val="202020"/>
          <w:sz w:val="19"/>
        </w:rPr>
        <w:t>OTEL_EXPORTER_OTLP_PROTOCOL</w:t>
      </w:r>
      <w:r>
        <w:rPr>
          <w:color w:val="202020"/>
        </w:rPr>
        <w:t xml:space="preserve"> and </w:t>
      </w:r>
      <w:r>
        <w:rPr>
          <w:rFonts w:ascii="Consolas" w:hAnsi="Consolas"/>
          <w:color w:val="202020"/>
          <w:sz w:val="19"/>
        </w:rPr>
        <w:t>OTEL_SERVICE_NAME</w:t>
      </w:r>
      <w:r>
        <w:rPr>
          <w:color w:val="202020"/>
        </w:rPr>
        <w:t>) to export OpenTelemetry spans for each crawl cycle and its stages, with a correlation id linking every log line, dead-letter record and span from one run. Export is batched and fire-and-forget, so an unreachable collector never stalls a crawl.</w:t>
      </w:r>
    </w:p>
    <w:p>
      <w:pPr>
        <w:pStyle w:val="Heading2"/>
      </w:pPr>
      <w:r>
        <w:rPr>
          <w:color w:val="2E5496"/>
        </w:rPr>
        <w:t>10.6 What good looks like</w:t>
      </w:r>
    </w:p>
    <w:p>
      <w:pPr>
        <w:pStyle w:val="ListBullet"/>
        <w:spacing w:after="40"/>
      </w:pPr>
      <w:r>
        <w:rPr>
          <w:rFonts w:ascii="Consolas" w:hAnsi="Consolas"/>
          <w:color w:val="202020"/>
          <w:sz w:val="19"/>
        </w:rPr>
        <w:t>/health</w:t>
      </w:r>
      <w:r>
        <w:rPr>
          <w:color w:val="202020"/>
        </w:rPr>
        <w:t xml:space="preserve"> and </w:t>
      </w:r>
      <w:r>
        <w:rPr>
          <w:rFonts w:ascii="Consolas" w:hAnsi="Consolas"/>
          <w:color w:val="202020"/>
          <w:sz w:val="19"/>
        </w:rPr>
        <w:t>/ready</w:t>
      </w:r>
      <w:r>
        <w:rPr>
          <w:color w:val="202020"/>
        </w:rPr>
        <w:t xml:space="preserve"> return 200; </w:t>
      </w:r>
      <w:r>
        <w:rPr>
          <w:rFonts w:ascii="Consolas" w:hAnsi="Consolas"/>
          <w:color w:val="202020"/>
          <w:sz w:val="19"/>
        </w:rPr>
        <w:t>uptime_seconds</w:t>
      </w:r>
      <w:r>
        <w:rPr>
          <w:color w:val="202020"/>
        </w:rPr>
        <w:t xml:space="preserve"> climbs steadily (no unexpected resets).</w:t>
      </w:r>
    </w:p>
    <w:p>
      <w:pPr>
        <w:pStyle w:val="ListBullet"/>
        <w:spacing w:after="40"/>
      </w:pPr>
      <w:r>
        <w:rPr>
          <w:rFonts w:ascii="Consolas" w:hAnsi="Consolas"/>
          <w:color w:val="202020"/>
          <w:sz w:val="19"/>
        </w:rPr>
        <w:t>crawls_completed_total</w:t>
      </w:r>
      <w:r>
        <w:rPr>
          <w:color w:val="202020"/>
        </w:rPr>
        <w:t xml:space="preserve"> advances on schedule and </w:t>
      </w:r>
      <w:r>
        <w:rPr>
          <w:rFonts w:ascii="Consolas" w:hAnsi="Consolas"/>
          <w:color w:val="202020"/>
          <w:sz w:val="19"/>
        </w:rPr>
        <w:t>last_crawl_completed_timestamp_seconds</w:t>
      </w:r>
      <w:r>
        <w:rPr>
          <w:color w:val="202020"/>
        </w:rPr>
        <w:t xml:space="preserve"> stays fresh (within one schedule interval plus a crawl window).</w:t>
      </w:r>
    </w:p>
    <w:p>
      <w:pPr>
        <w:pStyle w:val="ListBullet"/>
        <w:spacing w:after="40"/>
      </w:pPr>
      <w:r>
        <w:rPr>
          <w:rFonts w:ascii="Consolas" w:hAnsi="Consolas"/>
          <w:color w:val="202020"/>
          <w:sz w:val="19"/>
        </w:rPr>
        <w:t>dead_letter_depth</w:t>
      </w:r>
      <w:r>
        <w:rPr>
          <w:color w:val="202020"/>
        </w:rPr>
        <w:t xml:space="preserve"> is 0 or trending to 0; </w:t>
      </w:r>
      <w:r>
        <w:rPr>
          <w:rFonts w:ascii="Consolas" w:hAnsi="Consolas"/>
          <w:color w:val="202020"/>
          <w:sz w:val="19"/>
        </w:rPr>
        <w:t>items_failed_total</w:t>
      </w:r>
      <w:r>
        <w:rPr>
          <w:color w:val="202020"/>
        </w:rPr>
        <w:t xml:space="preserve"> is a tiny fraction of </w:t>
      </w:r>
      <w:r>
        <w:rPr>
          <w:rFonts w:ascii="Consolas" w:hAnsi="Consolas"/>
          <w:color w:val="202020"/>
          <w:sz w:val="19"/>
        </w:rPr>
        <w:t>items_ingested_total</w:t>
      </w:r>
      <w:r>
        <w:rPr>
          <w:color w:val="202020"/>
        </w:rPr>
        <w:t>.</w:t>
      </w:r>
    </w:p>
    <w:p>
      <w:pPr>
        <w:pStyle w:val="ListBullet"/>
        <w:spacing w:after="40"/>
      </w:pPr>
      <w:r>
        <w:rPr>
          <w:rFonts w:ascii="Consolas" w:hAnsi="Consolas"/>
          <w:color w:val="202020"/>
          <w:sz w:val="19"/>
        </w:rPr>
        <w:t>throttled_429_total</w:t>
      </w:r>
      <w:r>
        <w:rPr>
          <w:color w:val="202020"/>
        </w:rPr>
        <w:t xml:space="preserve"> may tick during full crawls (normal) but is not a sustained storm; </w:t>
      </w:r>
      <w:r>
        <w:rPr>
          <w:rFonts w:ascii="Consolas" w:hAnsi="Consolas"/>
          <w:color w:val="202020"/>
          <w:sz w:val="19"/>
        </w:rPr>
        <w:t>adaptive_concurrency_level</w:t>
      </w:r>
      <w:r>
        <w:rPr>
          <w:color w:val="202020"/>
        </w:rPr>
        <w:t xml:space="preserve"> is not pinned at 1 while work is flowing.</w:t>
      </w:r>
    </w:p>
    <w:p>
      <w:pPr>
        <w:pStyle w:val="ListBullet"/>
        <w:spacing w:after="40"/>
      </w:pPr>
      <w:r>
        <w:rPr>
          <w:color w:val="202020"/>
        </w:rPr>
        <w:t xml:space="preserve">In HA, exactly one crawl is open at a time and </w:t>
      </w:r>
      <w:r>
        <w:rPr>
          <w:rFonts w:ascii="Consolas" w:hAnsi="Consolas"/>
          <w:color w:val="202020"/>
          <w:sz w:val="19"/>
        </w:rPr>
        <w:t>ha_claims_held</w:t>
      </w:r>
      <w:r>
        <w:rPr>
          <w:color w:val="202020"/>
        </w:rPr>
        <w:t xml:space="preserve"> is shared across nodes.</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Request from your </w:t>
            </w:r>
            <w:r>
              <w:rPr>
                <w:b/>
                <w:color w:val="202020"/>
                <w:sz w:val="20"/>
              </w:rPr>
              <w:t>monitoring team</w:t>
            </w:r>
            <w:r>
              <w:rPr>
                <w:color w:val="202020"/>
                <w:sz w:val="20"/>
              </w:rPr>
              <w:t xml:space="preserve"> where to send metrics and logs: the </w:t>
            </w:r>
            <w:r>
              <w:rPr>
                <w:b/>
                <w:color w:val="202020"/>
                <w:sz w:val="20"/>
              </w:rPr>
              <w:t>Prometheus scrape configuration</w:t>
            </w:r>
            <w:r>
              <w:rPr>
                <w:color w:val="202020"/>
                <w:sz w:val="20"/>
              </w:rPr>
              <w:t xml:space="preserve"> (or Azure Monitor workspace) and the </w:t>
            </w:r>
            <w:r>
              <w:rPr>
                <w:b/>
                <w:color w:val="202020"/>
                <w:sz w:val="20"/>
              </w:rPr>
              <w:t>SIEM ingestion path</w:t>
            </w:r>
            <w:r>
              <w:rPr>
                <w:color w:val="202020"/>
                <w:sz w:val="20"/>
              </w:rPr>
              <w:t xml:space="preserve"> (Sentinel table / Splunk index), plus the </w:t>
            </w:r>
            <w:r>
              <w:rPr>
                <w:b/>
                <w:color w:val="202020"/>
                <w:sz w:val="20"/>
              </w:rPr>
              <w:t>on-call routing</w:t>
            </w:r>
            <w:r>
              <w:rPr>
                <w:color w:val="202020"/>
                <w:sz w:val="20"/>
              </w:rPr>
              <w:t xml:space="preserve"> for page-level alerts. Agree the </w:t>
            </w:r>
            <w:r>
              <w:rPr>
                <w:b/>
                <w:color w:val="202020"/>
                <w:sz w:val="20"/>
              </w:rPr>
              <w:t>HEALTH_PORT</w:t>
            </w:r>
            <w:r>
              <w:rPr>
                <w:color w:val="202020"/>
                <w:sz w:val="20"/>
              </w:rPr>
              <w:t xml:space="preserve"> and confirm the </w:t>
            </w:r>
            <w:r>
              <w:rPr>
                <w:b/>
                <w:color w:val="202020"/>
                <w:sz w:val="20"/>
              </w:rPr>
              <w:t>firewall</w:t>
            </w:r>
            <w:r>
              <w:rPr>
                <w:color w:val="202020"/>
                <w:sz w:val="20"/>
              </w:rPr>
              <w:t xml:space="preserve"> allows the monitoring subnet to reach it.</w:t>
            </w:r>
          </w:p>
        </w:tc>
      </w:tr>
    </w:tbl>
    <w:p>
      <w:pPr>
        <w:spacing w:after="40"/>
      </w:pPr>
    </w:p>
    <w:p>
      <w:r>
        <w:br w:type="page"/>
      </w:r>
    </w:p>
    <w:p>
      <w:pPr>
        <w:pStyle w:val="Heading1"/>
      </w:pPr>
      <w:r>
        <w:rPr>
          <w:color w:val="1F3864"/>
        </w:rPr>
        <w:t>11. Operations, support and disaster recovery</w:t>
      </w:r>
    </w:p>
    <w:p>
      <w:pPr>
        <w:spacing w:after="200"/>
      </w:pPr>
      <w:r>
        <w:rPr>
          <w:color w:val="595959"/>
          <w:sz w:val="23"/>
        </w:rPr>
        <w:t>The day-to-day of keeping a connector running, and what to do when something breaks. The reassuring headline: the connector's state is a cache of work already done, so most failures cost re-crawl time, not data.</w:t>
      </w:r>
    </w:p>
    <w:p>
      <w:pPr>
        <w:pStyle w:val="Heading2"/>
      </w:pPr>
      <w:r>
        <w:rPr>
          <w:color w:val="2E5496"/>
        </w:rPr>
        <w:t>11.1 Routine tasks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300"/>
        <w:gridCol w:w="4560"/>
        <w:gridCol w:w="2500"/>
      </w:tblGrid>
      <w:tr>
        <w:tc>
          <w:tcPr>
            <w:tcW w:type="dxa" w:w="2300"/>
            <w:shd w:val="clear" w:color="auto" w:fill="2E5496"/>
          </w:tcPr>
          <w:p>
            <w:r>
              <w:rPr>
                <w:b/>
                <w:color w:val="FFFFFF"/>
                <w:sz w:val="19"/>
              </w:rPr>
              <w:t>Task</w:t>
            </w:r>
          </w:p>
        </w:tc>
        <w:tc>
          <w:tcPr>
            <w:tcW w:type="dxa" w:w="4560"/>
            <w:shd w:val="clear" w:color="auto" w:fill="2E5496"/>
          </w:tcPr>
          <w:p>
            <w:r>
              <w:rPr>
                <w:b/>
                <w:color w:val="FFFFFF"/>
                <w:sz w:val="19"/>
              </w:rPr>
              <w:t>How</w:t>
            </w:r>
          </w:p>
        </w:tc>
        <w:tc>
          <w:tcPr>
            <w:tcW w:type="dxa" w:w="2500"/>
            <w:shd w:val="clear" w:color="auto" w:fill="2E5496"/>
          </w:tcPr>
          <w:p>
            <w:r>
              <w:rPr>
                <w:b/>
                <w:color w:val="FFFFFF"/>
                <w:sz w:val="19"/>
              </w:rPr>
              <w:t>Cadence</w:t>
            </w:r>
          </w:p>
        </w:tc>
      </w:tr>
      <w:tr>
        <w:tc>
          <w:tcPr>
            <w:tcW w:type="dxa" w:w="2300"/>
          </w:tcPr>
          <w:p>
            <w:r>
              <w:rPr>
                <w:color w:val="202020"/>
                <w:sz w:val="19"/>
              </w:rPr>
              <w:t>Let incrementals run</w:t>
            </w:r>
          </w:p>
        </w:tc>
        <w:tc>
          <w:tcPr>
            <w:tcW w:type="dxa" w:w="4560"/>
          </w:tcPr>
          <w:p>
            <w:r>
              <w:rPr>
                <w:color w:val="202020"/>
                <w:sz w:val="19"/>
              </w:rPr>
              <w:t>The service runs ingest --continuous; incrementals every ~4h, full per the stagger plan</w:t>
            </w:r>
          </w:p>
        </w:tc>
        <w:tc>
          <w:tcPr>
            <w:tcW w:type="dxa" w:w="2500"/>
          </w:tcPr>
          <w:p>
            <w:r>
              <w:rPr>
                <w:color w:val="202020"/>
                <w:sz w:val="19"/>
              </w:rPr>
              <w:t>Automatic</w:t>
            </w:r>
          </w:p>
        </w:tc>
      </w:tr>
      <w:tr>
        <w:tc>
          <w:tcPr>
            <w:tcW w:type="dxa" w:w="2300"/>
            <w:shd w:val="clear" w:color="auto" w:fill="F7F9FC"/>
          </w:tcPr>
          <w:p>
            <w:r>
              <w:rPr>
                <w:color w:val="202020"/>
                <w:sz w:val="19"/>
              </w:rPr>
              <w:t>Drain the dead-letter queue</w:t>
            </w:r>
          </w:p>
        </w:tc>
        <w:tc>
          <w:tcPr>
            <w:tcW w:type="dxa" w:w="4560"/>
            <w:shd w:val="clear" w:color="auto" w:fill="F7F9FC"/>
          </w:tcPr>
          <w:p>
            <w:r>
              <w:rPr>
                <w:color w:val="202020"/>
                <w:sz w:val="19"/>
              </w:rPr>
              <w:t>retry-failed --clear-on-success after fixing the cause</w:t>
            </w:r>
          </w:p>
        </w:tc>
        <w:tc>
          <w:tcPr>
            <w:tcW w:type="dxa" w:w="2500"/>
            <w:shd w:val="clear" w:color="auto" w:fill="F7F9FC"/>
          </w:tcPr>
          <w:p>
            <w:r>
              <w:rPr>
                <w:color w:val="202020"/>
                <w:sz w:val="19"/>
              </w:rPr>
              <w:t>When dead_letter_depth is non-zero</w:t>
            </w:r>
          </w:p>
        </w:tc>
      </w:tr>
      <w:tr>
        <w:tc>
          <w:tcPr>
            <w:tcW w:type="dxa" w:w="2300"/>
          </w:tcPr>
          <w:p>
            <w:r>
              <w:rPr>
                <w:color w:val="202020"/>
                <w:sz w:val="19"/>
              </w:rPr>
              <w:t>Assurance / drift check</w:t>
            </w:r>
          </w:p>
        </w:tc>
        <w:tc>
          <w:tcPr>
            <w:tcW w:type="dxa" w:w="4560"/>
          </w:tcPr>
          <w:p>
            <w:r>
              <w:rPr>
                <w:color w:val="202020"/>
                <w:sz w:val="19"/>
              </w:rPr>
              <w:t>reconcile (report), reconcile --fix (repair index-vs-source drift)</w:t>
            </w:r>
          </w:p>
        </w:tc>
        <w:tc>
          <w:tcPr>
            <w:tcW w:type="dxa" w:w="2500"/>
          </w:tcPr>
          <w:p>
            <w:r>
              <w:rPr>
                <w:color w:val="202020"/>
                <w:sz w:val="19"/>
              </w:rPr>
              <w:t>Periodically and after any restore</w:t>
            </w:r>
          </w:p>
        </w:tc>
      </w:tr>
      <w:tr>
        <w:tc>
          <w:tcPr>
            <w:tcW w:type="dxa" w:w="2300"/>
            <w:shd w:val="clear" w:color="auto" w:fill="F7F9FC"/>
          </w:tcPr>
          <w:p>
            <w:r>
              <w:rPr>
                <w:color w:val="202020"/>
                <w:sz w:val="19"/>
              </w:rPr>
              <w:t>Prune old logs/history</w:t>
            </w:r>
          </w:p>
        </w:tc>
        <w:tc>
          <w:tcPr>
            <w:tcW w:type="dxa" w:w="4560"/>
            <w:shd w:val="clear" w:color="auto" w:fill="F7F9FC"/>
          </w:tcPr>
          <w:p>
            <w:r>
              <w:rPr>
                <w:color w:val="202020"/>
                <w:sz w:val="19"/>
              </w:rPr>
              <w:t>LOG_RETENTION_DAYS=N (prunes run dirs and, on SQL, history)</w:t>
            </w:r>
          </w:p>
        </w:tc>
        <w:tc>
          <w:tcPr>
            <w:tcW w:type="dxa" w:w="2500"/>
            <w:shd w:val="clear" w:color="auto" w:fill="F7F9FC"/>
          </w:tcPr>
          <w:p>
            <w:r>
              <w:rPr>
                <w:color w:val="202020"/>
                <w:sz w:val="19"/>
              </w:rPr>
              <w:t>Set once</w:t>
            </w:r>
          </w:p>
        </w:tc>
      </w:tr>
      <w:tr>
        <w:tc>
          <w:tcPr>
            <w:tcW w:type="dxa" w:w="2300"/>
          </w:tcPr>
          <w:p>
            <w:r>
              <w:rPr>
                <w:color w:val="202020"/>
                <w:sz w:val="19"/>
              </w:rPr>
              <w:t>Rotate credentials</w:t>
            </w:r>
          </w:p>
        </w:tc>
        <w:tc>
          <w:tcPr>
            <w:tcW w:type="dxa" w:w="4560"/>
          </w:tcPr>
          <w:p>
            <w:r>
              <w:rPr>
                <w:color w:val="202020"/>
                <w:sz w:val="19"/>
              </w:rPr>
              <w:t>Zero-downtime add/point/restart/retire (section 7.8)</w:t>
            </w:r>
          </w:p>
        </w:tc>
        <w:tc>
          <w:tcPr>
            <w:tcW w:type="dxa" w:w="2500"/>
          </w:tcPr>
          <w:p>
            <w:r>
              <w:rPr>
                <w:color w:val="202020"/>
                <w:sz w:val="19"/>
              </w:rPr>
              <w:t>Before expiry; on staff departure or compromise</w:t>
            </w:r>
          </w:p>
        </w:tc>
      </w:tr>
      <w:tr>
        <w:tc>
          <w:tcPr>
            <w:tcW w:type="dxa" w:w="2300"/>
            <w:shd w:val="clear" w:color="auto" w:fill="F7F9FC"/>
          </w:tcPr>
          <w:p>
            <w:r>
              <w:rPr>
                <w:color w:val="202020"/>
                <w:sz w:val="19"/>
              </w:rPr>
              <w:t>Validate after any change</w:t>
            </w:r>
          </w:p>
        </w:tc>
        <w:tc>
          <w:tcPr>
            <w:tcW w:type="dxa" w:w="4560"/>
            <w:shd w:val="clear" w:color="auto" w:fill="F7F9FC"/>
          </w:tcPr>
          <w:p>
            <w:r>
              <w:rPr>
                <w:color w:val="202020"/>
                <w:sz w:val="19"/>
              </w:rPr>
              <w:t>validate-config --strict (exit 0)</w:t>
            </w:r>
          </w:p>
        </w:tc>
        <w:tc>
          <w:tcPr>
            <w:tcW w:type="dxa" w:w="2500"/>
            <w:shd w:val="clear" w:color="auto" w:fill="F7F9FC"/>
          </w:tcPr>
          <w:p>
            <w:r>
              <w:rPr>
                <w:color w:val="202020"/>
                <w:sz w:val="19"/>
              </w:rPr>
              <w:t>Every config change / upgrade</w:t>
            </w:r>
          </w:p>
        </w:tc>
      </w:tr>
    </w:tbl>
    <w:p>
      <w:pPr>
        <w:spacing w:after="40"/>
      </w:pPr>
    </w:p>
    <w:p>
      <w:pPr>
        <w:pStyle w:val="Heading2"/>
      </w:pPr>
      <w:r>
        <w:rPr>
          <w:color w:val="2E5496"/>
        </w:rPr>
        <w:t>11.2 Backup and restore of state</w:t>
      </w:r>
    </w:p>
    <w:p>
      <w:pPr>
        <w:spacing w:after="120"/>
      </w:pPr>
      <w:r>
        <w:rPr>
          <w:color w:val="202020"/>
        </w:rPr>
        <w:t xml:space="preserve">Back up the connector's </w:t>
      </w:r>
      <w:r>
        <w:rPr>
          <w:b/>
          <w:color w:val="202020"/>
        </w:rPr>
        <w:t>state</w:t>
      </w:r>
      <w:r>
        <w:rPr>
          <w:color w:val="202020"/>
        </w:rPr>
        <w:t xml:space="preserve"> (identity store, item inventory, sync timestamps, checkpoints, dead-letter queue, plus non-secret config). On the file/SQLite backend, the safest backup is a </w:t>
      </w:r>
      <w:r>
        <w:rPr>
          <w:b/>
          <w:color w:val="202020"/>
        </w:rPr>
        <w:t>cold copy</w:t>
      </w:r>
      <w:r>
        <w:rPr>
          <w:color w:val="202020"/>
        </w:rPr>
        <w:t xml:space="preserve"> (graceful stop, copy </w:t>
      </w:r>
      <w:r>
        <w:rPr>
          <w:rFonts w:ascii="Consolas" w:hAnsi="Consolas"/>
          <w:color w:val="202020"/>
          <w:sz w:val="19"/>
        </w:rPr>
        <w:t>data\</w:t>
      </w:r>
      <w:r>
        <w:rPr>
          <w:color w:val="202020"/>
        </w:rPr>
        <w:t xml:space="preserve"> and the </w:t>
      </w:r>
      <w:r>
        <w:rPr>
          <w:rFonts w:ascii="Consolas" w:hAnsi="Consolas"/>
          <w:color w:val="202020"/>
          <w:sz w:val="19"/>
        </w:rPr>
        <w:t>logs\</w:t>
      </w:r>
      <w:r>
        <w:rPr>
          <w:color w:val="202020"/>
        </w:rPr>
        <w:t xml:space="preserve"> state files, start — seconds of downtime), or a hot copy using SQLite's online backup API. On the SQL backend, use native </w:t>
      </w:r>
      <w:r>
        <w:rPr>
          <w:rFonts w:ascii="Consolas" w:hAnsi="Consolas"/>
          <w:color w:val="202020"/>
          <w:sz w:val="19"/>
        </w:rPr>
        <w:t>BACKUP DATABASE</w:t>
      </w:r>
      <w:r>
        <w:rPr>
          <w:color w:val="202020"/>
        </w:rPr>
        <w:t xml:space="preserve"> (simple recovery + daily fulls is proportionate for re-crawlable state; an Availability Group failover is not a DR event). Restore is: stop, put the state back, start — the connector resumes from the restored checkpoint and the next incremental covers the gap.</w:t>
      </w:r>
    </w:p>
    <w:p>
      <w:pPr>
        <w:pStyle w:val="Heading2"/>
      </w:pPr>
      <w:r>
        <w:rPr>
          <w:color w:val="2E5496"/>
        </w:rPr>
        <w:t>11.3 RPO and RTO in plain language</w:t>
      </w:r>
    </w:p>
    <w:p>
      <w:pPr>
        <w:spacing w:after="120"/>
      </w:pPr>
      <w:r>
        <w:rPr>
          <w:color w:val="202020"/>
        </w:rPr>
        <w:t>The source system is the system of record; the Graph connection holds the searchable index; the connector's state is only bookkeeping that makes the next crawl incremental instead of full. Therefore:</w:t>
      </w:r>
    </w:p>
    <w:p>
      <w:pPr>
        <w:pStyle w:val="ListBullet"/>
        <w:spacing w:after="40"/>
      </w:pPr>
      <w:r>
        <w:rPr>
          <w:b/>
          <w:color w:val="202020"/>
        </w:rPr>
        <w:t>RPO (how much you can lose)</w:t>
      </w:r>
      <w:r>
        <w:rPr>
          <w:color w:val="202020"/>
        </w:rPr>
        <w:t xml:space="preserve"> — losing all state means the next run is a </w:t>
      </w:r>
      <w:r>
        <w:rPr>
          <w:b/>
          <w:color w:val="202020"/>
        </w:rPr>
        <w:t>full crawl</w:t>
      </w:r>
      <w:r>
        <w:rPr>
          <w:color w:val="202020"/>
        </w:rPr>
        <w:t xml:space="preserve"> (hours, per section 8), and the current dead-letter backlog is simply re-attempted by that full crawl. </w:t>
      </w:r>
      <w:r>
        <w:rPr>
          <w:b/>
          <w:color w:val="202020"/>
        </w:rPr>
        <w:t>Nothing customer-visible is lost permanently.</w:t>
      </w:r>
    </w:p>
    <w:p>
      <w:pPr>
        <w:pStyle w:val="ListBullet"/>
        <w:spacing w:after="40"/>
      </w:pPr>
      <w:r>
        <w:rPr>
          <w:b/>
          <w:color w:val="202020"/>
        </w:rPr>
        <w:t>RTO (how fast you recover)</w:t>
      </w:r>
      <w:r>
        <w:rPr>
          <w:color w:val="202020"/>
        </w:rPr>
        <w:t xml:space="preserve"> — reinstall is minutes; then either restore state (minutes) or accept the full re-crawl window. Crucially, </w:t>
      </w:r>
      <w:r>
        <w:rPr>
          <w:b/>
          <w:color w:val="202020"/>
        </w:rPr>
        <w:t>the index itself survives in the Graph connection regardless of connector state</w:t>
      </w:r>
      <w:r>
        <w:rPr>
          <w:color w:val="202020"/>
        </w:rPr>
        <w:t xml:space="preserve"> — a dead connector means a *stale* index, not an empty one.</w:t>
      </w:r>
    </w:p>
    <w:p>
      <w:pPr>
        <w:pStyle w:val="ListBullet"/>
        <w:spacing w:after="40"/>
      </w:pPr>
      <w:r>
        <w:rPr>
          <w:b/>
          <w:color w:val="202020"/>
        </w:rPr>
        <w:t>Practical target</w:t>
      </w:r>
      <w:r>
        <w:rPr>
          <w:color w:val="202020"/>
        </w:rPr>
        <w:t xml:space="preserve"> — back up state daily, accept up to ~24h of bookkeeping loss, and treat anything worse as "just run a full crawl".</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The one exception to "state loss = re-crawl cost, not data loss" is any connector that documents an authoritative local step (for example an audit or erasure record). Check the per-connector guide's DR section — where a connector says its state is more than a cache, follow that guide.</w:t>
            </w:r>
          </w:p>
        </w:tc>
      </w:tr>
    </w:tbl>
    <w:p>
      <w:pPr>
        <w:spacing w:after="40"/>
      </w:pPr>
    </w:p>
    <w:p>
      <w:pPr>
        <w:pStyle w:val="Heading2"/>
      </w:pPr>
      <w:r>
        <w:rPr>
          <w:color w:val="2E5496"/>
        </w:rPr>
        <w:t>11.4 Upgrade and rollback</w:t>
      </w:r>
    </w:p>
    <w:p>
      <w:pPr>
        <w:pStyle w:val="ListNumber"/>
        <w:spacing w:after="40"/>
      </w:pPr>
      <w:r>
        <w:rPr>
          <w:color w:val="202020"/>
        </w:rPr>
        <w:t>Read the connector's changelog for the target version (migration notes live there).</w:t>
      </w:r>
    </w:p>
    <w:p>
      <w:pPr>
        <w:pStyle w:val="ListNumber"/>
        <w:spacing w:after="40"/>
      </w:pPr>
      <w:r>
        <w:rPr>
          <w:color w:val="202020"/>
        </w:rPr>
        <w:t>Stop the service gracefully (current chunk finishes, checkpoint saved).</w:t>
      </w:r>
    </w:p>
    <w:p>
      <w:pPr>
        <w:pStyle w:val="ListNumber"/>
        <w:spacing w:after="40"/>
      </w:pPr>
      <w:r>
        <w:rPr>
          <w:color w:val="202020"/>
        </w:rPr>
        <w:t>Back up state (cheap insurance; upgrades do not normally touch it).</w:t>
      </w:r>
    </w:p>
    <w:p>
      <w:pPr>
        <w:pStyle w:val="ListNumber"/>
        <w:spacing w:after="40"/>
      </w:pPr>
      <w:r>
        <w:rPr>
          <w:color w:val="202020"/>
        </w:rPr>
        <w:t>Binary swap — install the new MSI (major-upgrade replaces in place) or unzip over the install dir; config and env files are preserved. Diff the env example for new knobs.</w:t>
      </w:r>
    </w:p>
    <w:p>
      <w:pPr>
        <w:pStyle w:val="ListNumber"/>
        <w:spacing w:after="40"/>
      </w:pPr>
      <w:r>
        <w:rPr>
          <w:color w:val="202020"/>
        </w:rPr>
        <w:t>State migrates automatically and additively: SQLite adds missing columns on open; on SQL, re-run the idempotent create script. Nothing is ever dropped.</w:t>
      </w:r>
    </w:p>
    <w:p>
      <w:pPr>
        <w:pStyle w:val="ListNumber"/>
        <w:spacing w:after="40"/>
      </w:pPr>
      <w:r>
        <w:rPr>
          <w:color w:val="202020"/>
        </w:rPr>
        <w:t>Start the service — it resumes from the existing checkpoint; an upgrade does not force a full crawl unless the changelog says so.</w:t>
      </w:r>
    </w:p>
    <w:p>
      <w:pPr>
        <w:pStyle w:val="ListNumber"/>
        <w:spacing w:after="40"/>
      </w:pPr>
      <w:r>
        <w:rPr>
          <w:color w:val="202020"/>
        </w:rPr>
        <w:t>Verify: validate-config --strict, then watch metrics (crawls_completed advancing, dead_letter_depth flat).</w:t>
      </w:r>
    </w:p>
    <w:p>
      <w:pPr>
        <w:spacing w:after="120"/>
      </w:pPr>
      <w:r>
        <w:rPr>
          <w:b/>
          <w:color w:val="202020"/>
        </w:rPr>
        <w:t>Rollback</w:t>
      </w:r>
      <w:r>
        <w:rPr>
          <w:color w:val="202020"/>
        </w:rPr>
        <w:t>: stop, reinstall the previous version, start. Because the state schema is additive, a newer-schema state DB opens fine under the older binary in almost all cases; if a skipped version flagged a breaking state change, restore the pre-upgrade backup instead.</w:t>
      </w:r>
    </w:p>
    <w:p>
      <w:pPr>
        <w:pStyle w:val="Heading2"/>
      </w:pPr>
      <w:r>
        <w:rPr>
          <w:color w:val="2E5496"/>
        </w:rPr>
        <w:t>11.5 Incident triage flow</w:t>
      </w:r>
    </w:p>
    <w:p>
      <w:pPr>
        <w:pStyle w:val="ListNumber"/>
        <w:spacing w:after="40"/>
      </w:pPr>
      <w:r>
        <w:rPr>
          <w:color w:val="202020"/>
        </w:rPr>
        <w:t>Is the service up? Check /health and uptime_seconds (or Event Log id 1000/3000). Down or restart-looping -&gt; read the run-dir log or Event Log id 3000 for the crash cause (usually config or auth); fix and let SCM restart it.</w:t>
      </w:r>
    </w:p>
    <w:p>
      <w:pPr>
        <w:pStyle w:val="ListNumber"/>
        <w:spacing w:after="40"/>
      </w:pPr>
      <w:r>
        <w:rPr>
          <w:color w:val="202020"/>
        </w:rPr>
        <w:t>Is it authenticating? Auth errors in the log (invalid_client, token failures) -&gt; check the secret/cert and that admin consent is still in place; rotate if the credential expired.</w:t>
      </w:r>
    </w:p>
    <w:p>
      <w:pPr>
        <w:pStyle w:val="ListNumber"/>
        <w:spacing w:after="40"/>
      </w:pPr>
      <w:r>
        <w:rPr>
          <w:color w:val="202020"/>
        </w:rPr>
        <w:t>Is it throttled? A sustained 429 storm across all five connectors is a tenant event — check Microsoft 365 service health before touching config. One connector alone -&gt; let adaptive concurrency settle; enable jitter in HA.</w:t>
      </w:r>
    </w:p>
    <w:p>
      <w:pPr>
        <w:pStyle w:val="ListNumber"/>
        <w:spacing w:after="40"/>
      </w:pPr>
      <w:r>
        <w:rPr>
          <w:color w:val="202020"/>
        </w:rPr>
        <w:t>Is a crawl stuck? crawls_started ahead of crawls_completed with no per-object progress -&gt; in HA check the object claims; a stale lease is reclaimed automatically after the timeout.</w:t>
      </w:r>
    </w:p>
    <w:p>
      <w:pPr>
        <w:pStyle w:val="ListNumber"/>
        <w:spacing w:after="40"/>
      </w:pPr>
      <w:r>
        <w:rPr>
          <w:color w:val="202020"/>
        </w:rPr>
        <w:t>Are items failing? Rising items_failed_total / dead_letter_depth -&gt; inspect the dominant error signature (one signature = systematic, fix then retry-failed; a long tail = throttling remnants, retry later).</w:t>
      </w:r>
    </w:p>
    <w:p>
      <w:pPr>
        <w:pStyle w:val="ListNumber"/>
        <w:spacing w:after="40"/>
      </w:pPr>
      <w:r>
        <w:rPr>
          <w:color w:val="202020"/>
        </w:rPr>
        <w:t>Missing records a user expects? Suspect identity/ACL mapping (section 5) or a filter — start from identity-dry-run and the per-connector scope, not from Graph.</w:t>
      </w:r>
    </w:p>
    <w:p>
      <w:pPr>
        <w:pStyle w:val="Heading2"/>
      </w:pPr>
      <w:r>
        <w:rPr>
          <w:color w:val="2E5496"/>
        </w:rPr>
        <w:t>11.6 Escalation</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200"/>
        <w:gridCol w:w="2960"/>
        <w:gridCol w:w="3200"/>
      </w:tblGrid>
      <w:tr>
        <w:tc>
          <w:tcPr>
            <w:tcW w:type="dxa" w:w="3200"/>
            <w:shd w:val="clear" w:color="auto" w:fill="2E5496"/>
          </w:tcPr>
          <w:p>
            <w:r>
              <w:rPr>
                <w:b/>
                <w:color w:val="FFFFFF"/>
                <w:sz w:val="19"/>
              </w:rPr>
              <w:t>Symptom</w:t>
            </w:r>
          </w:p>
        </w:tc>
        <w:tc>
          <w:tcPr>
            <w:tcW w:type="dxa" w:w="2960"/>
            <w:shd w:val="clear" w:color="auto" w:fill="2E5496"/>
          </w:tcPr>
          <w:p>
            <w:r>
              <w:rPr>
                <w:b/>
                <w:color w:val="FFFFFF"/>
                <w:sz w:val="19"/>
              </w:rPr>
              <w:t>First owner</w:t>
            </w:r>
          </w:p>
        </w:tc>
        <w:tc>
          <w:tcPr>
            <w:tcW w:type="dxa" w:w="3200"/>
            <w:shd w:val="clear" w:color="auto" w:fill="2E5496"/>
          </w:tcPr>
          <w:p>
            <w:r>
              <w:rPr>
                <w:b/>
                <w:color w:val="FFFFFF"/>
                <w:sz w:val="19"/>
              </w:rPr>
              <w:t>Escalate to</w:t>
            </w:r>
          </w:p>
        </w:tc>
      </w:tr>
      <w:tr>
        <w:tc>
          <w:tcPr>
            <w:tcW w:type="dxa" w:w="3200"/>
          </w:tcPr>
          <w:p>
            <w:r>
              <w:rPr>
                <w:color w:val="202020"/>
                <w:sz w:val="19"/>
              </w:rPr>
              <w:t>Service down / crash loop / config</w:t>
            </w:r>
          </w:p>
        </w:tc>
        <w:tc>
          <w:tcPr>
            <w:tcW w:type="dxa" w:w="2960"/>
          </w:tcPr>
          <w:p>
            <w:r>
              <w:rPr>
                <w:color w:val="202020"/>
                <w:sz w:val="19"/>
              </w:rPr>
              <w:t>Connector operator (you)</w:t>
            </w:r>
          </w:p>
        </w:tc>
        <w:tc>
          <w:tcPr>
            <w:tcW w:type="dxa" w:w="3200"/>
          </w:tcPr>
          <w:p>
            <w:r>
              <w:rPr>
                <w:color w:val="202020"/>
                <w:sz w:val="19"/>
              </w:rPr>
              <w:t>Connector platform team</w:t>
            </w:r>
          </w:p>
        </w:tc>
      </w:tr>
      <w:tr>
        <w:tc>
          <w:tcPr>
            <w:tcW w:type="dxa" w:w="3200"/>
            <w:shd w:val="clear" w:color="auto" w:fill="F7F9FC"/>
          </w:tcPr>
          <w:p>
            <w:r>
              <w:rPr>
                <w:color w:val="202020"/>
                <w:sz w:val="19"/>
              </w:rPr>
              <w:t>Auth / consent / credential expiry</w:t>
            </w:r>
          </w:p>
        </w:tc>
        <w:tc>
          <w:tcPr>
            <w:tcW w:type="dxa" w:w="2960"/>
            <w:shd w:val="clear" w:color="auto" w:fill="F7F9FC"/>
          </w:tcPr>
          <w:p>
            <w:r>
              <w:rPr>
                <w:color w:val="202020"/>
                <w:sz w:val="19"/>
              </w:rPr>
              <w:t>Connector operator</w:t>
            </w:r>
          </w:p>
        </w:tc>
        <w:tc>
          <w:tcPr>
            <w:tcW w:type="dxa" w:w="3200"/>
            <w:shd w:val="clear" w:color="auto" w:fill="F7F9FC"/>
          </w:tcPr>
          <w:p>
            <w:r>
              <w:rPr>
                <w:color w:val="202020"/>
                <w:sz w:val="19"/>
              </w:rPr>
              <w:t>Entra ID administrator / security</w:t>
            </w:r>
          </w:p>
        </w:tc>
      </w:tr>
      <w:tr>
        <w:tc>
          <w:tcPr>
            <w:tcW w:type="dxa" w:w="3200"/>
          </w:tcPr>
          <w:p>
            <w:r>
              <w:rPr>
                <w:color w:val="202020"/>
                <w:sz w:val="19"/>
              </w:rPr>
              <w:t>Tenant-wide 429 across all connectors</w:t>
            </w:r>
          </w:p>
        </w:tc>
        <w:tc>
          <w:tcPr>
            <w:tcW w:type="dxa" w:w="2960"/>
          </w:tcPr>
          <w:p>
            <w:r>
              <w:rPr>
                <w:color w:val="202020"/>
                <w:sz w:val="19"/>
              </w:rPr>
              <w:t>Connector operator</w:t>
            </w:r>
          </w:p>
        </w:tc>
        <w:tc>
          <w:tcPr>
            <w:tcW w:type="dxa" w:w="3200"/>
          </w:tcPr>
          <w:p>
            <w:r>
              <w:rPr>
                <w:color w:val="202020"/>
                <w:sz w:val="19"/>
              </w:rPr>
              <w:t>Microsoft 365 service health / Microsoft support</w:t>
            </w:r>
          </w:p>
        </w:tc>
      </w:tr>
      <w:tr>
        <w:tc>
          <w:tcPr>
            <w:tcW w:type="dxa" w:w="3200"/>
            <w:shd w:val="clear" w:color="auto" w:fill="F7F9FC"/>
          </w:tcPr>
          <w:p>
            <w:r>
              <w:rPr>
                <w:color w:val="202020"/>
                <w:sz w:val="19"/>
              </w:rPr>
              <w:t>Source data / permissions wrong at source</w:t>
            </w:r>
          </w:p>
        </w:tc>
        <w:tc>
          <w:tcPr>
            <w:tcW w:type="dxa" w:w="2960"/>
            <w:shd w:val="clear" w:color="auto" w:fill="F7F9FC"/>
          </w:tcPr>
          <w:p>
            <w:r>
              <w:rPr>
                <w:color w:val="202020"/>
                <w:sz w:val="19"/>
              </w:rPr>
              <w:t>Connector operator</w:t>
            </w:r>
          </w:p>
        </w:tc>
        <w:tc>
          <w:tcPr>
            <w:tcW w:type="dxa" w:w="3200"/>
            <w:shd w:val="clear" w:color="auto" w:fill="F7F9FC"/>
          </w:tcPr>
          <w:p>
            <w:r>
              <w:rPr>
                <w:color w:val="202020"/>
                <w:sz w:val="19"/>
              </w:rPr>
              <w:t>Source-system administrator</w:t>
            </w:r>
          </w:p>
        </w:tc>
      </w:tr>
      <w:tr>
        <w:tc>
          <w:tcPr>
            <w:tcW w:type="dxa" w:w="3200"/>
          </w:tcPr>
          <w:p>
            <w:r>
              <w:rPr>
                <w:color w:val="202020"/>
                <w:sz w:val="19"/>
              </w:rPr>
              <w:t>Approaching the 40M tenant item trigger</w:t>
            </w:r>
          </w:p>
        </w:tc>
        <w:tc>
          <w:tcPr>
            <w:tcW w:type="dxa" w:w="2960"/>
          </w:tcPr>
          <w:p>
            <w:r>
              <w:rPr>
                <w:color w:val="202020"/>
                <w:sz w:val="19"/>
              </w:rPr>
              <w:t>Connector operator</w:t>
            </w:r>
          </w:p>
        </w:tc>
        <w:tc>
          <w:tcPr>
            <w:tcW w:type="dxa" w:w="3200"/>
          </w:tcPr>
          <w:p>
            <w:r>
              <w:rPr>
                <w:color w:val="202020"/>
                <w:sz w:val="19"/>
              </w:rPr>
              <w:t>Connector platform team / tenant governance owner</w:t>
            </w:r>
          </w:p>
        </w:tc>
      </w:tr>
      <w:tr>
        <w:tc>
          <w:tcPr>
            <w:tcW w:type="dxa" w:w="3200"/>
            <w:shd w:val="clear" w:color="auto" w:fill="F7F9FC"/>
          </w:tcPr>
          <w:p>
            <w:r>
              <w:rPr>
                <w:color w:val="202020"/>
                <w:sz w:val="19"/>
              </w:rPr>
              <w:t>Suspected data exposure (over-sharing)</w:t>
            </w:r>
          </w:p>
        </w:tc>
        <w:tc>
          <w:tcPr>
            <w:tcW w:type="dxa" w:w="2960"/>
            <w:shd w:val="clear" w:color="auto" w:fill="F7F9FC"/>
          </w:tcPr>
          <w:p>
            <w:r>
              <w:rPr>
                <w:color w:val="202020"/>
                <w:sz w:val="19"/>
              </w:rPr>
              <w:t>Connector operator</w:t>
            </w:r>
          </w:p>
        </w:tc>
        <w:tc>
          <w:tcPr>
            <w:tcW w:type="dxa" w:w="3200"/>
            <w:shd w:val="clear" w:color="auto" w:fill="F7F9FC"/>
          </w:tcPr>
          <w:p>
            <w:r>
              <w:rPr>
                <w:color w:val="202020"/>
                <w:sz w:val="19"/>
              </w:rPr>
              <w:t>Security / compliance immediately</w:t>
            </w:r>
          </w:p>
        </w:tc>
      </w:tr>
    </w:tbl>
    <w:p>
      <w:pPr>
        <w:spacing w:after="40"/>
      </w:pPr>
    </w:p>
    <w:p>
      <w:r>
        <w:br w:type="page"/>
      </w:r>
    </w:p>
    <w:p>
      <w:pPr>
        <w:pStyle w:val="Heading1"/>
      </w:pPr>
      <w:r>
        <w:rPr>
          <w:color w:val="1F3864"/>
        </w:rPr>
        <w:t>12. Roles, responsibilities and pre-deployment intake</w:t>
      </w:r>
    </w:p>
    <w:p>
      <w:pPr>
        <w:spacing w:after="200"/>
      </w:pPr>
      <w:r>
        <w:rPr>
          <w:color w:val="595959"/>
          <w:sz w:val="23"/>
        </w:rPr>
        <w:t>A connector deployment touches several teams. This section names who provides what, then gives a single fill-in checklist to collect every value before you start. Nothing here is invented — each value is referenced in the section shown.</w:t>
      </w:r>
    </w:p>
    <w:p>
      <w:pPr>
        <w:pStyle w:val="Heading2"/>
      </w:pPr>
      <w:r>
        <w:rPr>
          <w:color w:val="2E5496"/>
        </w:rPr>
        <w:t>12.1 Who provides what (RACI-style)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400"/>
        <w:gridCol w:w="3160"/>
        <w:gridCol w:w="2800"/>
      </w:tblGrid>
      <w:tr>
        <w:tc>
          <w:tcPr>
            <w:tcW w:type="dxa" w:w="3400"/>
            <w:shd w:val="clear" w:color="auto" w:fill="2E5496"/>
          </w:tcPr>
          <w:p>
            <w:r>
              <w:rPr>
                <w:b/>
                <w:color w:val="FFFFFF"/>
                <w:sz w:val="19"/>
              </w:rPr>
              <w:t>Area / deliverable</w:t>
            </w:r>
          </w:p>
        </w:tc>
        <w:tc>
          <w:tcPr>
            <w:tcW w:type="dxa" w:w="3160"/>
            <w:shd w:val="clear" w:color="auto" w:fill="2E5496"/>
          </w:tcPr>
          <w:p>
            <w:r>
              <w:rPr>
                <w:b/>
                <w:color w:val="FFFFFF"/>
                <w:sz w:val="19"/>
              </w:rPr>
              <w:t>Owner (provides)</w:t>
            </w:r>
          </w:p>
        </w:tc>
        <w:tc>
          <w:tcPr>
            <w:tcW w:type="dxa" w:w="2800"/>
            <w:shd w:val="clear" w:color="auto" w:fill="2E5496"/>
          </w:tcPr>
          <w:p>
            <w:r>
              <w:rPr>
                <w:b/>
                <w:color w:val="FFFFFF"/>
                <w:sz w:val="19"/>
              </w:rPr>
              <w:t>Connector operator (you)</w:t>
            </w:r>
          </w:p>
        </w:tc>
      </w:tr>
      <w:tr>
        <w:tc>
          <w:tcPr>
            <w:tcW w:type="dxa" w:w="3400"/>
          </w:tcPr>
          <w:p>
            <w:r>
              <w:rPr>
                <w:color w:val="202020"/>
                <w:sz w:val="19"/>
              </w:rPr>
              <w:t>Tenant ID, app registration, admin consent, secret/cert upload</w:t>
            </w:r>
          </w:p>
        </w:tc>
        <w:tc>
          <w:tcPr>
            <w:tcW w:type="dxa" w:w="3160"/>
          </w:tcPr>
          <w:p>
            <w:r>
              <w:rPr>
                <w:color w:val="202020"/>
                <w:sz w:val="19"/>
              </w:rPr>
              <w:t>Entra ID / tenant administrator</w:t>
            </w:r>
          </w:p>
        </w:tc>
        <w:tc>
          <w:tcPr>
            <w:tcW w:type="dxa" w:w="2800"/>
          </w:tcPr>
          <w:p>
            <w:r>
              <w:rPr>
                <w:color w:val="202020"/>
                <w:sz w:val="19"/>
              </w:rPr>
              <w:t>Consume; configure; validate</w:t>
            </w:r>
          </w:p>
        </w:tc>
      </w:tr>
      <w:tr>
        <w:tc>
          <w:tcPr>
            <w:tcW w:type="dxa" w:w="3400"/>
            <w:shd w:val="clear" w:color="auto" w:fill="F7F9FC"/>
          </w:tcPr>
          <w:p>
            <w:r>
              <w:rPr>
                <w:color w:val="202020"/>
                <w:sz w:val="19"/>
              </w:rPr>
              <w:t>Source endpoint + read-only integration credentials + principal model</w:t>
            </w:r>
          </w:p>
        </w:tc>
        <w:tc>
          <w:tcPr>
            <w:tcW w:type="dxa" w:w="3160"/>
            <w:shd w:val="clear" w:color="auto" w:fill="F7F9FC"/>
          </w:tcPr>
          <w:p>
            <w:r>
              <w:rPr>
                <w:color w:val="202020"/>
                <w:sz w:val="19"/>
              </w:rPr>
              <w:t>Source-system administrator</w:t>
            </w:r>
          </w:p>
        </w:tc>
        <w:tc>
          <w:tcPr>
            <w:tcW w:type="dxa" w:w="2800"/>
            <w:shd w:val="clear" w:color="auto" w:fill="F7F9FC"/>
          </w:tcPr>
          <w:p>
            <w:r>
              <w:rPr>
                <w:color w:val="202020"/>
                <w:sz w:val="19"/>
              </w:rPr>
              <w:t>Configure; run identity-dry-run</w:t>
            </w:r>
          </w:p>
        </w:tc>
      </w:tr>
      <w:tr>
        <w:tc>
          <w:tcPr>
            <w:tcW w:type="dxa" w:w="3400"/>
          </w:tcPr>
          <w:p>
            <w:r>
              <w:rPr>
                <w:color w:val="202020"/>
                <w:sz w:val="19"/>
              </w:rPr>
              <w:t>Entra group object ids for source-group mapping</w:t>
            </w:r>
          </w:p>
        </w:tc>
        <w:tc>
          <w:tcPr>
            <w:tcW w:type="dxa" w:w="3160"/>
          </w:tcPr>
          <w:p>
            <w:r>
              <w:rPr>
                <w:color w:val="202020"/>
                <w:sz w:val="19"/>
              </w:rPr>
              <w:t>Source admin + Entra administrator</w:t>
            </w:r>
          </w:p>
        </w:tc>
        <w:tc>
          <w:tcPr>
            <w:tcW w:type="dxa" w:w="2800"/>
          </w:tcPr>
          <w:p>
            <w:r>
              <w:rPr>
                <w:color w:val="202020"/>
                <w:sz w:val="19"/>
              </w:rPr>
              <w:t>Configure the mapping</w:t>
            </w:r>
          </w:p>
        </w:tc>
      </w:tr>
      <w:tr>
        <w:tc>
          <w:tcPr>
            <w:tcW w:type="dxa" w:w="3400"/>
            <w:shd w:val="clear" w:color="auto" w:fill="F7F9FC"/>
          </w:tcPr>
          <w:p>
            <w:r>
              <w:rPr>
                <w:color w:val="202020"/>
                <w:sz w:val="19"/>
              </w:rPr>
              <w:t>Proxy URL/bypass, CA bundle, outbound 443 firewall rules</w:t>
            </w:r>
          </w:p>
        </w:tc>
        <w:tc>
          <w:tcPr>
            <w:tcW w:type="dxa" w:w="3160"/>
            <w:shd w:val="clear" w:color="auto" w:fill="F7F9FC"/>
          </w:tcPr>
          <w:p>
            <w:r>
              <w:rPr>
                <w:color w:val="202020"/>
                <w:sz w:val="19"/>
              </w:rPr>
              <w:t>Network / firewall team</w:t>
            </w:r>
          </w:p>
        </w:tc>
        <w:tc>
          <w:tcPr>
            <w:tcW w:type="dxa" w:w="2800"/>
            <w:shd w:val="clear" w:color="auto" w:fill="F7F9FC"/>
          </w:tcPr>
          <w:p>
            <w:r>
              <w:rPr>
                <w:color w:val="202020"/>
                <w:sz w:val="19"/>
              </w:rPr>
              <w:t>Configure PROXY_URL / CA_BUNDLE_PATH; smoke-test</w:t>
            </w:r>
          </w:p>
        </w:tc>
      </w:tr>
      <w:tr>
        <w:tc>
          <w:tcPr>
            <w:tcW w:type="dxa" w:w="3400"/>
          </w:tcPr>
          <w:p>
            <w:r>
              <w:rPr>
                <w:color w:val="202020"/>
                <w:sz w:val="19"/>
              </w:rPr>
              <w:t>Key Vault URI + get access</w:t>
            </w:r>
          </w:p>
        </w:tc>
        <w:tc>
          <w:tcPr>
            <w:tcW w:type="dxa" w:w="3160"/>
          </w:tcPr>
          <w:p>
            <w:r>
              <w:rPr>
                <w:color w:val="202020"/>
                <w:sz w:val="19"/>
              </w:rPr>
              <w:t>Azure platform / Key Vault team</w:t>
            </w:r>
          </w:p>
        </w:tc>
        <w:tc>
          <w:tcPr>
            <w:tcW w:type="dxa" w:w="2800"/>
          </w:tcPr>
          <w:p>
            <w:r>
              <w:rPr>
                <w:color w:val="202020"/>
                <w:sz w:val="19"/>
              </w:rPr>
              <w:t>Set USE_KEY_VAULT / KEY_VAULT_URI</w:t>
            </w:r>
          </w:p>
        </w:tc>
      </w:tr>
      <w:tr>
        <w:tc>
          <w:tcPr>
            <w:tcW w:type="dxa" w:w="3400"/>
            <w:shd w:val="clear" w:color="auto" w:fill="F7F9FC"/>
          </w:tcPr>
          <w:p>
            <w:r>
              <w:rPr>
                <w:color w:val="202020"/>
                <w:sz w:val="19"/>
              </w:rPr>
              <w:t>Windows Server host, .NET 10, service account (gMSA)</w:t>
            </w:r>
          </w:p>
        </w:tc>
        <w:tc>
          <w:tcPr>
            <w:tcW w:type="dxa" w:w="3160"/>
            <w:shd w:val="clear" w:color="auto" w:fill="F7F9FC"/>
          </w:tcPr>
          <w:p>
            <w:r>
              <w:rPr>
                <w:color w:val="202020"/>
                <w:sz w:val="19"/>
              </w:rPr>
              <w:t>Server / platform + AD teams</w:t>
            </w:r>
          </w:p>
        </w:tc>
        <w:tc>
          <w:tcPr>
            <w:tcW w:type="dxa" w:w="2800"/>
            <w:shd w:val="clear" w:color="auto" w:fill="F7F9FC"/>
          </w:tcPr>
          <w:p>
            <w:r>
              <w:rPr>
                <w:color w:val="202020"/>
                <w:sz w:val="19"/>
              </w:rPr>
              <w:t>Install MSI; configure service</w:t>
            </w:r>
          </w:p>
        </w:tc>
      </w:tr>
      <w:tr>
        <w:tc>
          <w:tcPr>
            <w:tcW w:type="dxa" w:w="3400"/>
          </w:tcPr>
          <w:p>
            <w:r>
              <w:rPr>
                <w:color w:val="202020"/>
                <w:sz w:val="19"/>
              </w:rPr>
              <w:t>SQL database, login, AG listener (if HA/SQL)</w:t>
            </w:r>
          </w:p>
        </w:tc>
        <w:tc>
          <w:tcPr>
            <w:tcW w:type="dxa" w:w="3160"/>
          </w:tcPr>
          <w:p>
            <w:r>
              <w:rPr>
                <w:color w:val="202020"/>
                <w:sz w:val="19"/>
              </w:rPr>
              <w:t>Database administrator</w:t>
            </w:r>
          </w:p>
        </w:tc>
        <w:tc>
          <w:tcPr>
            <w:tcW w:type="dxa" w:w="2800"/>
          </w:tcPr>
          <w:p>
            <w:r>
              <w:rPr>
                <w:color w:val="202020"/>
                <w:sz w:val="19"/>
              </w:rPr>
              <w:t>Set USE_SQL_SERVER / SQL_CONNECTION_STRING</w:t>
            </w:r>
          </w:p>
        </w:tc>
      </w:tr>
      <w:tr>
        <w:tc>
          <w:tcPr>
            <w:tcW w:type="dxa" w:w="3400"/>
            <w:shd w:val="clear" w:color="auto" w:fill="F7F9FC"/>
          </w:tcPr>
          <w:p>
            <w:r>
              <w:rPr>
                <w:color w:val="202020"/>
                <w:sz w:val="19"/>
              </w:rPr>
              <w:t>Connection/shard/item allocation, crawl window, app registration</w:t>
            </w:r>
          </w:p>
        </w:tc>
        <w:tc>
          <w:tcPr>
            <w:tcW w:type="dxa" w:w="3160"/>
            <w:shd w:val="clear" w:color="auto" w:fill="F7F9FC"/>
          </w:tcPr>
          <w:p>
            <w:r>
              <w:rPr>
                <w:color w:val="202020"/>
                <w:sz w:val="19"/>
              </w:rPr>
              <w:t>Connector platform team / governance owner</w:t>
            </w:r>
          </w:p>
        </w:tc>
        <w:tc>
          <w:tcPr>
            <w:tcW w:type="dxa" w:w="2800"/>
            <w:shd w:val="clear" w:color="auto" w:fill="F7F9FC"/>
          </w:tcPr>
          <w:p>
            <w:r>
              <w:rPr>
                <w:color w:val="202020"/>
                <w:sz w:val="19"/>
              </w:rPr>
              <w:t>Apply the allocated values</w:t>
            </w:r>
          </w:p>
        </w:tc>
      </w:tr>
      <w:tr>
        <w:tc>
          <w:tcPr>
            <w:tcW w:type="dxa" w:w="3400"/>
          </w:tcPr>
          <w:p>
            <w:r>
              <w:rPr>
                <w:color w:val="202020"/>
                <w:sz w:val="19"/>
              </w:rPr>
              <w:t>Data-at-rest / redaction / classification policy</w:t>
            </w:r>
          </w:p>
        </w:tc>
        <w:tc>
          <w:tcPr>
            <w:tcW w:type="dxa" w:w="3160"/>
          </w:tcPr>
          <w:p>
            <w:r>
              <w:rPr>
                <w:color w:val="202020"/>
                <w:sz w:val="19"/>
              </w:rPr>
              <w:t>Security / compliance</w:t>
            </w:r>
          </w:p>
        </w:tc>
        <w:tc>
          <w:tcPr>
            <w:tcW w:type="dxa" w:w="2800"/>
          </w:tcPr>
          <w:p>
            <w:r>
              <w:rPr>
                <w:color w:val="202020"/>
                <w:sz w:val="19"/>
              </w:rPr>
              <w:t>Set DEADLETTER_PAYLOAD_MODE / CLASSIFICATION</w:t>
            </w:r>
          </w:p>
        </w:tc>
      </w:tr>
      <w:tr>
        <w:tc>
          <w:tcPr>
            <w:tcW w:type="dxa" w:w="3400"/>
            <w:shd w:val="clear" w:color="auto" w:fill="F7F9FC"/>
          </w:tcPr>
          <w:p>
            <w:r>
              <w:rPr>
                <w:color w:val="202020"/>
                <w:sz w:val="19"/>
              </w:rPr>
              <w:t>Monitoring targets, SIEM path, on-call routing</w:t>
            </w:r>
          </w:p>
        </w:tc>
        <w:tc>
          <w:tcPr>
            <w:tcW w:type="dxa" w:w="3160"/>
            <w:shd w:val="clear" w:color="auto" w:fill="F7F9FC"/>
          </w:tcPr>
          <w:p>
            <w:r>
              <w:rPr>
                <w:color w:val="202020"/>
                <w:sz w:val="19"/>
              </w:rPr>
              <w:t>Monitoring team</w:t>
            </w:r>
          </w:p>
        </w:tc>
        <w:tc>
          <w:tcPr>
            <w:tcW w:type="dxa" w:w="2800"/>
            <w:shd w:val="clear" w:color="auto" w:fill="F7F9FC"/>
          </w:tcPr>
          <w:p>
            <w:r>
              <w:rPr>
                <w:color w:val="202020"/>
                <w:sz w:val="19"/>
              </w:rPr>
              <w:t>Set HEALTH_PORT / LOG_FORMAT / alerts</w:t>
            </w:r>
          </w:p>
        </w:tc>
      </w:tr>
    </w:tbl>
    <w:p>
      <w:pPr>
        <w:spacing w:after="40"/>
      </w:pPr>
    </w:p>
    <w:p>
      <w:pPr>
        <w:pStyle w:val="Heading2"/>
      </w:pPr>
      <w:r>
        <w:rPr>
          <w:color w:val="2E5496"/>
        </w:rPr>
        <w:t>12.2 Master intake checklist</w:t>
      </w:r>
    </w:p>
    <w:p>
      <w:pPr>
        <w:spacing w:after="120"/>
      </w:pPr>
      <w:r>
        <w:rPr>
          <w:color w:val="202020"/>
        </w:rPr>
        <w:t xml:space="preserve">Collect every value below </w:t>
      </w:r>
      <w:r>
        <w:rPr>
          <w:b/>
          <w:color w:val="202020"/>
        </w:rPr>
        <w:t>before</w:t>
      </w:r>
      <w:r>
        <w:rPr>
          <w:color w:val="202020"/>
        </w:rPr>
        <w:t xml:space="preserve"> you begin. Fill the last column with the value (or the person who owns it). Do not write live secrets here — record only where the secret lives (Key Vault name / secret file), never the value itself.</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520"/>
        <w:gridCol w:w="4200"/>
        <w:gridCol w:w="2440"/>
        <w:gridCol w:w="2200"/>
      </w:tblGrid>
      <w:tr>
        <w:tc>
          <w:tcPr>
            <w:tcW w:type="dxa" w:w="520"/>
            <w:shd w:val="clear" w:color="auto" w:fill="2E5496"/>
          </w:tcPr>
          <w:p>
            <w:r>
              <w:rPr>
                <w:b/>
                <w:color w:val="FFFFFF"/>
                <w:sz w:val="19"/>
              </w:rPr>
              <w:t>#</w:t>
            </w:r>
          </w:p>
        </w:tc>
        <w:tc>
          <w:tcPr>
            <w:tcW w:type="dxa" w:w="4200"/>
            <w:shd w:val="clear" w:color="auto" w:fill="2E5496"/>
          </w:tcPr>
          <w:p>
            <w:r>
              <w:rPr>
                <w:b/>
                <w:color w:val="FFFFFF"/>
                <w:sz w:val="19"/>
              </w:rPr>
              <w:t>Value to collect</w:t>
            </w:r>
          </w:p>
        </w:tc>
        <w:tc>
          <w:tcPr>
            <w:tcW w:type="dxa" w:w="2440"/>
            <w:shd w:val="clear" w:color="auto" w:fill="2E5496"/>
          </w:tcPr>
          <w:p>
            <w:r>
              <w:rPr>
                <w:b/>
                <w:color w:val="FFFFFF"/>
                <w:sz w:val="19"/>
              </w:rPr>
              <w:t>From (role)</w:t>
            </w:r>
          </w:p>
        </w:tc>
        <w:tc>
          <w:tcPr>
            <w:tcW w:type="dxa" w:w="2200"/>
            <w:shd w:val="clear" w:color="auto" w:fill="2E5496"/>
          </w:tcPr>
          <w:p>
            <w:r>
              <w:rPr>
                <w:b/>
                <w:color w:val="FFFFFF"/>
                <w:sz w:val="19"/>
              </w:rPr>
              <w:t>Value / provided by</w:t>
            </w:r>
          </w:p>
        </w:tc>
      </w:tr>
      <w:tr>
        <w:tc>
          <w:tcPr>
            <w:tcW w:type="dxa" w:w="520"/>
          </w:tcPr>
          <w:p>
            <w:r>
              <w:rPr>
                <w:color w:val="202020"/>
                <w:sz w:val="19"/>
              </w:rPr>
              <w:t>1</w:t>
            </w:r>
          </w:p>
        </w:tc>
        <w:tc>
          <w:tcPr>
            <w:tcW w:type="dxa" w:w="4200"/>
          </w:tcPr>
          <w:p>
            <w:r>
              <w:rPr>
                <w:color w:val="202020"/>
                <w:sz w:val="19"/>
              </w:rPr>
              <w:t>Entra tenant ID</w:t>
            </w:r>
          </w:p>
        </w:tc>
        <w:tc>
          <w:tcPr>
            <w:tcW w:type="dxa" w:w="2440"/>
          </w:tcPr>
          <w:p>
            <w:r>
              <w:rPr>
                <w:color w:val="202020"/>
                <w:sz w:val="19"/>
              </w:rPr>
              <w:t>Entra administrator</w:t>
            </w:r>
          </w:p>
        </w:tc>
        <w:tc>
          <w:tcPr>
            <w:tcW w:type="dxa" w:w="2200"/>
          </w:tcPr>
          <w:p/>
        </w:tc>
      </w:tr>
      <w:tr>
        <w:tc>
          <w:tcPr>
            <w:tcW w:type="dxa" w:w="520"/>
            <w:shd w:val="clear" w:color="auto" w:fill="F7F9FC"/>
          </w:tcPr>
          <w:p>
            <w:r>
              <w:rPr>
                <w:color w:val="202020"/>
                <w:sz w:val="19"/>
              </w:rPr>
              <w:t>2</w:t>
            </w:r>
          </w:p>
        </w:tc>
        <w:tc>
          <w:tcPr>
            <w:tcW w:type="dxa" w:w="4200"/>
            <w:shd w:val="clear" w:color="auto" w:fill="F7F9FC"/>
          </w:tcPr>
          <w:p>
            <w:r>
              <w:rPr>
                <w:color w:val="202020"/>
                <w:sz w:val="19"/>
              </w:rPr>
              <w:t>App registration: client id + object id (one per connector)</w:t>
            </w:r>
          </w:p>
        </w:tc>
        <w:tc>
          <w:tcPr>
            <w:tcW w:type="dxa" w:w="2440"/>
            <w:shd w:val="clear" w:color="auto" w:fill="F7F9FC"/>
          </w:tcPr>
          <w:p>
            <w:r>
              <w:rPr>
                <w:color w:val="202020"/>
                <w:sz w:val="19"/>
              </w:rPr>
              <w:t>Entra administrator</w:t>
            </w:r>
          </w:p>
        </w:tc>
        <w:tc>
          <w:tcPr>
            <w:tcW w:type="dxa" w:w="2200"/>
            <w:shd w:val="clear" w:color="auto" w:fill="F7F9FC"/>
          </w:tcPr>
          <w:p/>
        </w:tc>
      </w:tr>
      <w:tr>
        <w:tc>
          <w:tcPr>
            <w:tcW w:type="dxa" w:w="520"/>
          </w:tcPr>
          <w:p>
            <w:r>
              <w:rPr>
                <w:color w:val="202020"/>
                <w:sz w:val="19"/>
              </w:rPr>
              <w:t>3</w:t>
            </w:r>
          </w:p>
        </w:tc>
        <w:tc>
          <w:tcPr>
            <w:tcW w:type="dxa" w:w="4200"/>
          </w:tcPr>
          <w:p>
            <w:r>
              <w:rPr>
                <w:color w:val="202020"/>
                <w:sz w:val="19"/>
              </w:rPr>
              <w:t>Admin consent granted for the three Graph app permissions (7.2)</w:t>
            </w:r>
          </w:p>
        </w:tc>
        <w:tc>
          <w:tcPr>
            <w:tcW w:type="dxa" w:w="2440"/>
          </w:tcPr>
          <w:p>
            <w:r>
              <w:rPr>
                <w:color w:val="202020"/>
                <w:sz w:val="19"/>
              </w:rPr>
              <w:t>Entra administrator</w:t>
            </w:r>
          </w:p>
        </w:tc>
        <w:tc>
          <w:tcPr>
            <w:tcW w:type="dxa" w:w="2200"/>
          </w:tcPr>
          <w:p/>
        </w:tc>
      </w:tr>
      <w:tr>
        <w:tc>
          <w:tcPr>
            <w:tcW w:type="dxa" w:w="520"/>
            <w:shd w:val="clear" w:color="auto" w:fill="F7F9FC"/>
          </w:tcPr>
          <w:p>
            <w:r>
              <w:rPr>
                <w:color w:val="202020"/>
                <w:sz w:val="19"/>
              </w:rPr>
              <w:t>4</w:t>
            </w:r>
          </w:p>
        </w:tc>
        <w:tc>
          <w:tcPr>
            <w:tcW w:type="dxa" w:w="4200"/>
            <w:shd w:val="clear" w:color="auto" w:fill="F7F9FC"/>
          </w:tcPr>
          <w:p>
            <w:r>
              <w:rPr>
                <w:color w:val="202020"/>
                <w:sz w:val="19"/>
              </w:rPr>
              <w:t>Auth method chosen: client secret OR certificate</w:t>
            </w:r>
          </w:p>
        </w:tc>
        <w:tc>
          <w:tcPr>
            <w:tcW w:type="dxa" w:w="2440"/>
            <w:shd w:val="clear" w:color="auto" w:fill="F7F9FC"/>
          </w:tcPr>
          <w:p>
            <w:r>
              <w:rPr>
                <w:color w:val="202020"/>
                <w:sz w:val="19"/>
              </w:rPr>
              <w:t>Security team</w:t>
            </w:r>
          </w:p>
        </w:tc>
        <w:tc>
          <w:tcPr>
            <w:tcW w:type="dxa" w:w="2200"/>
            <w:shd w:val="clear" w:color="auto" w:fill="F7F9FC"/>
          </w:tcPr>
          <w:p/>
        </w:tc>
      </w:tr>
      <w:tr>
        <w:tc>
          <w:tcPr>
            <w:tcW w:type="dxa" w:w="520"/>
          </w:tcPr>
          <w:p>
            <w:r>
              <w:rPr>
                <w:color w:val="202020"/>
                <w:sz w:val="19"/>
              </w:rPr>
              <w:t>5</w:t>
            </w:r>
          </w:p>
        </w:tc>
        <w:tc>
          <w:tcPr>
            <w:tcW w:type="dxa" w:w="4200"/>
          </w:tcPr>
          <w:p>
            <w:r>
              <w:rPr>
                <w:color w:val="202020"/>
                <w:sz w:val="19"/>
              </w:rPr>
              <w:t>Client secret location (Key Vault name / secret file) — NOT the value</w:t>
            </w:r>
          </w:p>
        </w:tc>
        <w:tc>
          <w:tcPr>
            <w:tcW w:type="dxa" w:w="2440"/>
          </w:tcPr>
          <w:p>
            <w:r>
              <w:rPr>
                <w:color w:val="202020"/>
                <w:sz w:val="19"/>
              </w:rPr>
              <w:t>Entra admin / KV team</w:t>
            </w:r>
          </w:p>
        </w:tc>
        <w:tc>
          <w:tcPr>
            <w:tcW w:type="dxa" w:w="2200"/>
          </w:tcPr>
          <w:p/>
        </w:tc>
      </w:tr>
      <w:tr>
        <w:tc>
          <w:tcPr>
            <w:tcW w:type="dxa" w:w="520"/>
            <w:shd w:val="clear" w:color="auto" w:fill="F7F9FC"/>
          </w:tcPr>
          <w:p>
            <w:r>
              <w:rPr>
                <w:color w:val="202020"/>
                <w:sz w:val="19"/>
              </w:rPr>
              <w:t>6</w:t>
            </w:r>
          </w:p>
        </w:tc>
        <w:tc>
          <w:tcPr>
            <w:tcW w:type="dxa" w:w="4200"/>
            <w:shd w:val="clear" w:color="auto" w:fill="F7F9FC"/>
          </w:tcPr>
          <w:p>
            <w:r>
              <w:rPr>
                <w:color w:val="202020"/>
                <w:sz w:val="19"/>
              </w:rPr>
              <w:t>Certificate thumbprint or PFX path (+ where the key lives)</w:t>
            </w:r>
          </w:p>
        </w:tc>
        <w:tc>
          <w:tcPr>
            <w:tcW w:type="dxa" w:w="2440"/>
            <w:shd w:val="clear" w:color="auto" w:fill="F7F9FC"/>
          </w:tcPr>
          <w:p>
            <w:r>
              <w:rPr>
                <w:color w:val="202020"/>
                <w:sz w:val="19"/>
              </w:rPr>
              <w:t>PKI team</w:t>
            </w:r>
          </w:p>
        </w:tc>
        <w:tc>
          <w:tcPr>
            <w:tcW w:type="dxa" w:w="2200"/>
            <w:shd w:val="clear" w:color="auto" w:fill="F7F9FC"/>
          </w:tcPr>
          <w:p/>
        </w:tc>
      </w:tr>
      <w:tr>
        <w:tc>
          <w:tcPr>
            <w:tcW w:type="dxa" w:w="520"/>
          </w:tcPr>
          <w:p>
            <w:r>
              <w:rPr>
                <w:color w:val="202020"/>
                <w:sz w:val="19"/>
              </w:rPr>
              <w:t>7</w:t>
            </w:r>
          </w:p>
        </w:tc>
        <w:tc>
          <w:tcPr>
            <w:tcW w:type="dxa" w:w="4200"/>
          </w:tcPr>
          <w:p>
            <w:r>
              <w:rPr>
                <w:color w:val="202020"/>
                <w:sz w:val="19"/>
              </w:rPr>
              <w:t>Cert public key uploaded to the app registration</w:t>
            </w:r>
          </w:p>
        </w:tc>
        <w:tc>
          <w:tcPr>
            <w:tcW w:type="dxa" w:w="2440"/>
          </w:tcPr>
          <w:p>
            <w:r>
              <w:rPr>
                <w:color w:val="202020"/>
                <w:sz w:val="19"/>
              </w:rPr>
              <w:t>Entra administrator</w:t>
            </w:r>
          </w:p>
        </w:tc>
        <w:tc>
          <w:tcPr>
            <w:tcW w:type="dxa" w:w="2200"/>
          </w:tcPr>
          <w:p/>
        </w:tc>
      </w:tr>
      <w:tr>
        <w:tc>
          <w:tcPr>
            <w:tcW w:type="dxa" w:w="520"/>
            <w:shd w:val="clear" w:color="auto" w:fill="F7F9FC"/>
          </w:tcPr>
          <w:p>
            <w:r>
              <w:rPr>
                <w:color w:val="202020"/>
                <w:sz w:val="19"/>
              </w:rPr>
              <w:t>8</w:t>
            </w:r>
          </w:p>
        </w:tc>
        <w:tc>
          <w:tcPr>
            <w:tcW w:type="dxa" w:w="4200"/>
            <w:shd w:val="clear" w:color="auto" w:fill="F7F9FC"/>
          </w:tcPr>
          <w:p>
            <w:r>
              <w:rPr>
                <w:color w:val="202020"/>
                <w:sz w:val="19"/>
              </w:rPr>
              <w:t>Key Vault URI + get access confirmed</w:t>
            </w:r>
          </w:p>
        </w:tc>
        <w:tc>
          <w:tcPr>
            <w:tcW w:type="dxa" w:w="2440"/>
            <w:shd w:val="clear" w:color="auto" w:fill="F7F9FC"/>
          </w:tcPr>
          <w:p>
            <w:r>
              <w:rPr>
                <w:color w:val="202020"/>
                <w:sz w:val="19"/>
              </w:rPr>
              <w:t>Key Vault team</w:t>
            </w:r>
          </w:p>
        </w:tc>
        <w:tc>
          <w:tcPr>
            <w:tcW w:type="dxa" w:w="2200"/>
            <w:shd w:val="clear" w:color="auto" w:fill="F7F9FC"/>
          </w:tcPr>
          <w:p/>
        </w:tc>
      </w:tr>
      <w:tr>
        <w:tc>
          <w:tcPr>
            <w:tcW w:type="dxa" w:w="520"/>
          </w:tcPr>
          <w:p>
            <w:r>
              <w:rPr>
                <w:color w:val="202020"/>
                <w:sz w:val="19"/>
              </w:rPr>
              <w:t>9</w:t>
            </w:r>
          </w:p>
        </w:tc>
        <w:tc>
          <w:tcPr>
            <w:tcW w:type="dxa" w:w="4200"/>
          </w:tcPr>
          <w:p>
            <w:r>
              <w:rPr>
                <w:color w:val="202020"/>
                <w:sz w:val="19"/>
              </w:rPr>
              <w:t>CONNECTOR_ID (per allocation) + CONNECTOR_NAME</w:t>
            </w:r>
          </w:p>
        </w:tc>
        <w:tc>
          <w:tcPr>
            <w:tcW w:type="dxa" w:w="2440"/>
          </w:tcPr>
          <w:p>
            <w:r>
              <w:rPr>
                <w:color w:val="202020"/>
                <w:sz w:val="19"/>
              </w:rPr>
              <w:t>Governance owner</w:t>
            </w:r>
          </w:p>
        </w:tc>
        <w:tc>
          <w:tcPr>
            <w:tcW w:type="dxa" w:w="2200"/>
          </w:tcPr>
          <w:p/>
        </w:tc>
      </w:tr>
      <w:tr>
        <w:tc>
          <w:tcPr>
            <w:tcW w:type="dxa" w:w="520"/>
            <w:shd w:val="clear" w:color="auto" w:fill="F7F9FC"/>
          </w:tcPr>
          <w:p>
            <w:r>
              <w:rPr>
                <w:color w:val="202020"/>
                <w:sz w:val="19"/>
              </w:rPr>
              <w:t>10</w:t>
            </w:r>
          </w:p>
        </w:tc>
        <w:tc>
          <w:tcPr>
            <w:tcW w:type="dxa" w:w="4200"/>
            <w:shd w:val="clear" w:color="auto" w:fill="F7F9FC"/>
          </w:tcPr>
          <w:p>
            <w:r>
              <w:rPr>
                <w:color w:val="202020"/>
                <w:sz w:val="19"/>
              </w:rPr>
              <w:t>Connection/shard count + item budget for this connector</w:t>
            </w:r>
          </w:p>
        </w:tc>
        <w:tc>
          <w:tcPr>
            <w:tcW w:type="dxa" w:w="2440"/>
            <w:shd w:val="clear" w:color="auto" w:fill="F7F9FC"/>
          </w:tcPr>
          <w:p>
            <w:r>
              <w:rPr>
                <w:color w:val="202020"/>
                <w:sz w:val="19"/>
              </w:rPr>
              <w:t>Governance owner</w:t>
            </w:r>
          </w:p>
        </w:tc>
        <w:tc>
          <w:tcPr>
            <w:tcW w:type="dxa" w:w="2200"/>
            <w:shd w:val="clear" w:color="auto" w:fill="F7F9FC"/>
          </w:tcPr>
          <w:p/>
        </w:tc>
      </w:tr>
      <w:tr>
        <w:tc>
          <w:tcPr>
            <w:tcW w:type="dxa" w:w="520"/>
          </w:tcPr>
          <w:p>
            <w:r>
              <w:rPr>
                <w:color w:val="202020"/>
                <w:sz w:val="19"/>
              </w:rPr>
              <w:t>11</w:t>
            </w:r>
          </w:p>
        </w:tc>
        <w:tc>
          <w:tcPr>
            <w:tcW w:type="dxa" w:w="4200"/>
          </w:tcPr>
          <w:p>
            <w:r>
              <w:rPr>
                <w:color w:val="202020"/>
                <w:sz w:val="19"/>
              </w:rPr>
              <w:t>Crawl window (from the stagger plan)</w:t>
            </w:r>
          </w:p>
        </w:tc>
        <w:tc>
          <w:tcPr>
            <w:tcW w:type="dxa" w:w="2440"/>
          </w:tcPr>
          <w:p>
            <w:r>
              <w:rPr>
                <w:color w:val="202020"/>
                <w:sz w:val="19"/>
              </w:rPr>
              <w:t>Governance owner</w:t>
            </w:r>
          </w:p>
        </w:tc>
        <w:tc>
          <w:tcPr>
            <w:tcW w:type="dxa" w:w="2200"/>
          </w:tcPr>
          <w:p/>
        </w:tc>
      </w:tr>
      <w:tr>
        <w:tc>
          <w:tcPr>
            <w:tcW w:type="dxa" w:w="520"/>
            <w:shd w:val="clear" w:color="auto" w:fill="F7F9FC"/>
          </w:tcPr>
          <w:p>
            <w:r>
              <w:rPr>
                <w:color w:val="202020"/>
                <w:sz w:val="19"/>
              </w:rPr>
              <w:t>12</w:t>
            </w:r>
          </w:p>
        </w:tc>
        <w:tc>
          <w:tcPr>
            <w:tcW w:type="dxa" w:w="4200"/>
            <w:shd w:val="clear" w:color="auto" w:fill="F7F9FC"/>
          </w:tcPr>
          <w:p>
            <w:r>
              <w:rPr>
                <w:color w:val="202020"/>
                <w:sz w:val="19"/>
              </w:rPr>
              <w:t>Source endpoint URL / instance URL</w:t>
            </w:r>
          </w:p>
        </w:tc>
        <w:tc>
          <w:tcPr>
            <w:tcW w:type="dxa" w:w="2440"/>
            <w:shd w:val="clear" w:color="auto" w:fill="F7F9FC"/>
          </w:tcPr>
          <w:p>
            <w:r>
              <w:rPr>
                <w:color w:val="202020"/>
                <w:sz w:val="19"/>
              </w:rPr>
              <w:t>Source administrator</w:t>
            </w:r>
          </w:p>
        </w:tc>
        <w:tc>
          <w:tcPr>
            <w:tcW w:type="dxa" w:w="2200"/>
            <w:shd w:val="clear" w:color="auto" w:fill="F7F9FC"/>
          </w:tcPr>
          <w:p/>
        </w:tc>
      </w:tr>
      <w:tr>
        <w:tc>
          <w:tcPr>
            <w:tcW w:type="dxa" w:w="520"/>
          </w:tcPr>
          <w:p>
            <w:r>
              <w:rPr>
                <w:color w:val="202020"/>
                <w:sz w:val="19"/>
              </w:rPr>
              <w:t>13</w:t>
            </w:r>
          </w:p>
        </w:tc>
        <w:tc>
          <w:tcPr>
            <w:tcW w:type="dxa" w:w="4200"/>
          </w:tcPr>
          <w:p>
            <w:r>
              <w:rPr>
                <w:color w:val="202020"/>
                <w:sz w:val="19"/>
              </w:rPr>
              <w:t>Source read-only integration credentials (location, not value)</w:t>
            </w:r>
          </w:p>
        </w:tc>
        <w:tc>
          <w:tcPr>
            <w:tcW w:type="dxa" w:w="2440"/>
          </w:tcPr>
          <w:p>
            <w:r>
              <w:rPr>
                <w:color w:val="202020"/>
                <w:sz w:val="19"/>
              </w:rPr>
              <w:t>Source administrator</w:t>
            </w:r>
          </w:p>
        </w:tc>
        <w:tc>
          <w:tcPr>
            <w:tcW w:type="dxa" w:w="2200"/>
          </w:tcPr>
          <w:p/>
        </w:tc>
      </w:tr>
      <w:tr>
        <w:tc>
          <w:tcPr>
            <w:tcW w:type="dxa" w:w="520"/>
            <w:shd w:val="clear" w:color="auto" w:fill="F7F9FC"/>
          </w:tcPr>
          <w:p>
            <w:r>
              <w:rPr>
                <w:color w:val="202020"/>
                <w:sz w:val="19"/>
              </w:rPr>
              <w:t>14</w:t>
            </w:r>
          </w:p>
        </w:tc>
        <w:tc>
          <w:tcPr>
            <w:tcW w:type="dxa" w:w="4200"/>
            <w:shd w:val="clear" w:color="auto" w:fill="F7F9FC"/>
          </w:tcPr>
          <w:p>
            <w:r>
              <w:rPr>
                <w:color w:val="202020"/>
                <w:sz w:val="19"/>
              </w:rPr>
              <w:t>Source-to-Entra principal mapping rule + group object ids</w:t>
            </w:r>
          </w:p>
        </w:tc>
        <w:tc>
          <w:tcPr>
            <w:tcW w:type="dxa" w:w="2440"/>
            <w:shd w:val="clear" w:color="auto" w:fill="F7F9FC"/>
          </w:tcPr>
          <w:p>
            <w:r>
              <w:rPr>
                <w:color w:val="202020"/>
                <w:sz w:val="19"/>
              </w:rPr>
              <w:t>Source admin + Entra admin</w:t>
            </w:r>
          </w:p>
        </w:tc>
        <w:tc>
          <w:tcPr>
            <w:tcW w:type="dxa" w:w="2200"/>
            <w:shd w:val="clear" w:color="auto" w:fill="F7F9FC"/>
          </w:tcPr>
          <w:p/>
        </w:tc>
      </w:tr>
      <w:tr>
        <w:tc>
          <w:tcPr>
            <w:tcW w:type="dxa" w:w="520"/>
          </w:tcPr>
          <w:p>
            <w:r>
              <w:rPr>
                <w:color w:val="202020"/>
                <w:sz w:val="19"/>
              </w:rPr>
              <w:t>15</w:t>
            </w:r>
          </w:p>
        </w:tc>
        <w:tc>
          <w:tcPr>
            <w:tcW w:type="dxa" w:w="4200"/>
          </w:tcPr>
          <w:p>
            <w:r>
              <w:rPr>
                <w:color w:val="202020"/>
                <w:sz w:val="19"/>
              </w:rPr>
              <w:t>Proxy URL + bypass list (if any)</w:t>
            </w:r>
          </w:p>
        </w:tc>
        <w:tc>
          <w:tcPr>
            <w:tcW w:type="dxa" w:w="2440"/>
          </w:tcPr>
          <w:p>
            <w:r>
              <w:rPr>
                <w:color w:val="202020"/>
                <w:sz w:val="19"/>
              </w:rPr>
              <w:t>Network team</w:t>
            </w:r>
          </w:p>
        </w:tc>
        <w:tc>
          <w:tcPr>
            <w:tcW w:type="dxa" w:w="2200"/>
          </w:tcPr>
          <w:p/>
        </w:tc>
      </w:tr>
      <w:tr>
        <w:tc>
          <w:tcPr>
            <w:tcW w:type="dxa" w:w="520"/>
            <w:shd w:val="clear" w:color="auto" w:fill="F7F9FC"/>
          </w:tcPr>
          <w:p>
            <w:r>
              <w:rPr>
                <w:color w:val="202020"/>
                <w:sz w:val="19"/>
              </w:rPr>
              <w:t>16</w:t>
            </w:r>
          </w:p>
        </w:tc>
        <w:tc>
          <w:tcPr>
            <w:tcW w:type="dxa" w:w="4200"/>
            <w:shd w:val="clear" w:color="auto" w:fill="F7F9FC"/>
          </w:tcPr>
          <w:p>
            <w:r>
              <w:rPr>
                <w:color w:val="202020"/>
                <w:sz w:val="19"/>
              </w:rPr>
              <w:t>TLS inspection CA bundle path (if inspected)</w:t>
            </w:r>
          </w:p>
        </w:tc>
        <w:tc>
          <w:tcPr>
            <w:tcW w:type="dxa" w:w="2440"/>
            <w:shd w:val="clear" w:color="auto" w:fill="F7F9FC"/>
          </w:tcPr>
          <w:p>
            <w:r>
              <w:rPr>
                <w:color w:val="202020"/>
                <w:sz w:val="19"/>
              </w:rPr>
              <w:t>Network / security team</w:t>
            </w:r>
          </w:p>
        </w:tc>
        <w:tc>
          <w:tcPr>
            <w:tcW w:type="dxa" w:w="2200"/>
            <w:shd w:val="clear" w:color="auto" w:fill="F7F9FC"/>
          </w:tcPr>
          <w:p/>
        </w:tc>
      </w:tr>
      <w:tr>
        <w:tc>
          <w:tcPr>
            <w:tcW w:type="dxa" w:w="520"/>
          </w:tcPr>
          <w:p>
            <w:r>
              <w:rPr>
                <w:color w:val="202020"/>
                <w:sz w:val="19"/>
              </w:rPr>
              <w:t>17</w:t>
            </w:r>
          </w:p>
        </w:tc>
        <w:tc>
          <w:tcPr>
            <w:tcW w:type="dxa" w:w="4200"/>
          </w:tcPr>
          <w:p>
            <w:r>
              <w:rPr>
                <w:color w:val="202020"/>
                <w:sz w:val="19"/>
              </w:rPr>
              <w:t>Outbound 443 firewall rules confirmed</w:t>
            </w:r>
          </w:p>
        </w:tc>
        <w:tc>
          <w:tcPr>
            <w:tcW w:type="dxa" w:w="2440"/>
          </w:tcPr>
          <w:p>
            <w:r>
              <w:rPr>
                <w:color w:val="202020"/>
                <w:sz w:val="19"/>
              </w:rPr>
              <w:t>Network team</w:t>
            </w:r>
          </w:p>
        </w:tc>
        <w:tc>
          <w:tcPr>
            <w:tcW w:type="dxa" w:w="2200"/>
          </w:tcPr>
          <w:p/>
        </w:tc>
      </w:tr>
      <w:tr>
        <w:tc>
          <w:tcPr>
            <w:tcW w:type="dxa" w:w="520"/>
            <w:shd w:val="clear" w:color="auto" w:fill="F7F9FC"/>
          </w:tcPr>
          <w:p>
            <w:r>
              <w:rPr>
                <w:color w:val="202020"/>
                <w:sz w:val="19"/>
              </w:rPr>
              <w:t>18</w:t>
            </w:r>
          </w:p>
        </w:tc>
        <w:tc>
          <w:tcPr>
            <w:tcW w:type="dxa" w:w="4200"/>
            <w:shd w:val="clear" w:color="auto" w:fill="F7F9FC"/>
          </w:tcPr>
          <w:p>
            <w:r>
              <w:rPr>
                <w:color w:val="202020"/>
                <w:sz w:val="19"/>
              </w:rPr>
              <w:t>Windows Server host(s) + .NET 10 runtime present</w:t>
            </w:r>
          </w:p>
        </w:tc>
        <w:tc>
          <w:tcPr>
            <w:tcW w:type="dxa" w:w="2440"/>
            <w:shd w:val="clear" w:color="auto" w:fill="F7F9FC"/>
          </w:tcPr>
          <w:p>
            <w:r>
              <w:rPr>
                <w:color w:val="202020"/>
                <w:sz w:val="19"/>
              </w:rPr>
              <w:t>Server team</w:t>
            </w:r>
          </w:p>
        </w:tc>
        <w:tc>
          <w:tcPr>
            <w:tcW w:type="dxa" w:w="2200"/>
            <w:shd w:val="clear" w:color="auto" w:fill="F7F9FC"/>
          </w:tcPr>
          <w:p/>
        </w:tc>
      </w:tr>
      <w:tr>
        <w:tc>
          <w:tcPr>
            <w:tcW w:type="dxa" w:w="520"/>
          </w:tcPr>
          <w:p>
            <w:r>
              <w:rPr>
                <w:color w:val="202020"/>
                <w:sz w:val="19"/>
              </w:rPr>
              <w:t>19</w:t>
            </w:r>
          </w:p>
        </w:tc>
        <w:tc>
          <w:tcPr>
            <w:tcW w:type="dxa" w:w="4200"/>
          </w:tcPr>
          <w:p>
            <w:r>
              <w:rPr>
                <w:color w:val="202020"/>
                <w:sz w:val="19"/>
              </w:rPr>
              <w:t>Service account (gMSA) with logon-as-a-service</w:t>
            </w:r>
          </w:p>
        </w:tc>
        <w:tc>
          <w:tcPr>
            <w:tcW w:type="dxa" w:w="2440"/>
          </w:tcPr>
          <w:p>
            <w:r>
              <w:rPr>
                <w:color w:val="202020"/>
                <w:sz w:val="19"/>
              </w:rPr>
              <w:t>Active Directory team</w:t>
            </w:r>
          </w:p>
        </w:tc>
        <w:tc>
          <w:tcPr>
            <w:tcW w:type="dxa" w:w="2200"/>
          </w:tcPr>
          <w:p/>
        </w:tc>
      </w:tr>
      <w:tr>
        <w:tc>
          <w:tcPr>
            <w:tcW w:type="dxa" w:w="520"/>
            <w:shd w:val="clear" w:color="auto" w:fill="F7F9FC"/>
          </w:tcPr>
          <w:p>
            <w:r>
              <w:rPr>
                <w:color w:val="202020"/>
                <w:sz w:val="19"/>
              </w:rPr>
              <w:t>20</w:t>
            </w:r>
          </w:p>
        </w:tc>
        <w:tc>
          <w:tcPr>
            <w:tcW w:type="dxa" w:w="4200"/>
            <w:shd w:val="clear" w:color="auto" w:fill="F7F9FC"/>
          </w:tcPr>
          <w:p>
            <w:r>
              <w:rPr>
                <w:color w:val="202020"/>
                <w:sz w:val="19"/>
              </w:rPr>
              <w:t>SQL connection string + login + AG listener (if SQL/HA)</w:t>
            </w:r>
          </w:p>
        </w:tc>
        <w:tc>
          <w:tcPr>
            <w:tcW w:type="dxa" w:w="2440"/>
            <w:shd w:val="clear" w:color="auto" w:fill="F7F9FC"/>
          </w:tcPr>
          <w:p>
            <w:r>
              <w:rPr>
                <w:color w:val="202020"/>
                <w:sz w:val="19"/>
              </w:rPr>
              <w:t>Database administrator</w:t>
            </w:r>
          </w:p>
        </w:tc>
        <w:tc>
          <w:tcPr>
            <w:tcW w:type="dxa" w:w="2200"/>
            <w:shd w:val="clear" w:color="auto" w:fill="F7F9FC"/>
          </w:tcPr>
          <w:p/>
        </w:tc>
      </w:tr>
      <w:tr>
        <w:tc>
          <w:tcPr>
            <w:tcW w:type="dxa" w:w="520"/>
          </w:tcPr>
          <w:p>
            <w:r>
              <w:rPr>
                <w:color w:val="202020"/>
                <w:sz w:val="19"/>
              </w:rPr>
              <w:t>21</w:t>
            </w:r>
          </w:p>
        </w:tc>
        <w:tc>
          <w:tcPr>
            <w:tcW w:type="dxa" w:w="4200"/>
          </w:tcPr>
          <w:p>
            <w:r>
              <w:rPr>
                <w:color w:val="202020"/>
                <w:sz w:val="19"/>
              </w:rPr>
              <w:t>HA plan: single node or active-active (node count)</w:t>
            </w:r>
          </w:p>
        </w:tc>
        <w:tc>
          <w:tcPr>
            <w:tcW w:type="dxa" w:w="2440"/>
          </w:tcPr>
          <w:p>
            <w:r>
              <w:rPr>
                <w:color w:val="202020"/>
                <w:sz w:val="19"/>
              </w:rPr>
              <w:t>Platform team</w:t>
            </w:r>
          </w:p>
        </w:tc>
        <w:tc>
          <w:tcPr>
            <w:tcW w:type="dxa" w:w="2200"/>
          </w:tcPr>
          <w:p/>
        </w:tc>
      </w:tr>
      <w:tr>
        <w:tc>
          <w:tcPr>
            <w:tcW w:type="dxa" w:w="520"/>
            <w:shd w:val="clear" w:color="auto" w:fill="F7F9FC"/>
          </w:tcPr>
          <w:p>
            <w:r>
              <w:rPr>
                <w:color w:val="202020"/>
                <w:sz w:val="19"/>
              </w:rPr>
              <w:t>22</w:t>
            </w:r>
          </w:p>
        </w:tc>
        <w:tc>
          <w:tcPr>
            <w:tcW w:type="dxa" w:w="4200"/>
            <w:shd w:val="clear" w:color="auto" w:fill="F7F9FC"/>
          </w:tcPr>
          <w:p>
            <w:r>
              <w:rPr>
                <w:color w:val="202020"/>
                <w:sz w:val="19"/>
              </w:rPr>
              <w:t>DEADLETTER_PAYLOAD_MODE + CLASSIFICATION policy</w:t>
            </w:r>
          </w:p>
        </w:tc>
        <w:tc>
          <w:tcPr>
            <w:tcW w:type="dxa" w:w="2440"/>
            <w:shd w:val="clear" w:color="auto" w:fill="F7F9FC"/>
          </w:tcPr>
          <w:p>
            <w:r>
              <w:rPr>
                <w:color w:val="202020"/>
                <w:sz w:val="19"/>
              </w:rPr>
              <w:t>Security / compliance</w:t>
            </w:r>
          </w:p>
        </w:tc>
        <w:tc>
          <w:tcPr>
            <w:tcW w:type="dxa" w:w="2200"/>
            <w:shd w:val="clear" w:color="auto" w:fill="F7F9FC"/>
          </w:tcPr>
          <w:p/>
        </w:tc>
      </w:tr>
      <w:tr>
        <w:tc>
          <w:tcPr>
            <w:tcW w:type="dxa" w:w="520"/>
          </w:tcPr>
          <w:p>
            <w:r>
              <w:rPr>
                <w:color w:val="202020"/>
                <w:sz w:val="19"/>
              </w:rPr>
              <w:t>23</w:t>
            </w:r>
          </w:p>
        </w:tc>
        <w:tc>
          <w:tcPr>
            <w:tcW w:type="dxa" w:w="4200"/>
          </w:tcPr>
          <w:p>
            <w:r>
              <w:rPr>
                <w:color w:val="202020"/>
                <w:sz w:val="19"/>
              </w:rPr>
              <w:t>HEALTH_PORT + monitoring/SIEM targets + on-call routing</w:t>
            </w:r>
          </w:p>
        </w:tc>
        <w:tc>
          <w:tcPr>
            <w:tcW w:type="dxa" w:w="2440"/>
          </w:tcPr>
          <w:p>
            <w:r>
              <w:rPr>
                <w:color w:val="202020"/>
                <w:sz w:val="19"/>
              </w:rPr>
              <w:t>Monitoring team</w:t>
            </w:r>
          </w:p>
        </w:tc>
        <w:tc>
          <w:tcPr>
            <w:tcW w:type="dxa" w:w="2200"/>
          </w:tcP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This checklist is deliberately generic to all five connectors. Your specific connector's guide adds its own source-specific rows (for example financial-field mode, content exclusions, attachment ingestion or filter files) — complete both before deploying.</w:t>
            </w:r>
          </w:p>
        </w:tc>
      </w:tr>
    </w:tbl>
    <w:p>
      <w:pPr>
        <w:spacing w:after="40"/>
      </w:pPr>
    </w:p>
    <w:p>
      <w:r>
        <w:br w:type="page"/>
      </w:r>
    </w:p>
    <w:p>
      <w:pPr>
        <w:pStyle w:val="Heading1"/>
      </w:pPr>
      <w:r>
        <w:rPr>
          <w:color w:val="1F3864"/>
        </w:rPr>
        <w:t>13. Master glossary</w:t>
      </w:r>
    </w:p>
    <w:p>
      <w:pPr>
        <w:spacing w:after="200"/>
      </w:pPr>
      <w:r>
        <w:rPr>
          <w:color w:val="595959"/>
          <w:sz w:val="23"/>
        </w:rPr>
        <w:t>Every shared term, defined plainly (what it is) and operationally (why it matters to you). Grouped loosely from Copilot concepts, through Graph, identity, the chassis, security and operations.</w:t>
      </w:r>
    </w:p>
    <w:p>
      <w:pPr>
        <w:spacing w:after="20"/>
        <w:keepNext/>
      </w:pPr>
      <w:r>
        <w:rPr>
          <w:b/>
          <w:color w:val="1F3864"/>
          <w:sz w:val="22"/>
        </w:rPr>
        <w:t>Microsoft 365 Copilot</w:t>
      </w:r>
    </w:p>
    <w:p>
      <w:pPr>
        <w:spacing w:after="20"/>
        <w:ind w:left="240"/>
      </w:pPr>
      <w:r>
        <w:rPr>
          <w:b/>
          <w:color w:val="595959"/>
          <w:sz w:val="19"/>
        </w:rPr>
        <w:t xml:space="preserve">What it is  </w:t>
      </w:r>
      <w:r>
        <w:rPr>
          <w:color w:val="202020"/>
          <w:sz w:val="20"/>
        </w:rPr>
        <w:t>The AI assistant in Microsoft 365 that answers questions by retrieving permitted content from the organisation's index and reasoning over it.</w:t>
      </w:r>
    </w:p>
    <w:p>
      <w:pPr>
        <w:spacing w:after="160"/>
        <w:ind w:left="240"/>
      </w:pPr>
      <w:r>
        <w:rPr>
          <w:b/>
          <w:color w:val="595959"/>
          <w:sz w:val="19"/>
        </w:rPr>
        <w:t xml:space="preserve">Why it matters  </w:t>
      </w:r>
      <w:r>
        <w:rPr>
          <w:color w:val="202020"/>
          <w:sz w:val="20"/>
        </w:rPr>
        <w:t>Copilot is the consumer of everything your connector ingests; it can only use content that is indexed and that the asking user is allowed to see.</w:t>
      </w:r>
    </w:p>
    <w:p>
      <w:pPr>
        <w:spacing w:after="20"/>
        <w:keepNext/>
      </w:pPr>
      <w:r>
        <w:rPr>
          <w:b/>
          <w:color w:val="1F3864"/>
          <w:sz w:val="22"/>
        </w:rPr>
        <w:t>Grounding</w:t>
      </w:r>
    </w:p>
    <w:p>
      <w:pPr>
        <w:spacing w:after="20"/>
        <w:ind w:left="240"/>
      </w:pPr>
      <w:r>
        <w:rPr>
          <w:b/>
          <w:color w:val="595959"/>
          <w:sz w:val="19"/>
        </w:rPr>
        <w:t xml:space="preserve">What it is  </w:t>
      </w:r>
      <w:r>
        <w:rPr>
          <w:color w:val="202020"/>
          <w:sz w:val="20"/>
        </w:rPr>
        <w:t>Answering from real, retrieved, permitted content rather than the language model's memory.</w:t>
      </w:r>
    </w:p>
    <w:p>
      <w:pPr>
        <w:spacing w:after="160"/>
        <w:ind w:left="240"/>
      </w:pPr>
      <w:r>
        <w:rPr>
          <w:b/>
          <w:color w:val="595959"/>
          <w:sz w:val="19"/>
        </w:rPr>
        <w:t xml:space="preserve">Why it matters  </w:t>
      </w:r>
      <w:r>
        <w:rPr>
          <w:color w:val="202020"/>
          <w:sz w:val="20"/>
        </w:rPr>
        <w:t>Your connector's items become grounding evidence — this is why Copilot can cite an external record instead of guessing.</w:t>
      </w:r>
    </w:p>
    <w:p>
      <w:pPr>
        <w:spacing w:after="20"/>
        <w:keepNext/>
      </w:pPr>
      <w:r>
        <w:rPr>
          <w:b/>
          <w:color w:val="1F3864"/>
          <w:sz w:val="22"/>
        </w:rPr>
        <w:t>Semantic index</w:t>
      </w:r>
    </w:p>
    <w:p>
      <w:pPr>
        <w:spacing w:after="20"/>
        <w:ind w:left="240"/>
      </w:pPr>
      <w:r>
        <w:rPr>
          <w:b/>
          <w:color w:val="595959"/>
          <w:sz w:val="19"/>
        </w:rPr>
        <w:t xml:space="preserve">What it is  </w:t>
      </w:r>
      <w:r>
        <w:rPr>
          <w:color w:val="202020"/>
          <w:sz w:val="20"/>
        </w:rPr>
        <w:t>Microsoft's meaning-aware search index that matches on intent, not just keywords, and feeds Copilot grounding.</w:t>
      </w:r>
    </w:p>
    <w:p>
      <w:pPr>
        <w:spacing w:after="160"/>
        <w:ind w:left="240"/>
      </w:pPr>
      <w:r>
        <w:rPr>
          <w:b/>
          <w:color w:val="595959"/>
          <w:sz w:val="19"/>
        </w:rPr>
        <w:t xml:space="preserve">Why it matters  </w:t>
      </w:r>
      <w:r>
        <w:rPr>
          <w:color w:val="202020"/>
          <w:sz w:val="20"/>
        </w:rPr>
        <w:t>External items your connector pushes join this index alongside native Microsoft 365 content.</w:t>
      </w:r>
    </w:p>
    <w:p>
      <w:pPr>
        <w:spacing w:after="20"/>
        <w:keepNext/>
      </w:pPr>
      <w:r>
        <w:rPr>
          <w:b/>
          <w:color w:val="1F3864"/>
          <w:sz w:val="22"/>
        </w:rPr>
        <w:t>Search index</w:t>
      </w:r>
    </w:p>
    <w:p>
      <w:pPr>
        <w:spacing w:after="20"/>
        <w:ind w:left="240"/>
      </w:pPr>
      <w:r>
        <w:rPr>
          <w:b/>
          <w:color w:val="595959"/>
          <w:sz w:val="19"/>
        </w:rPr>
        <w:t xml:space="preserve">What it is  </w:t>
      </w:r>
      <w:r>
        <w:rPr>
          <w:color w:val="202020"/>
          <w:sz w:val="20"/>
        </w:rPr>
        <w:t>The keyword/metadata index behind Microsoft Search.</w:t>
      </w:r>
    </w:p>
    <w:p>
      <w:pPr>
        <w:spacing w:after="160"/>
        <w:ind w:left="240"/>
      </w:pPr>
      <w:r>
        <w:rPr>
          <w:b/>
          <w:color w:val="595959"/>
          <w:sz w:val="19"/>
        </w:rPr>
        <w:t xml:space="preserve">Why it matters  </w:t>
      </w:r>
      <w:r>
        <w:rPr>
          <w:color w:val="202020"/>
          <w:sz w:val="20"/>
        </w:rPr>
        <w:t>Newly ingested items are searchable here after Microsoft finishes indexing — a short, asynchronous delay after your connector reports success.</w:t>
      </w:r>
    </w:p>
    <w:p>
      <w:pPr>
        <w:spacing w:after="20"/>
        <w:keepNext/>
      </w:pPr>
      <w:r>
        <w:rPr>
          <w:b/>
          <w:color w:val="1F3864"/>
          <w:sz w:val="22"/>
        </w:rPr>
        <w:t>Microsoft Graph</w:t>
      </w:r>
    </w:p>
    <w:p>
      <w:pPr>
        <w:spacing w:after="20"/>
        <w:ind w:left="240"/>
      </w:pPr>
      <w:r>
        <w:rPr>
          <w:b/>
          <w:color w:val="595959"/>
          <w:sz w:val="19"/>
        </w:rPr>
        <w:t xml:space="preserve">What it is  </w:t>
      </w:r>
      <w:r>
        <w:rPr>
          <w:color w:val="202020"/>
          <w:sz w:val="20"/>
        </w:rPr>
        <w:t>The single HTTPS REST API for Microsoft 365; the connector uses its connectors endpoints.</w:t>
      </w:r>
    </w:p>
    <w:p>
      <w:pPr>
        <w:spacing w:after="160"/>
        <w:ind w:left="240"/>
      </w:pPr>
      <w:r>
        <w:rPr>
          <w:b/>
          <w:color w:val="595959"/>
          <w:sz w:val="19"/>
        </w:rPr>
        <w:t xml:space="preserve">Why it matters  </w:t>
      </w:r>
      <w:r>
        <w:rPr>
          <w:color w:val="202020"/>
          <w:sz w:val="20"/>
        </w:rPr>
        <w:t>Every connection, schema and item operation is a Graph call — authenticated with a token and subject to throttling.</w:t>
      </w:r>
    </w:p>
    <w:p>
      <w:pPr>
        <w:spacing w:after="20"/>
        <w:keepNext/>
      </w:pPr>
      <w:r>
        <w:rPr>
          <w:b/>
          <w:color w:val="1F3864"/>
          <w:sz w:val="22"/>
        </w:rPr>
        <w:t>External connection</w:t>
      </w:r>
    </w:p>
    <w:p>
      <w:pPr>
        <w:spacing w:after="20"/>
        <w:ind w:left="240"/>
      </w:pPr>
      <w:r>
        <w:rPr>
          <w:b/>
          <w:color w:val="595959"/>
          <w:sz w:val="19"/>
        </w:rPr>
        <w:t xml:space="preserve">What it is  </w:t>
      </w:r>
      <w:r>
        <w:rPr>
          <w:color w:val="202020"/>
          <w:sz w:val="20"/>
        </w:rPr>
        <w:t>The named container (id set by CONNECTOR_ID) that holds a connector's items in the tenant; visible in the M365 admin center.</w:t>
      </w:r>
    </w:p>
    <w:p>
      <w:pPr>
        <w:spacing w:after="160"/>
        <w:ind w:left="240"/>
      </w:pPr>
      <w:r>
        <w:rPr>
          <w:b/>
          <w:color w:val="595959"/>
          <w:sz w:val="19"/>
        </w:rPr>
        <w:t xml:space="preserve">Why it matters  </w:t>
      </w:r>
      <w:r>
        <w:rPr>
          <w:color w:val="202020"/>
          <w:sz w:val="20"/>
        </w:rPr>
        <w:t>A connector has one, or several when sharded; each counts against the 30-per-tenant limit.</w:t>
      </w:r>
    </w:p>
    <w:p>
      <w:pPr>
        <w:spacing w:after="20"/>
        <w:keepNext/>
      </w:pPr>
      <w:r>
        <w:rPr>
          <w:b/>
          <w:color w:val="1F3864"/>
          <w:sz w:val="22"/>
        </w:rPr>
        <w:t>External item</w:t>
      </w:r>
    </w:p>
    <w:p>
      <w:pPr>
        <w:spacing w:after="20"/>
        <w:ind w:left="240"/>
      </w:pPr>
      <w:r>
        <w:rPr>
          <w:b/>
          <w:color w:val="595959"/>
          <w:sz w:val="19"/>
        </w:rPr>
        <w:t xml:space="preserve">What it is  </w:t>
      </w:r>
      <w:r>
        <w:rPr>
          <w:color w:val="202020"/>
          <w:sz w:val="20"/>
        </w:rPr>
        <w:t>One source record turned into an indexed unit: id, properties, content and ACL.</w:t>
      </w:r>
    </w:p>
    <w:p>
      <w:pPr>
        <w:spacing w:after="160"/>
        <w:ind w:left="240"/>
      </w:pPr>
      <w:r>
        <w:rPr>
          <w:b/>
          <w:color w:val="595959"/>
          <w:sz w:val="19"/>
        </w:rPr>
        <w:t xml:space="preserve">Why it matters  </w:t>
      </w:r>
      <w:r>
        <w:rPr>
          <w:color w:val="202020"/>
          <w:sz w:val="20"/>
        </w:rPr>
        <w:t>This is the atom the connector pushes and Copilot retrieves; its ACL is what makes results security-trimmed.</w:t>
      </w:r>
    </w:p>
    <w:p>
      <w:pPr>
        <w:spacing w:after="20"/>
        <w:keepNext/>
      </w:pPr>
      <w:r>
        <w:rPr>
          <w:b/>
          <w:color w:val="1F3864"/>
          <w:sz w:val="22"/>
        </w:rPr>
        <w:t>Schema / property</w:t>
      </w:r>
    </w:p>
    <w:p>
      <w:pPr>
        <w:spacing w:after="20"/>
        <w:ind w:left="240"/>
      </w:pPr>
      <w:r>
        <w:rPr>
          <w:b/>
          <w:color w:val="595959"/>
          <w:sz w:val="19"/>
        </w:rPr>
        <w:t xml:space="preserve">What it is  </w:t>
      </w:r>
      <w:r>
        <w:rPr>
          <w:color w:val="202020"/>
          <w:sz w:val="20"/>
        </w:rPr>
        <w:t>The declared shape of items in a connection: up to 128 typed properties, each flagged searchable / queryable / retrievable / refinable.</w:t>
      </w:r>
    </w:p>
    <w:p>
      <w:pPr>
        <w:spacing w:after="160"/>
        <w:ind w:left="240"/>
      </w:pPr>
      <w:r>
        <w:rPr>
          <w:b/>
          <w:color w:val="595959"/>
          <w:sz w:val="19"/>
        </w:rPr>
        <w:t xml:space="preserve">Why it matters  </w:t>
      </w:r>
      <w:r>
        <w:rPr>
          <w:color w:val="202020"/>
          <w:sz w:val="20"/>
        </w:rPr>
        <w:t>Schema is provisioned asynchronously, cannot be deleted, and refinable flags cannot be added later — so schema changes are deliberate, planned acts.</w:t>
      </w:r>
    </w:p>
    <w:p>
      <w:pPr>
        <w:spacing w:after="20"/>
        <w:keepNext/>
      </w:pPr>
      <w:r>
        <w:rPr>
          <w:b/>
          <w:color w:val="1F3864"/>
          <w:sz w:val="22"/>
        </w:rPr>
        <w:t>$batch</w:t>
      </w:r>
    </w:p>
    <w:p>
      <w:pPr>
        <w:spacing w:after="20"/>
        <w:ind w:left="240"/>
      </w:pPr>
      <w:r>
        <w:rPr>
          <w:b/>
          <w:color w:val="595959"/>
          <w:sz w:val="19"/>
        </w:rPr>
        <w:t xml:space="preserve">What it is  </w:t>
      </w:r>
      <w:r>
        <w:rPr>
          <w:color w:val="202020"/>
          <w:sz w:val="20"/>
        </w:rPr>
        <w:t>A Graph endpoint that carries up to 20 sub-requests in one call.</w:t>
      </w:r>
    </w:p>
    <w:p>
      <w:pPr>
        <w:spacing w:after="160"/>
        <w:ind w:left="240"/>
      </w:pPr>
      <w:r>
        <w:rPr>
          <w:b/>
          <w:color w:val="595959"/>
          <w:sz w:val="19"/>
        </w:rPr>
        <w:t xml:space="preserve">Why it matters  </w:t>
      </w:r>
      <w:r>
        <w:rPr>
          <w:color w:val="202020"/>
          <w:sz w:val="20"/>
        </w:rPr>
        <w:t>It cuts round-trips but not throughput — each sub-request still counts against throttling limits.</w:t>
      </w:r>
    </w:p>
    <w:p>
      <w:pPr>
        <w:spacing w:after="20"/>
        <w:keepNext/>
      </w:pPr>
      <w:r>
        <w:rPr>
          <w:b/>
          <w:color w:val="1F3864"/>
          <w:sz w:val="22"/>
        </w:rPr>
        <w:t>ACL (access-control list)</w:t>
      </w:r>
    </w:p>
    <w:p>
      <w:pPr>
        <w:spacing w:after="20"/>
        <w:ind w:left="240"/>
      </w:pPr>
      <w:r>
        <w:rPr>
          <w:b/>
          <w:color w:val="595959"/>
          <w:sz w:val="19"/>
        </w:rPr>
        <w:t xml:space="preserve">What it is  </w:t>
      </w:r>
      <w:r>
        <w:rPr>
          <w:color w:val="202020"/>
          <w:sz w:val="20"/>
        </w:rPr>
        <w:t>The per-item list of grant/deny entries over principals that Copilot enforces at query time.</w:t>
      </w:r>
    </w:p>
    <w:p>
      <w:pPr>
        <w:spacing w:after="160"/>
        <w:ind w:left="240"/>
      </w:pPr>
      <w:r>
        <w:rPr>
          <w:b/>
          <w:color w:val="595959"/>
          <w:sz w:val="19"/>
        </w:rPr>
        <w:t xml:space="preserve">Why it matters  </w:t>
      </w:r>
      <w:r>
        <w:rPr>
          <w:color w:val="202020"/>
          <w:sz w:val="20"/>
        </w:rPr>
        <w:t>Get it right and results are correctly trimmed; get it wrong and you over-share (leak) or under-share (hide).</w:t>
      </w:r>
    </w:p>
    <w:p>
      <w:pPr>
        <w:spacing w:after="20"/>
        <w:keepNext/>
      </w:pPr>
      <w:r>
        <w:rPr>
          <w:b/>
          <w:color w:val="1F3864"/>
          <w:sz w:val="22"/>
        </w:rPr>
        <w:t>Principal</w:t>
      </w:r>
    </w:p>
    <w:p>
      <w:pPr>
        <w:spacing w:after="20"/>
        <w:ind w:left="240"/>
      </w:pPr>
      <w:r>
        <w:rPr>
          <w:b/>
          <w:color w:val="595959"/>
          <w:sz w:val="19"/>
        </w:rPr>
        <w:t xml:space="preserve">What it is  </w:t>
      </w:r>
      <w:r>
        <w:rPr>
          <w:color w:val="202020"/>
          <w:sz w:val="20"/>
        </w:rPr>
        <w:t>An identity that can be granted access: a user or a group, each with a stable Entra object id.</w:t>
      </w:r>
    </w:p>
    <w:p>
      <w:pPr>
        <w:spacing w:after="160"/>
        <w:ind w:left="240"/>
      </w:pPr>
      <w:r>
        <w:rPr>
          <w:b/>
          <w:color w:val="595959"/>
          <w:sz w:val="19"/>
        </w:rPr>
        <w:t xml:space="preserve">Why it matters  </w:t>
      </w:r>
      <w:r>
        <w:rPr>
          <w:color w:val="202020"/>
          <w:sz w:val="20"/>
        </w:rPr>
        <w:t>Source permissions only work once expressed as Entra principals — the ACL refers to principals by object id.</w:t>
      </w:r>
    </w:p>
    <w:p>
      <w:pPr>
        <w:spacing w:after="20"/>
        <w:keepNext/>
      </w:pPr>
      <w:r>
        <w:rPr>
          <w:b/>
          <w:color w:val="1F3864"/>
          <w:sz w:val="22"/>
        </w:rPr>
        <w:t>Microsoft Entra ID</w:t>
      </w:r>
    </w:p>
    <w:p>
      <w:pPr>
        <w:spacing w:after="20"/>
        <w:ind w:left="240"/>
      </w:pPr>
      <w:r>
        <w:rPr>
          <w:b/>
          <w:color w:val="595959"/>
          <w:sz w:val="19"/>
        </w:rPr>
        <w:t xml:space="preserve">What it is  </w:t>
      </w:r>
      <w:r>
        <w:rPr>
          <w:color w:val="202020"/>
          <w:sz w:val="20"/>
        </w:rPr>
        <w:t>Microsoft 365's identity directory (formerly Azure AD).</w:t>
      </w:r>
    </w:p>
    <w:p>
      <w:pPr>
        <w:spacing w:after="160"/>
        <w:ind w:left="240"/>
      </w:pPr>
      <w:r>
        <w:rPr>
          <w:b/>
          <w:color w:val="595959"/>
          <w:sz w:val="19"/>
        </w:rPr>
        <w:t xml:space="preserve">Why it matters  </w:t>
      </w:r>
      <w:r>
        <w:rPr>
          <w:color w:val="202020"/>
          <w:sz w:val="20"/>
        </w:rPr>
        <w:t>It defines the users and groups your ACLs reference and the app registration your connector authenticates as.</w:t>
      </w:r>
    </w:p>
    <w:p>
      <w:pPr>
        <w:spacing w:after="20"/>
        <w:keepNext/>
      </w:pPr>
      <w:r>
        <w:rPr>
          <w:b/>
          <w:color w:val="1F3864"/>
          <w:sz w:val="22"/>
        </w:rPr>
        <w:t>Tenant</w:t>
      </w:r>
    </w:p>
    <w:p>
      <w:pPr>
        <w:spacing w:after="20"/>
        <w:ind w:left="240"/>
      </w:pPr>
      <w:r>
        <w:rPr>
          <w:b/>
          <w:color w:val="595959"/>
          <w:sz w:val="19"/>
        </w:rPr>
        <w:t xml:space="preserve">What it is  </w:t>
      </w:r>
      <w:r>
        <w:rPr>
          <w:color w:val="202020"/>
          <w:sz w:val="20"/>
        </w:rPr>
        <w:t>Your organisation's single instance of Microsoft 365 and its Entra directory.</w:t>
      </w:r>
    </w:p>
    <w:p>
      <w:pPr>
        <w:spacing w:after="160"/>
        <w:ind w:left="240"/>
      </w:pPr>
      <w:r>
        <w:rPr>
          <w:b/>
          <w:color w:val="595959"/>
          <w:sz w:val="19"/>
        </w:rPr>
        <w:t xml:space="preserve">Why it matters  </w:t>
      </w:r>
      <w:r>
        <w:rPr>
          <w:color w:val="202020"/>
          <w:sz w:val="20"/>
        </w:rPr>
        <w:t>All five connectors share one tenant's Graph quotas — the reason the capacity plan (section 8) exists.</w:t>
      </w:r>
    </w:p>
    <w:p>
      <w:pPr>
        <w:spacing w:after="20"/>
        <w:keepNext/>
      </w:pPr>
      <w:r>
        <w:rPr>
          <w:b/>
          <w:color w:val="1F3864"/>
          <w:sz w:val="22"/>
        </w:rPr>
        <w:t>App registration</w:t>
      </w:r>
    </w:p>
    <w:p>
      <w:pPr>
        <w:spacing w:after="20"/>
        <w:ind w:left="240"/>
      </w:pPr>
      <w:r>
        <w:rPr>
          <w:b/>
          <w:color w:val="595959"/>
          <w:sz w:val="19"/>
        </w:rPr>
        <w:t xml:space="preserve">What it is  </w:t>
      </w:r>
      <w:r>
        <w:rPr>
          <w:color w:val="202020"/>
          <w:sz w:val="20"/>
        </w:rPr>
        <w:t>The Entra identity of an application (client id, object id, credentials, consented permissions).</w:t>
      </w:r>
    </w:p>
    <w:p>
      <w:pPr>
        <w:spacing w:after="160"/>
        <w:ind w:left="240"/>
      </w:pPr>
      <w:r>
        <w:rPr>
          <w:b/>
          <w:color w:val="595959"/>
          <w:sz w:val="19"/>
        </w:rPr>
        <w:t xml:space="preserve">Why it matters  </w:t>
      </w:r>
      <w:r>
        <w:rPr>
          <w:color w:val="202020"/>
          <w:sz w:val="20"/>
        </w:rPr>
        <w:t>One per connector isolates Graph throttling and consent; it is how the connector proves who it is.</w:t>
      </w:r>
    </w:p>
    <w:p>
      <w:pPr>
        <w:spacing w:after="20"/>
        <w:keepNext/>
      </w:pPr>
      <w:r>
        <w:rPr>
          <w:b/>
          <w:color w:val="1F3864"/>
          <w:sz w:val="22"/>
        </w:rPr>
        <w:t>Client secret</w:t>
      </w:r>
    </w:p>
    <w:p>
      <w:pPr>
        <w:spacing w:after="20"/>
        <w:ind w:left="240"/>
      </w:pPr>
      <w:r>
        <w:rPr>
          <w:b/>
          <w:color w:val="595959"/>
          <w:sz w:val="19"/>
        </w:rPr>
        <w:t xml:space="preserve">What it is  </w:t>
      </w:r>
      <w:r>
        <w:rPr>
          <w:color w:val="202020"/>
          <w:sz w:val="20"/>
        </w:rPr>
        <w:t>A shared secret string the app sends to Entra to obtain a token.</w:t>
      </w:r>
    </w:p>
    <w:p>
      <w:pPr>
        <w:spacing w:after="160"/>
        <w:ind w:left="240"/>
      </w:pPr>
      <w:r>
        <w:rPr>
          <w:b/>
          <w:color w:val="595959"/>
          <w:sz w:val="19"/>
        </w:rPr>
        <w:t xml:space="preserve">Why it matters  </w:t>
      </w:r>
      <w:r>
        <w:rPr>
          <w:color w:val="202020"/>
          <w:sz w:val="20"/>
        </w:rPr>
        <w:t>Simple but a bearer credential — store it in Key Vault, never in a document, and rotate it before expiry.</w:t>
      </w:r>
    </w:p>
    <w:p>
      <w:pPr>
        <w:spacing w:after="20"/>
        <w:keepNext/>
      </w:pPr>
      <w:r>
        <w:rPr>
          <w:b/>
          <w:color w:val="1F3864"/>
          <w:sz w:val="22"/>
        </w:rPr>
        <w:t>Certificate credential</w:t>
      </w:r>
    </w:p>
    <w:p>
      <w:pPr>
        <w:spacing w:after="20"/>
        <w:ind w:left="240"/>
      </w:pPr>
      <w:r>
        <w:rPr>
          <w:b/>
          <w:color w:val="595959"/>
          <w:sz w:val="19"/>
        </w:rPr>
        <w:t xml:space="preserve">What it is  </w:t>
      </w:r>
      <w:r>
        <w:rPr>
          <w:color w:val="202020"/>
          <w:sz w:val="20"/>
        </w:rPr>
        <w:t>A signed assertion proving possession of a private key that never leaves the host/store; wins over a secret when both are set.</w:t>
      </w:r>
    </w:p>
    <w:p>
      <w:pPr>
        <w:spacing w:after="160"/>
        <w:ind w:left="240"/>
      </w:pPr>
      <w:r>
        <w:rPr>
          <w:b/>
          <w:color w:val="595959"/>
          <w:sz w:val="19"/>
        </w:rPr>
        <w:t xml:space="preserve">Why it matters  </w:t>
      </w:r>
      <w:r>
        <w:rPr>
          <w:color w:val="202020"/>
          <w:sz w:val="20"/>
        </w:rPr>
        <w:t>The stronger, FIPS-friendly production choice; also the rotation safety net (a valid secret still works if a cert rotation fails).</w:t>
      </w:r>
    </w:p>
    <w:p>
      <w:pPr>
        <w:spacing w:after="20"/>
        <w:keepNext/>
      </w:pPr>
      <w:r>
        <w:rPr>
          <w:b/>
          <w:color w:val="1F3864"/>
          <w:sz w:val="22"/>
        </w:rPr>
        <w:t>OAuth 2.0 / client-credentials flow</w:t>
      </w:r>
    </w:p>
    <w:p>
      <w:pPr>
        <w:spacing w:after="20"/>
        <w:ind w:left="240"/>
      </w:pPr>
      <w:r>
        <w:rPr>
          <w:b/>
          <w:color w:val="595959"/>
          <w:sz w:val="19"/>
        </w:rPr>
        <w:t xml:space="preserve">What it is  </w:t>
      </w:r>
      <w:r>
        <w:rPr>
          <w:color w:val="202020"/>
          <w:sz w:val="20"/>
        </w:rPr>
        <w:t>The standard by which an application (no user) exchanges its credential for an access token.</w:t>
      </w:r>
    </w:p>
    <w:p>
      <w:pPr>
        <w:spacing w:after="160"/>
        <w:ind w:left="240"/>
      </w:pPr>
      <w:r>
        <w:rPr>
          <w:b/>
          <w:color w:val="595959"/>
          <w:sz w:val="19"/>
        </w:rPr>
        <w:t xml:space="preserve">Why it matters  </w:t>
      </w:r>
      <w:r>
        <w:rPr>
          <w:color w:val="202020"/>
          <w:sz w:val="20"/>
        </w:rPr>
        <w:t>This is how every connector gets the token it needs to call Graph.</w:t>
      </w:r>
    </w:p>
    <w:p>
      <w:pPr>
        <w:spacing w:after="20"/>
        <w:keepNext/>
      </w:pPr>
      <w:r>
        <w:rPr>
          <w:b/>
          <w:color w:val="1F3864"/>
          <w:sz w:val="22"/>
        </w:rPr>
        <w:t>Access token</w:t>
      </w:r>
    </w:p>
    <w:p>
      <w:pPr>
        <w:spacing w:after="20"/>
        <w:ind w:left="240"/>
      </w:pPr>
      <w:r>
        <w:rPr>
          <w:b/>
          <w:color w:val="595959"/>
          <w:sz w:val="19"/>
        </w:rPr>
        <w:t xml:space="preserve">What it is  </w:t>
      </w:r>
      <w:r>
        <w:rPr>
          <w:color w:val="202020"/>
          <w:sz w:val="20"/>
        </w:rPr>
        <w:t>A short-lived credential the connector presents on each Graph call.</w:t>
      </w:r>
    </w:p>
    <w:p>
      <w:pPr>
        <w:spacing w:after="160"/>
        <w:ind w:left="240"/>
      </w:pPr>
      <w:r>
        <w:rPr>
          <w:b/>
          <w:color w:val="595959"/>
          <w:sz w:val="19"/>
        </w:rPr>
        <w:t xml:space="preserve">Why it matters  </w:t>
      </w:r>
      <w:r>
        <w:rPr>
          <w:color w:val="202020"/>
          <w:sz w:val="20"/>
        </w:rPr>
        <w:t>Held in memory only, never persisted; its audience must match the Graph endpoint (relevant on sovereign clouds).</w:t>
      </w:r>
    </w:p>
    <w:p>
      <w:pPr>
        <w:spacing w:after="20"/>
        <w:keepNext/>
      </w:pPr>
      <w:r>
        <w:rPr>
          <w:b/>
          <w:color w:val="1F3864"/>
          <w:sz w:val="22"/>
        </w:rPr>
        <w:t>Access trimming</w:t>
      </w:r>
    </w:p>
    <w:p>
      <w:pPr>
        <w:spacing w:after="20"/>
        <w:ind w:left="240"/>
      </w:pPr>
      <w:r>
        <w:rPr>
          <w:b/>
          <w:color w:val="595959"/>
          <w:sz w:val="19"/>
        </w:rPr>
        <w:t xml:space="preserve">What it is  </w:t>
      </w:r>
      <w:r>
        <w:rPr>
          <w:color w:val="202020"/>
          <w:sz w:val="20"/>
        </w:rPr>
        <w:t>Filtering search results per user against each item's ACL at query time.</w:t>
      </w:r>
    </w:p>
    <w:p>
      <w:pPr>
        <w:spacing w:after="160"/>
        <w:ind w:left="240"/>
      </w:pPr>
      <w:r>
        <w:rPr>
          <w:b/>
          <w:color w:val="595959"/>
          <w:sz w:val="19"/>
        </w:rPr>
        <w:t xml:space="preserve">Why it matters  </w:t>
      </w:r>
      <w:r>
        <w:rPr>
          <w:color w:val="202020"/>
          <w:sz w:val="20"/>
        </w:rPr>
        <w:t>You never filter results yourself; correct ACLs are what make trimming correct.</w:t>
      </w:r>
    </w:p>
    <w:p>
      <w:pPr>
        <w:spacing w:after="20"/>
        <w:keepNext/>
      </w:pPr>
      <w:r>
        <w:rPr>
          <w:b/>
          <w:color w:val="1F3864"/>
          <w:sz w:val="22"/>
        </w:rPr>
        <w:t>Crawl (full / incremental)</w:t>
      </w:r>
    </w:p>
    <w:p>
      <w:pPr>
        <w:spacing w:after="20"/>
        <w:ind w:left="240"/>
      </w:pPr>
      <w:r>
        <w:rPr>
          <w:b/>
          <w:color w:val="595959"/>
          <w:sz w:val="19"/>
        </w:rPr>
        <w:t xml:space="preserve">What it is  </w:t>
      </w:r>
      <w:r>
        <w:rPr>
          <w:color w:val="202020"/>
          <w:sz w:val="20"/>
        </w:rPr>
        <w:t>One pass reading the source and pushing items: full = everything; incremental = only records changed since the last watermark.</w:t>
      </w:r>
    </w:p>
    <w:p>
      <w:pPr>
        <w:spacing w:after="160"/>
        <w:ind w:left="240"/>
      </w:pPr>
      <w:r>
        <w:rPr>
          <w:b/>
          <w:color w:val="595959"/>
          <w:sz w:val="19"/>
        </w:rPr>
        <w:t xml:space="preserve">Why it matters  </w:t>
      </w:r>
      <w:r>
        <w:rPr>
          <w:color w:val="202020"/>
          <w:sz w:val="20"/>
        </w:rPr>
        <w:t>Full crawls are the expensive, staggered events; incrementals are the cheap, frequent norm.</w:t>
      </w:r>
    </w:p>
    <w:p>
      <w:pPr>
        <w:spacing w:after="20"/>
        <w:keepNext/>
      </w:pPr>
      <w:r>
        <w:rPr>
          <w:b/>
          <w:color w:val="1F3864"/>
          <w:sz w:val="22"/>
        </w:rPr>
        <w:t>Checkpoint</w:t>
      </w:r>
    </w:p>
    <w:p>
      <w:pPr>
        <w:spacing w:after="20"/>
        <w:ind w:left="240"/>
      </w:pPr>
      <w:r>
        <w:rPr>
          <w:b/>
          <w:color w:val="595959"/>
          <w:sz w:val="19"/>
        </w:rPr>
        <w:t xml:space="preserve">What it is  </w:t>
      </w:r>
      <w:r>
        <w:rPr>
          <w:color w:val="202020"/>
          <w:sz w:val="20"/>
        </w:rPr>
        <w:t>The saved position (object type, last chunk, since boundary) written after each chunk.</w:t>
      </w:r>
    </w:p>
    <w:p>
      <w:pPr>
        <w:spacing w:after="160"/>
        <w:ind w:left="240"/>
      </w:pPr>
      <w:r>
        <w:rPr>
          <w:b/>
          <w:color w:val="595959"/>
          <w:sz w:val="19"/>
        </w:rPr>
        <w:t xml:space="preserve">Why it matters  </w:t>
      </w:r>
      <w:r>
        <w:rPr>
          <w:color w:val="202020"/>
          <w:sz w:val="20"/>
        </w:rPr>
        <w:t>A stop of any kind resumes from here — nothing is re-sent unnecessarily.</w:t>
      </w:r>
    </w:p>
    <w:p>
      <w:pPr>
        <w:spacing w:after="20"/>
        <w:keepNext/>
      </w:pPr>
      <w:r>
        <w:rPr>
          <w:b/>
          <w:color w:val="1F3864"/>
          <w:sz w:val="22"/>
        </w:rPr>
        <w:t>Watermark</w:t>
      </w:r>
    </w:p>
    <w:p>
      <w:pPr>
        <w:spacing w:after="20"/>
        <w:ind w:left="240"/>
      </w:pPr>
      <w:r>
        <w:rPr>
          <w:b/>
          <w:color w:val="595959"/>
          <w:sz w:val="19"/>
        </w:rPr>
        <w:t xml:space="preserve">What it is  </w:t>
      </w:r>
      <w:r>
        <w:rPr>
          <w:color w:val="202020"/>
          <w:sz w:val="20"/>
        </w:rPr>
        <w:t>The last-modified boundary (e.g. Salesforce SystemModstamp) that defines "changed since".</w:t>
      </w:r>
    </w:p>
    <w:p>
      <w:pPr>
        <w:spacing w:after="160"/>
        <w:ind w:left="240"/>
      </w:pPr>
      <w:r>
        <w:rPr>
          <w:b/>
          <w:color w:val="595959"/>
          <w:sz w:val="19"/>
        </w:rPr>
        <w:t xml:space="preserve">Why it matters  </w:t>
      </w:r>
      <w:r>
        <w:rPr>
          <w:color w:val="202020"/>
          <w:sz w:val="20"/>
        </w:rPr>
        <w:t>It is what makes an incremental crawl small; reliable watermark coverage is a design assumption.</w:t>
      </w:r>
    </w:p>
    <w:p>
      <w:pPr>
        <w:spacing w:after="20"/>
        <w:keepNext/>
      </w:pPr>
      <w:r>
        <w:rPr>
          <w:b/>
          <w:color w:val="1F3864"/>
          <w:sz w:val="22"/>
        </w:rPr>
        <w:t>Dead-letter queue</w:t>
      </w:r>
    </w:p>
    <w:p>
      <w:pPr>
        <w:spacing w:after="20"/>
        <w:ind w:left="240"/>
      </w:pPr>
      <w:r>
        <w:rPr>
          <w:b/>
          <w:color w:val="595959"/>
          <w:sz w:val="19"/>
        </w:rPr>
        <w:t xml:space="preserve">What it is  </w:t>
      </w:r>
      <w:r>
        <w:rPr>
          <w:color w:val="202020"/>
          <w:sz w:val="20"/>
        </w:rPr>
        <w:t>Where items that failed after all retries are set aside (a JSONL file or the DeadLetter table).</w:t>
      </w:r>
    </w:p>
    <w:p>
      <w:pPr>
        <w:spacing w:after="160"/>
        <w:ind w:left="240"/>
      </w:pPr>
      <w:r>
        <w:rPr>
          <w:b/>
          <w:color w:val="595959"/>
          <w:sz w:val="19"/>
        </w:rPr>
        <w:t xml:space="preserve">Why it matters  </w:t>
      </w:r>
      <w:r>
        <w:rPr>
          <w:color w:val="202020"/>
          <w:sz w:val="20"/>
        </w:rPr>
        <w:t>Failures never block a crawl; you drain the queue with retry-failed once the cause is fixed.</w:t>
      </w:r>
    </w:p>
    <w:p>
      <w:pPr>
        <w:spacing w:after="20"/>
        <w:keepNext/>
      </w:pPr>
      <w:r>
        <w:rPr>
          <w:b/>
          <w:color w:val="1F3864"/>
          <w:sz w:val="22"/>
        </w:rPr>
        <w:t>Retry / backoff</w:t>
      </w:r>
    </w:p>
    <w:p>
      <w:pPr>
        <w:spacing w:after="20"/>
        <w:ind w:left="240"/>
      </w:pPr>
      <w:r>
        <w:rPr>
          <w:b/>
          <w:color w:val="595959"/>
          <w:sz w:val="19"/>
        </w:rPr>
        <w:t xml:space="preserve">What it is  </w:t>
      </w:r>
      <w:r>
        <w:rPr>
          <w:color w:val="202020"/>
          <w:sz w:val="20"/>
        </w:rPr>
        <w:t>Re-attempting a failed call with a growing wait (base x 2^attempt, up to GRAPH_MAX_RETRIES).</w:t>
      </w:r>
    </w:p>
    <w:p>
      <w:pPr>
        <w:spacing w:after="160"/>
        <w:ind w:left="240"/>
      </w:pPr>
      <w:r>
        <w:rPr>
          <w:b/>
          <w:color w:val="595959"/>
          <w:sz w:val="19"/>
        </w:rPr>
        <w:t xml:space="preserve">Why it matters  </w:t>
      </w:r>
      <w:r>
        <w:rPr>
          <w:color w:val="202020"/>
          <w:sz w:val="20"/>
        </w:rPr>
        <w:t>Rides out transient errors and throttling automatically.</w:t>
      </w:r>
    </w:p>
    <w:p>
      <w:pPr>
        <w:spacing w:after="20"/>
        <w:keepNext/>
      </w:pPr>
      <w:r>
        <w:rPr>
          <w:b/>
          <w:color w:val="1F3864"/>
          <w:sz w:val="22"/>
        </w:rPr>
        <w:t>Retry-After</w:t>
      </w:r>
    </w:p>
    <w:p>
      <w:pPr>
        <w:spacing w:after="20"/>
        <w:ind w:left="240"/>
      </w:pPr>
      <w:r>
        <w:rPr>
          <w:b/>
          <w:color w:val="595959"/>
          <w:sz w:val="19"/>
        </w:rPr>
        <w:t xml:space="preserve">What it is  </w:t>
      </w:r>
      <w:r>
        <w:rPr>
          <w:color w:val="202020"/>
          <w:sz w:val="20"/>
        </w:rPr>
        <w:t>The header Graph returns with a 429 telling you how long to wait.</w:t>
      </w:r>
    </w:p>
    <w:p>
      <w:pPr>
        <w:spacing w:after="160"/>
        <w:ind w:left="240"/>
      </w:pPr>
      <w:r>
        <w:rPr>
          <w:b/>
          <w:color w:val="595959"/>
          <w:sz w:val="19"/>
        </w:rPr>
        <w:t xml:space="preserve">Why it matters  </w:t>
      </w:r>
      <w:r>
        <w:rPr>
          <w:color w:val="202020"/>
          <w:sz w:val="20"/>
        </w:rPr>
        <w:t>The connector honours it exactly but clamps every wait to 60 seconds, so a bad value can't stall a run for an hour.</w:t>
      </w:r>
    </w:p>
    <w:p>
      <w:pPr>
        <w:spacing w:after="20"/>
        <w:keepNext/>
      </w:pPr>
      <w:r>
        <w:rPr>
          <w:b/>
          <w:color w:val="1F3864"/>
          <w:sz w:val="22"/>
        </w:rPr>
        <w:t>Adaptive concurrency</w:t>
      </w:r>
    </w:p>
    <w:p>
      <w:pPr>
        <w:spacing w:after="20"/>
        <w:ind w:left="240"/>
      </w:pPr>
      <w:r>
        <w:rPr>
          <w:b/>
          <w:color w:val="595959"/>
          <w:sz w:val="19"/>
        </w:rPr>
        <w:t xml:space="preserve">What it is  </w:t>
      </w:r>
      <w:r>
        <w:rPr>
          <w:color w:val="202020"/>
          <w:sz w:val="20"/>
        </w:rPr>
        <w:t>Live tuning of the number of parallel push workers (down on 429, up after clean batches).</w:t>
      </w:r>
    </w:p>
    <w:p>
      <w:pPr>
        <w:spacing w:after="160"/>
        <w:ind w:left="240"/>
      </w:pPr>
      <w:r>
        <w:rPr>
          <w:b/>
          <w:color w:val="595959"/>
          <w:sz w:val="19"/>
        </w:rPr>
        <w:t xml:space="preserve">Why it matters  </w:t>
      </w:r>
      <w:r>
        <w:rPr>
          <w:color w:val="202020"/>
          <w:sz w:val="20"/>
        </w:rPr>
        <w:t>Self-corrects the push rate to what the tenant currently tolerates; pinned at 1 signals sustained throttling.</w:t>
      </w:r>
    </w:p>
    <w:p>
      <w:pPr>
        <w:spacing w:after="20"/>
        <w:keepNext/>
      </w:pPr>
      <w:r>
        <w:rPr>
          <w:b/>
          <w:color w:val="1F3864"/>
          <w:sz w:val="22"/>
        </w:rPr>
        <w:t>Connection sharding</w:t>
      </w:r>
    </w:p>
    <w:p>
      <w:pPr>
        <w:spacing w:after="20"/>
        <w:ind w:left="240"/>
      </w:pPr>
      <w:r>
        <w:rPr>
          <w:b/>
          <w:color w:val="595959"/>
          <w:sz w:val="19"/>
        </w:rPr>
        <w:t xml:space="preserve">What it is  </w:t>
      </w:r>
      <w:r>
        <w:rPr>
          <w:color w:val="202020"/>
          <w:sz w:val="20"/>
        </w:rPr>
        <w:t>Spreading object types across several connections (GRAPH_CONNECTION_SHARDS) to multiply throughput.</w:t>
      </w:r>
    </w:p>
    <w:p>
      <w:pPr>
        <w:spacing w:after="160"/>
        <w:ind w:left="240"/>
      </w:pPr>
      <w:r>
        <w:rPr>
          <w:b/>
          <w:color w:val="595959"/>
          <w:sz w:val="19"/>
        </w:rPr>
        <w:t xml:space="preserve">Why it matters  </w:t>
      </w:r>
      <w:r>
        <w:rPr>
          <w:color w:val="202020"/>
          <w:sz w:val="20"/>
        </w:rPr>
        <w:t>The per-connection rate limit is the reason; every shard is a real connection and counts against the 30-per-tenant cap.</w:t>
      </w:r>
    </w:p>
    <w:p>
      <w:pPr>
        <w:spacing w:after="20"/>
        <w:keepNext/>
      </w:pPr>
      <w:r>
        <w:rPr>
          <w:b/>
          <w:color w:val="1F3864"/>
          <w:sz w:val="22"/>
        </w:rPr>
        <w:t>HA lease</w:t>
      </w:r>
    </w:p>
    <w:p>
      <w:pPr>
        <w:spacing w:after="20"/>
        <w:ind w:left="240"/>
      </w:pPr>
      <w:r>
        <w:rPr>
          <w:b/>
          <w:color w:val="595959"/>
          <w:sz w:val="19"/>
        </w:rPr>
        <w:t xml:space="preserve">What it is  </w:t>
      </w:r>
      <w:r>
        <w:rPr>
          <w:color w:val="202020"/>
          <w:sz w:val="20"/>
        </w:rPr>
        <w:t>In active-active HA, a node's claim on an object type, kept alive by heartbeats and reclaimed if it goes stale.</w:t>
      </w:r>
    </w:p>
    <w:p>
      <w:pPr>
        <w:spacing w:after="160"/>
        <w:ind w:left="240"/>
      </w:pPr>
      <w:r>
        <w:rPr>
          <w:b/>
          <w:color w:val="595959"/>
          <w:sz w:val="19"/>
        </w:rPr>
        <w:t xml:space="preserve">Why it matters  </w:t>
      </w:r>
      <w:r>
        <w:rPr>
          <w:color w:val="202020"/>
          <w:sz w:val="20"/>
        </w:rPr>
        <w:t>It is how two nodes coordinate through SQL without stepping on each other, and how work survives a node death.</w:t>
      </w:r>
    </w:p>
    <w:p>
      <w:pPr>
        <w:spacing w:after="20"/>
        <w:keepNext/>
      </w:pPr>
      <w:r>
        <w:rPr>
          <w:b/>
          <w:color w:val="1F3864"/>
          <w:sz w:val="22"/>
        </w:rPr>
        <w:t>Circuit breaker</w:t>
      </w:r>
    </w:p>
    <w:p>
      <w:pPr>
        <w:spacing w:after="20"/>
        <w:ind w:left="240"/>
      </w:pPr>
      <w:r>
        <w:rPr>
          <w:b/>
          <w:color w:val="595959"/>
          <w:sz w:val="19"/>
        </w:rPr>
        <w:t xml:space="preserve">What it is  </w:t>
      </w:r>
      <w:r>
        <w:rPr>
          <w:color w:val="202020"/>
          <w:sz w:val="20"/>
        </w:rPr>
        <w:t>A guard that trips open during a sustained outage of a dependency, pausing work safely.</w:t>
      </w:r>
    </w:p>
    <w:p>
      <w:pPr>
        <w:spacing w:after="160"/>
        <w:ind w:left="240"/>
      </w:pPr>
      <w:r>
        <w:rPr>
          <w:b/>
          <w:color w:val="595959"/>
          <w:sz w:val="19"/>
        </w:rPr>
        <w:t xml:space="preserve">Why it matters  </w:t>
      </w:r>
      <w:r>
        <w:rPr>
          <w:color w:val="202020"/>
          <w:sz w:val="20"/>
        </w:rPr>
        <w:t>Stops the connector hammering a failing service; it auto-recovers via half-open probes with no state loss.</w:t>
      </w:r>
    </w:p>
    <w:p>
      <w:pPr>
        <w:spacing w:after="20"/>
        <w:keepNext/>
      </w:pPr>
      <w:r>
        <w:rPr>
          <w:b/>
          <w:color w:val="1F3864"/>
          <w:sz w:val="22"/>
        </w:rPr>
        <w:t>Degraded mode</w:t>
      </w:r>
    </w:p>
    <w:p>
      <w:pPr>
        <w:spacing w:after="20"/>
        <w:ind w:left="240"/>
      </w:pPr>
      <w:r>
        <w:rPr>
          <w:b/>
          <w:color w:val="595959"/>
          <w:sz w:val="19"/>
        </w:rPr>
        <w:t xml:space="preserve">What it is  </w:t>
      </w:r>
      <w:r>
        <w:rPr>
          <w:color w:val="202020"/>
          <w:sz w:val="20"/>
        </w:rPr>
        <w:t>The paused-and-waiting state after a breaker trips.</w:t>
      </w:r>
    </w:p>
    <w:p>
      <w:pPr>
        <w:spacing w:after="160"/>
        <w:ind w:left="240"/>
      </w:pPr>
      <w:r>
        <w:rPr>
          <w:b/>
          <w:color w:val="595959"/>
          <w:sz w:val="19"/>
        </w:rPr>
        <w:t xml:space="preserve">Why it matters  </w:t>
      </w:r>
      <w:r>
        <w:rPr>
          <w:color w:val="202020"/>
          <w:sz w:val="20"/>
        </w:rPr>
        <w:t>The connector keeps its state safe and resumes when the dependency recovers, instead of failing hard.</w:t>
      </w:r>
    </w:p>
    <w:p>
      <w:pPr>
        <w:spacing w:after="20"/>
        <w:keepNext/>
      </w:pPr>
      <w:r>
        <w:rPr>
          <w:b/>
          <w:color w:val="1F3864"/>
          <w:sz w:val="22"/>
        </w:rPr>
        <w:t>Idempotent</w:t>
      </w:r>
    </w:p>
    <w:p>
      <w:pPr>
        <w:spacing w:after="20"/>
        <w:ind w:left="240"/>
      </w:pPr>
      <w:r>
        <w:rPr>
          <w:b/>
          <w:color w:val="595959"/>
          <w:sz w:val="19"/>
        </w:rPr>
        <w:t xml:space="preserve">What it is  </w:t>
      </w:r>
      <w:r>
        <w:rPr>
          <w:color w:val="202020"/>
          <w:sz w:val="20"/>
        </w:rPr>
        <w:t>An operation that has the same effect whether run once or many times.</w:t>
      </w:r>
    </w:p>
    <w:p>
      <w:pPr>
        <w:spacing w:after="160"/>
        <w:ind w:left="240"/>
      </w:pPr>
      <w:r>
        <w:rPr>
          <w:b/>
          <w:color w:val="595959"/>
          <w:sz w:val="19"/>
        </w:rPr>
        <w:t xml:space="preserve">Why it matters  </w:t>
      </w:r>
      <w:r>
        <w:rPr>
          <w:color w:val="202020"/>
          <w:sz w:val="20"/>
        </w:rPr>
        <w:t>setup-connection and the SQL create script are idempotent, so re-running a deploy step is safe.</w:t>
      </w:r>
    </w:p>
    <w:p>
      <w:pPr>
        <w:spacing w:after="20"/>
        <w:keepNext/>
      </w:pPr>
      <w:r>
        <w:rPr>
          <w:b/>
          <w:color w:val="1F3864"/>
          <w:sz w:val="22"/>
        </w:rPr>
        <w:t>Reconcile</w:t>
      </w:r>
    </w:p>
    <w:p>
      <w:pPr>
        <w:spacing w:after="20"/>
        <w:ind w:left="240"/>
      </w:pPr>
      <w:r>
        <w:rPr>
          <w:b/>
          <w:color w:val="595959"/>
          <w:sz w:val="19"/>
        </w:rPr>
        <w:t xml:space="preserve">What it is  </w:t>
      </w:r>
      <w:r>
        <w:rPr>
          <w:color w:val="202020"/>
          <w:sz w:val="20"/>
        </w:rPr>
        <w:t>The command that reports (and with --fix repairs) drift between the source and the index.</w:t>
      </w:r>
    </w:p>
    <w:p>
      <w:pPr>
        <w:spacing w:after="160"/>
        <w:ind w:left="240"/>
      </w:pPr>
      <w:r>
        <w:rPr>
          <w:b/>
          <w:color w:val="595959"/>
          <w:sz w:val="19"/>
        </w:rPr>
        <w:t xml:space="preserve">Why it matters  </w:t>
      </w:r>
      <w:r>
        <w:rPr>
          <w:color w:val="202020"/>
          <w:sz w:val="20"/>
        </w:rPr>
        <w:t>Your assurance tool — run it periodically and after any restore.</w:t>
      </w:r>
    </w:p>
    <w:p>
      <w:pPr>
        <w:spacing w:after="20"/>
        <w:keepNext/>
      </w:pPr>
      <w:r>
        <w:rPr>
          <w:b/>
          <w:color w:val="1F3864"/>
          <w:sz w:val="22"/>
        </w:rPr>
        <w:t>Data classification / sensitivity label</w:t>
      </w:r>
    </w:p>
    <w:p>
      <w:pPr>
        <w:spacing w:after="20"/>
        <w:ind w:left="240"/>
      </w:pPr>
      <w:r>
        <w:rPr>
          <w:b/>
          <w:color w:val="595959"/>
          <w:sz w:val="19"/>
        </w:rPr>
        <w:t xml:space="preserve">What it is  </w:t>
      </w:r>
      <w:r>
        <w:rPr>
          <w:color w:val="202020"/>
          <w:sz w:val="20"/>
        </w:rPr>
        <w:t>Optional stamping of each item with SensitivityLabel (Public&lt;Internal&lt;Confidential&lt;Restricted) and DetectedCategories (PII/PCI/Secret).</w:t>
      </w:r>
    </w:p>
    <w:p>
      <w:pPr>
        <w:spacing w:after="160"/>
        <w:ind w:left="240"/>
      </w:pPr>
      <w:r>
        <w:rPr>
          <w:b/>
          <w:color w:val="595959"/>
          <w:sz w:val="19"/>
        </w:rPr>
        <w:t xml:space="preserve">Why it matters  </w:t>
      </w:r>
      <w:r>
        <w:rPr>
          <w:color w:val="202020"/>
          <w:sz w:val="20"/>
        </w:rPr>
        <w:t>Lets Copilot/search admins audit and gate on sensitivity; a detection can only raise the label, never lower the per-object floor.</w:t>
      </w:r>
    </w:p>
    <w:p>
      <w:pPr>
        <w:spacing w:after="20"/>
        <w:keepNext/>
      </w:pPr>
      <w:r>
        <w:rPr>
          <w:b/>
          <w:color w:val="1F3864"/>
          <w:sz w:val="22"/>
        </w:rPr>
        <w:t>Azure Key Vault</w:t>
      </w:r>
    </w:p>
    <w:p>
      <w:pPr>
        <w:spacing w:after="20"/>
        <w:ind w:left="240"/>
      </w:pPr>
      <w:r>
        <w:rPr>
          <w:b/>
          <w:color w:val="595959"/>
          <w:sz w:val="19"/>
        </w:rPr>
        <w:t xml:space="preserve">What it is  </w:t>
      </w:r>
      <w:r>
        <w:rPr>
          <w:color w:val="202020"/>
          <w:sz w:val="20"/>
        </w:rPr>
        <w:t>Microsoft's managed secret store; enabled with USE_KEY_VAULT + KEY_VAULT_URI.</w:t>
      </w:r>
    </w:p>
    <w:p>
      <w:pPr>
        <w:spacing w:after="160"/>
        <w:ind w:left="240"/>
      </w:pPr>
      <w:r>
        <w:rPr>
          <w:b/>
          <w:color w:val="595959"/>
          <w:sz w:val="19"/>
        </w:rPr>
        <w:t xml:space="preserve">Why it matters  </w:t>
      </w:r>
      <w:r>
        <w:rPr>
          <w:color w:val="202020"/>
          <w:sz w:val="20"/>
        </w:rPr>
        <w:t>The recommended way to hold secrets so no secret file exists on the box and rotation is one write; the connector needs only get access.</w:t>
      </w:r>
    </w:p>
    <w:p>
      <w:pPr>
        <w:spacing w:after="20"/>
        <w:keepNext/>
      </w:pPr>
      <w:r>
        <w:rPr>
          <w:b/>
          <w:color w:val="1F3864"/>
          <w:sz w:val="22"/>
        </w:rPr>
        <w:t>FIPS</w:t>
      </w:r>
    </w:p>
    <w:p>
      <w:pPr>
        <w:spacing w:after="20"/>
        <w:ind w:left="240"/>
      </w:pPr>
      <w:r>
        <w:rPr>
          <w:b/>
          <w:color w:val="595959"/>
          <w:sz w:val="19"/>
        </w:rPr>
        <w:t xml:space="preserve">What it is  </w:t>
      </w:r>
      <w:r>
        <w:rPr>
          <w:color w:val="202020"/>
          <w:sz w:val="20"/>
        </w:rPr>
        <w:t>A US cryptographic-validation standard; when enforced on Windows, .NET uses validated providers.</w:t>
      </w:r>
    </w:p>
    <w:p>
      <w:pPr>
        <w:spacing w:after="160"/>
        <w:ind w:left="240"/>
      </w:pPr>
      <w:r>
        <w:rPr>
          <w:b/>
          <w:color w:val="595959"/>
          <w:sz w:val="19"/>
        </w:rPr>
        <w:t xml:space="preserve">Why it matters  </w:t>
      </w:r>
      <w:r>
        <w:rPr>
          <w:color w:val="202020"/>
          <w:sz w:val="20"/>
        </w:rPr>
        <w:t>Prefer the certificate-thumbprint credential with a non-exportable key in FIPS estates.</w:t>
      </w:r>
    </w:p>
    <w:p>
      <w:pPr>
        <w:spacing w:after="20"/>
        <w:keepNext/>
      </w:pPr>
      <w:r>
        <w:rPr>
          <w:b/>
          <w:color w:val="1F3864"/>
          <w:sz w:val="22"/>
        </w:rPr>
        <w:t>Forward proxy</w:t>
      </w:r>
    </w:p>
    <w:p>
      <w:pPr>
        <w:spacing w:after="20"/>
        <w:ind w:left="240"/>
      </w:pPr>
      <w:r>
        <w:rPr>
          <w:b/>
          <w:color w:val="595959"/>
          <w:sz w:val="19"/>
        </w:rPr>
        <w:t xml:space="preserve">What it is  </w:t>
      </w:r>
      <w:r>
        <w:rPr>
          <w:color w:val="202020"/>
          <w:sz w:val="20"/>
        </w:rPr>
        <w:t>A corporate egress proxy all outbound traffic passes through (PROXY_URL / PROXY_BYPASS).</w:t>
      </w:r>
    </w:p>
    <w:p>
      <w:pPr>
        <w:spacing w:after="160"/>
        <w:ind w:left="240"/>
      </w:pPr>
      <w:r>
        <w:rPr>
          <w:b/>
          <w:color w:val="595959"/>
          <w:sz w:val="19"/>
        </w:rPr>
        <w:t xml:space="preserve">Why it matters  </w:t>
      </w:r>
      <w:r>
        <w:rPr>
          <w:color w:val="202020"/>
          <w:sz w:val="20"/>
        </w:rPr>
        <w:t>Required in locked-down networks; get the URL and bypass list from the network team.</w:t>
      </w:r>
    </w:p>
    <w:p>
      <w:pPr>
        <w:spacing w:after="20"/>
        <w:keepNext/>
      </w:pPr>
      <w:r>
        <w:rPr>
          <w:b/>
          <w:color w:val="1F3864"/>
          <w:sz w:val="22"/>
        </w:rPr>
        <w:t>TLS inspection</w:t>
      </w:r>
    </w:p>
    <w:p>
      <w:pPr>
        <w:spacing w:after="20"/>
        <w:ind w:left="240"/>
      </w:pPr>
      <w:r>
        <w:rPr>
          <w:b/>
          <w:color w:val="595959"/>
          <w:sz w:val="19"/>
        </w:rPr>
        <w:t xml:space="preserve">What it is  </w:t>
      </w:r>
      <w:r>
        <w:rPr>
          <w:color w:val="202020"/>
          <w:sz w:val="20"/>
        </w:rPr>
        <w:t>A proxy that decrypts and re-signs HTTPS with a corporate CA (trusted via CA_BUNDLE_PATH).</w:t>
      </w:r>
    </w:p>
    <w:p>
      <w:pPr>
        <w:spacing w:after="160"/>
        <w:ind w:left="240"/>
      </w:pPr>
      <w:r>
        <w:rPr>
          <w:b/>
          <w:color w:val="595959"/>
          <w:sz w:val="19"/>
        </w:rPr>
        <w:t xml:space="preserve">Why it matters  </w:t>
      </w:r>
      <w:r>
        <w:rPr>
          <w:color w:val="202020"/>
          <w:sz w:val="20"/>
        </w:rPr>
        <w:t>Trust is additive and hostname checks stay on; a missing/unparseable bundle fails startup (fail-closed).</w:t>
      </w:r>
    </w:p>
    <w:p>
      <w:pPr>
        <w:spacing w:after="20"/>
        <w:keepNext/>
      </w:pPr>
      <w:r>
        <w:rPr>
          <w:b/>
          <w:color w:val="1F3864"/>
          <w:sz w:val="22"/>
        </w:rPr>
        <w:t>MSI</w:t>
      </w:r>
    </w:p>
    <w:p>
      <w:pPr>
        <w:spacing w:after="20"/>
        <w:ind w:left="240"/>
      </w:pPr>
      <w:r>
        <w:rPr>
          <w:b/>
          <w:color w:val="595959"/>
          <w:sz w:val="19"/>
        </w:rPr>
        <w:t xml:space="preserve">What it is  </w:t>
      </w:r>
      <w:r>
        <w:rPr>
          <w:color w:val="202020"/>
          <w:sz w:val="20"/>
        </w:rPr>
        <w:t>The Windows installer package used to deploy the connector via SCCM/Intune.</w:t>
      </w:r>
    </w:p>
    <w:p>
      <w:pPr>
        <w:spacing w:after="160"/>
        <w:ind w:left="240"/>
      </w:pPr>
      <w:r>
        <w:rPr>
          <w:b/>
          <w:color w:val="595959"/>
          <w:sz w:val="19"/>
        </w:rPr>
        <w:t xml:space="preserve">Why it matters  </w:t>
      </w:r>
      <w:r>
        <w:rPr>
          <w:color w:val="202020"/>
          <w:sz w:val="20"/>
        </w:rPr>
        <w:t>Ships no secrets; installs the service (not started) and the event source; upgrades replace in place.</w:t>
      </w:r>
    </w:p>
    <w:p>
      <w:pPr>
        <w:spacing w:after="20"/>
        <w:keepNext/>
      </w:pPr>
      <w:r>
        <w:rPr>
          <w:b/>
          <w:color w:val="1F3864"/>
          <w:sz w:val="22"/>
        </w:rPr>
        <w:t>Windows service (SCM)</w:t>
      </w:r>
    </w:p>
    <w:p>
      <w:pPr>
        <w:spacing w:after="20"/>
        <w:ind w:left="240"/>
      </w:pPr>
      <w:r>
        <w:rPr>
          <w:b/>
          <w:color w:val="595959"/>
          <w:sz w:val="19"/>
        </w:rPr>
        <w:t xml:space="preserve">What it is  </w:t>
      </w:r>
      <w:r>
        <w:rPr>
          <w:color w:val="202020"/>
          <w:sz w:val="20"/>
        </w:rPr>
        <w:t>The connector running as a long-lived background service under the Service Control Manager.</w:t>
      </w:r>
    </w:p>
    <w:p>
      <w:pPr>
        <w:spacing w:after="160"/>
        <w:ind w:left="240"/>
      </w:pPr>
      <w:r>
        <w:rPr>
          <w:b/>
          <w:color w:val="595959"/>
          <w:sz w:val="19"/>
        </w:rPr>
        <w:t xml:space="preserve">Why it matters  </w:t>
      </w:r>
      <w:r>
        <w:rPr>
          <w:color w:val="202020"/>
          <w:sz w:val="20"/>
        </w:rPr>
        <w:t>It runs ingest --continuous; add a crash-restart policy so it self-heals (resuming from checkpoint).</w:t>
      </w:r>
    </w:p>
    <w:p>
      <w:pPr>
        <w:spacing w:after="20"/>
        <w:keepNext/>
      </w:pPr>
      <w:r>
        <w:rPr>
          <w:b/>
          <w:color w:val="1F3864"/>
          <w:sz w:val="22"/>
        </w:rPr>
        <w:t>RPO / RTO</w:t>
      </w:r>
    </w:p>
    <w:p>
      <w:pPr>
        <w:spacing w:after="20"/>
        <w:ind w:left="240"/>
      </w:pPr>
      <w:r>
        <w:rPr>
          <w:b/>
          <w:color w:val="595959"/>
          <w:sz w:val="19"/>
        </w:rPr>
        <w:t xml:space="preserve">What it is  </w:t>
      </w:r>
      <w:r>
        <w:rPr>
          <w:color w:val="202020"/>
          <w:sz w:val="20"/>
        </w:rPr>
        <w:t>Recovery Point Objective (how much you can lose) and Recovery Time Objective (how fast you recover).</w:t>
      </w:r>
    </w:p>
    <w:p>
      <w:pPr>
        <w:spacing w:after="160"/>
        <w:ind w:left="240"/>
      </w:pPr>
      <w:r>
        <w:rPr>
          <w:b/>
          <w:color w:val="595959"/>
          <w:sz w:val="19"/>
        </w:rPr>
        <w:t xml:space="preserve">Why it matters  </w:t>
      </w:r>
      <w:r>
        <w:rPr>
          <w:color w:val="202020"/>
          <w:sz w:val="20"/>
        </w:rPr>
        <w:t>For these connectors state loss = re-crawl cost, not data loss, and the index survives in the Graph connection — so both are measured in crawl time, not lost records.</w:t>
      </w:r>
    </w:p>
    <w:p>
      <w:pPr>
        <w:spacing w:after="20"/>
        <w:keepNext/>
      </w:pPr>
      <w:r>
        <w:rPr>
          <w:b/>
          <w:color w:val="1F3864"/>
          <w:sz w:val="22"/>
        </w:rPr>
        <w:t>SIEM</w:t>
      </w:r>
    </w:p>
    <w:p>
      <w:pPr>
        <w:spacing w:after="20"/>
        <w:ind w:left="240"/>
      </w:pPr>
      <w:r>
        <w:rPr>
          <w:b/>
          <w:color w:val="595959"/>
          <w:sz w:val="19"/>
        </w:rPr>
        <w:t xml:space="preserve">What it is  </w:t>
      </w:r>
      <w:r>
        <w:rPr>
          <w:color w:val="202020"/>
          <w:sz w:val="20"/>
        </w:rPr>
        <w:t>Security information and event management (Sentinel, Splunk) — where security telemetry is centralised.</w:t>
      </w:r>
    </w:p>
    <w:p>
      <w:pPr>
        <w:spacing w:after="160"/>
        <w:ind w:left="240"/>
      </w:pPr>
      <w:r>
        <w:rPr>
          <w:b/>
          <w:color w:val="595959"/>
          <w:sz w:val="19"/>
        </w:rPr>
        <w:t xml:space="preserve">Why it matters  </w:t>
      </w:r>
      <w:r>
        <w:rPr>
          <w:color w:val="202020"/>
          <w:sz w:val="20"/>
        </w:rPr>
        <w:t>Feed it via the Windows Event Log, JSON logs or webhook alerts; do not ship Prometheus scrapes to it.</w:t>
      </w:r>
    </w:p>
    <w:p>
      <w:pPr>
        <w:spacing w:after="20"/>
        <w:keepNext/>
      </w:pPr>
      <w:r>
        <w:rPr>
          <w:b/>
          <w:color w:val="1F3864"/>
          <w:sz w:val="22"/>
        </w:rPr>
        <w:t>OpenTelemetry</w:t>
      </w:r>
    </w:p>
    <w:p>
      <w:pPr>
        <w:spacing w:after="20"/>
        <w:ind w:left="240"/>
      </w:pPr>
      <w:r>
        <w:rPr>
          <w:b/>
          <w:color w:val="595959"/>
          <w:sz w:val="19"/>
        </w:rPr>
        <w:t xml:space="preserve">What it is  </w:t>
      </w:r>
      <w:r>
        <w:rPr>
          <w:color w:val="202020"/>
          <w:sz w:val="20"/>
        </w:rPr>
        <w:t>An open standard for distributed traces; enabled with OTEL_EXPORTER_OTLP_ENDPOINT.</w:t>
      </w:r>
    </w:p>
    <w:p>
      <w:pPr>
        <w:spacing w:after="160"/>
        <w:ind w:left="240"/>
      </w:pPr>
      <w:r>
        <w:rPr>
          <w:b/>
          <w:color w:val="595959"/>
          <w:sz w:val="19"/>
        </w:rPr>
        <w:t xml:space="preserve">Why it matters  </w:t>
      </w:r>
      <w:r>
        <w:rPr>
          <w:color w:val="202020"/>
          <w:sz w:val="20"/>
        </w:rPr>
        <w:t>Gives end-to-end spans plus a correlation id linking logs, dead-letter records and spans for one run.</w:t>
      </w:r>
    </w:p>
    <w:p>
      <w:pPr>
        <w:spacing w:after="20"/>
        <w:keepNext/>
      </w:pPr>
      <w:r>
        <w:rPr>
          <w:b/>
          <w:color w:val="1F3864"/>
          <w:sz w:val="22"/>
        </w:rPr>
        <w:t>Metric / dashboard / alert</w:t>
      </w:r>
    </w:p>
    <w:p>
      <w:pPr>
        <w:spacing w:after="20"/>
        <w:ind w:left="240"/>
      </w:pPr>
      <w:r>
        <w:rPr>
          <w:b/>
          <w:color w:val="595959"/>
          <w:sz w:val="19"/>
        </w:rPr>
        <w:t xml:space="preserve">What it is  </w:t>
      </w:r>
      <w:r>
        <w:rPr>
          <w:color w:val="202020"/>
          <w:sz w:val="20"/>
        </w:rPr>
        <w:t>A Prometheus metric from /metrics; a Grafana panel over it; a rule that fires on a threshold.</w:t>
      </w:r>
    </w:p>
    <w:p>
      <w:pPr>
        <w:spacing w:after="160"/>
        <w:ind w:left="240"/>
      </w:pPr>
      <w:r>
        <w:rPr>
          <w:b/>
          <w:color w:val="595959"/>
          <w:sz w:val="19"/>
        </w:rPr>
        <w:t xml:space="preserve">Why it matters  </w:t>
      </w:r>
      <w:r>
        <w:rPr>
          <w:color w:val="202020"/>
          <w:sz w:val="20"/>
        </w:rPr>
        <w:t>The ops/ folder ships all three; they are how you see health and get paged before users notice.</w:t>
      </w:r>
    </w:p>
    <w:p>
      <w:pPr>
        <w:spacing w:after="20"/>
        <w:keepNext/>
      </w:pPr>
      <w:r>
        <w:rPr>
          <w:b/>
          <w:color w:val="1F3864"/>
          <w:sz w:val="22"/>
        </w:rPr>
        <w:t>Dead-letter redaction</w:t>
      </w:r>
    </w:p>
    <w:p>
      <w:pPr>
        <w:spacing w:after="20"/>
        <w:ind w:left="240"/>
      </w:pPr>
      <w:r>
        <w:rPr>
          <w:b/>
          <w:color w:val="595959"/>
          <w:sz w:val="19"/>
        </w:rPr>
        <w:t xml:space="preserve">What it is  </w:t>
      </w:r>
      <w:r>
        <w:rPr>
          <w:color w:val="202020"/>
          <w:sz w:val="20"/>
        </w:rPr>
        <w:t>DEADLETTER_PAYLOAD_MODE=redacted strips item values/content from dead-letter records, keeping ids/errors/ACLs/field names + sha256 hashes.</w:t>
      </w:r>
    </w:p>
    <w:p>
      <w:pPr>
        <w:spacing w:after="160"/>
        <w:ind w:left="240"/>
      </w:pPr>
      <w:r>
        <w:rPr>
          <w:b/>
          <w:color w:val="595959"/>
          <w:sz w:val="19"/>
        </w:rPr>
        <w:t xml:space="preserve">Why it matters  </w:t>
      </w:r>
      <w:r>
        <w:rPr>
          <w:color w:val="202020"/>
          <w:sz w:val="20"/>
        </w:rPr>
        <w:t>Set it wherever source records contain sensitive data; retry-failed re-fetches from the source, so redaction costs nothing at retry time.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95959"/>
        <w:sz w:val="16"/>
      </w:rPr>
      <w:t>Confidential — for internal deployment, monitoring &amp; support use</w:t>
    </w:r>
    <w:r>
      <w:rPr>
        <w:color w:val="595959"/>
        <w:sz w:val="16"/>
      </w:rPr>
      <w:tab/>
    </w: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2E5496"/>
      </w:pBdr>
    </w:pPr>
    <w:r>
      <w:rPr>
        <w:color w:val="595959"/>
        <w:sz w:val="16"/>
      </w:rPr>
      <w:t>Copilot Connectors — Tenant &amp; Common Concepts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