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64CC3" w14:textId="458AFE8B" w:rsidR="00941318" w:rsidRDefault="009347D9">
      <w:r>
        <w:t>Daniel Lesser</w:t>
      </w:r>
    </w:p>
    <w:p w14:paraId="06C42323" w14:textId="516BE618" w:rsidR="009347D9" w:rsidRDefault="009347D9">
      <w:r>
        <w:t>Marketing Analytics Final: Portuguese Bank Case</w:t>
      </w:r>
      <w:r w:rsidR="008827E2">
        <w:t xml:space="preserve"> Memo to Marketing Director</w:t>
      </w:r>
    </w:p>
    <w:p w14:paraId="0029B0C3" w14:textId="0BBBFC31" w:rsidR="009347D9" w:rsidRDefault="009347D9" w:rsidP="009347D9">
      <w:pPr>
        <w:spacing w:line="480" w:lineRule="auto"/>
      </w:pPr>
      <w:r>
        <w:tab/>
        <w:t xml:space="preserve">Many European banks, including our own, are under pressure to increase financial assets due to market competition and the </w:t>
      </w:r>
      <w:r w:rsidR="009C7086">
        <w:t xml:space="preserve">recent </w:t>
      </w:r>
      <w:r>
        <w:t>financial crisis.  At the same time, it is important to reduce costs and maintain a lean marketing strategy.</w:t>
      </w:r>
      <w:r w:rsidR="00BE39B9">
        <w:t xml:space="preserve">  Rather than use mass marketing campaigns which are costly and have low success rates, our bank has used direct</w:t>
      </w:r>
      <w:r w:rsidR="005C10D5">
        <w:t xml:space="preserve"> tele</w:t>
      </w:r>
      <w:r w:rsidR="00BE39B9">
        <w:t xml:space="preserve">marketing in recent years to increase customer deposits.  This memo details why a data-driven approach can help better predict which customers are more likely to subscribe, increase the effectiveness of future campaigns, and </w:t>
      </w:r>
      <w:r w:rsidR="009C7086">
        <w:t xml:space="preserve">ultimately </w:t>
      </w:r>
      <w:r w:rsidR="00BE39B9">
        <w:t>increase profits.</w:t>
      </w:r>
    </w:p>
    <w:p w14:paraId="237A4227" w14:textId="0F89C53C" w:rsidR="006D13BD" w:rsidRDefault="00BE39B9" w:rsidP="009347D9">
      <w:pPr>
        <w:spacing w:line="480" w:lineRule="auto"/>
      </w:pPr>
      <w:r>
        <w:tab/>
        <w:t xml:space="preserve">Previous campaigns have seen 8% </w:t>
      </w:r>
      <w:r w:rsidR="009C7086">
        <w:t xml:space="preserve">of </w:t>
      </w:r>
      <w:r>
        <w:t>contacted customers</w:t>
      </w:r>
      <w:r w:rsidR="009C7086">
        <w:t xml:space="preserve"> convert</w:t>
      </w:r>
      <w:r>
        <w:t xml:space="preserve">.  In order to </w:t>
      </w:r>
      <w:r w:rsidR="009C7086">
        <w:t xml:space="preserve">better </w:t>
      </w:r>
      <w:r>
        <w:t xml:space="preserve">understand our customer base, a few descriptive statistics are likely to be helpful.  </w:t>
      </w:r>
      <w:r w:rsidR="00A23755">
        <w:t>Previous</w:t>
      </w:r>
      <w:r w:rsidR="005C10D5">
        <w:t xml:space="preserve"> marketing appears to have been more effective among younger customers</w:t>
      </w:r>
      <w:r w:rsidR="00A23755">
        <w:t>, students, retirees, as well as</w:t>
      </w:r>
      <w:r w:rsidR="005C10D5">
        <w:t xml:space="preserve"> customers </w:t>
      </w:r>
      <w:r w:rsidR="00A23755">
        <w:t>who had longer calls with our marketing team.  Based on this, it may be worthwhile targeting individuals who have more time on their hands and are available to listen to our offer</w:t>
      </w:r>
      <w:r w:rsidR="009C7086">
        <w:t>s</w:t>
      </w:r>
      <w:r w:rsidR="00A23755">
        <w:t>.</w:t>
      </w:r>
      <w:r w:rsidR="009C7086">
        <w:t xml:space="preserve"> </w:t>
      </w:r>
      <w:r w:rsidR="007E6164">
        <w:t xml:space="preserve"> </w:t>
      </w:r>
      <w:bookmarkStart w:id="0" w:name="_GoBack"/>
      <w:r w:rsidR="007E6164">
        <w:t>One caveat is that a long call duration is likely the result of campaign success rather than the other way around</w:t>
      </w:r>
      <w:r w:rsidR="008D4E5D">
        <w:t xml:space="preserve"> and would not be known before calling</w:t>
      </w:r>
      <w:r w:rsidR="007E6164">
        <w:t>, so that feature will be removed for all further analyses.</w:t>
      </w:r>
      <w:bookmarkEnd w:id="0"/>
    </w:p>
    <w:p w14:paraId="27897FAD" w14:textId="44845DA9" w:rsidR="00BE39B9" w:rsidRDefault="003A0C21" w:rsidP="006D13BD">
      <w:pPr>
        <w:spacing w:line="480" w:lineRule="auto"/>
        <w:ind w:firstLine="720"/>
      </w:pPr>
      <w:r>
        <w:t>In the next stage, we will apply more rigorous data mining methodologies to see whether these findings may help us predict which customers are more likely to respond positively to marketing campaigns.</w:t>
      </w:r>
      <w:r w:rsidR="006D13BD">
        <w:t xml:space="preserve">  For each model, the data from previous marketing campaigns has been divided up into train, validation and test samples.  The first sample will be used to train the model, the second sample will help us select the best model</w:t>
      </w:r>
      <w:r w:rsidR="009C7086">
        <w:t>,</w:t>
      </w:r>
      <w:r w:rsidR="006D13BD">
        <w:t xml:space="preserve"> and then the test data will be used at the end as an estimate of a model’s effectiveness on a new, </w:t>
      </w:r>
      <w:r w:rsidR="009C7086">
        <w:t>‘</w:t>
      </w:r>
      <w:r w:rsidR="006D13BD">
        <w:t>unseen</w:t>
      </w:r>
      <w:r w:rsidR="009C7086">
        <w:t>’</w:t>
      </w:r>
      <w:r w:rsidR="006D13BD">
        <w:t xml:space="preserve"> set of customers.</w:t>
      </w:r>
    </w:p>
    <w:p w14:paraId="793876E1" w14:textId="3360553B" w:rsidR="003A0C21" w:rsidRDefault="003A0C21" w:rsidP="009347D9">
      <w:pPr>
        <w:spacing w:line="480" w:lineRule="auto"/>
      </w:pPr>
      <w:r>
        <w:tab/>
        <w:t xml:space="preserve">The first approach used is Logistic Regression.  Logistic Regression </w:t>
      </w:r>
      <w:r w:rsidR="006D13BD">
        <w:t xml:space="preserve">is a linear classification method that maps customers to discrete outcomes, such as </w:t>
      </w:r>
      <w:proofErr w:type="gramStart"/>
      <w:r w:rsidR="006D13BD">
        <w:t xml:space="preserve">whether </w:t>
      </w:r>
      <w:r w:rsidR="008B501B">
        <w:t>or not</w:t>
      </w:r>
      <w:proofErr w:type="gramEnd"/>
      <w:r w:rsidR="008B501B">
        <w:t xml:space="preserve"> </w:t>
      </w:r>
      <w:r w:rsidR="006D13BD">
        <w:t xml:space="preserve">they agree to provide more deposits.  In this case, it is useful to identify the average contribution that each feature provides to an </w:t>
      </w:r>
      <w:r w:rsidR="006D13BD">
        <w:lastRenderedPageBreak/>
        <w:t xml:space="preserve">individual’s likelihood to provide further deposits following a campaign.   Several models were tried and while the best performing model was one with additional feature interactions, we </w:t>
      </w:r>
      <w:r w:rsidR="009C7086">
        <w:t xml:space="preserve">nominate </w:t>
      </w:r>
      <w:r w:rsidR="006D13BD">
        <w:t xml:space="preserve">a simple ‘full’ logistic regression model for </w:t>
      </w:r>
      <w:r w:rsidR="005464F3">
        <w:t>interpretability</w:t>
      </w:r>
      <w:r w:rsidR="006D13BD">
        <w:t xml:space="preserve"> </w:t>
      </w:r>
      <w:r w:rsidR="005464F3">
        <w:t xml:space="preserve">reasons.  From this model, we learn that </w:t>
      </w:r>
      <w:r w:rsidR="00043EBE">
        <w:t>some features are strong indicators</w:t>
      </w:r>
      <w:r w:rsidR="00030271">
        <w:t xml:space="preserve"> of campaign success and others are strong indicators of campaign failure, as can be seen in Figure 1.</w:t>
      </w:r>
      <w:r w:rsidR="008B501B">
        <w:t xml:space="preserve">  The most important positive drivers include success in previous marketing campaigns, certain months of the year</w:t>
      </w:r>
      <w:r w:rsidR="008D4E5D">
        <w:t>,</w:t>
      </w:r>
      <w:r w:rsidR="008B501B">
        <w:t xml:space="preserve"> and if the individual is a student or has had post-secondary education.  Certain features that indicate an individual is unlikely to respond to a marketing campaign include certain months of the year, if they have a loan of any type </w:t>
      </w:r>
      <w:r w:rsidR="007E6164">
        <w:t>or if they are married</w:t>
      </w:r>
      <w:r w:rsidR="008B501B">
        <w:t>.  This confirms some of our earlier expectations based on exploratory data analysis, while opening new focal points for further consideration.</w:t>
      </w:r>
    </w:p>
    <w:p w14:paraId="4E25B486" w14:textId="754883E2" w:rsidR="008B501B" w:rsidRDefault="008B501B" w:rsidP="009347D9">
      <w:pPr>
        <w:spacing w:line="480" w:lineRule="auto"/>
      </w:pPr>
      <w:r>
        <w:tab/>
      </w:r>
      <w:r w:rsidR="001835E7">
        <w:t xml:space="preserve">It </w:t>
      </w:r>
      <w:r>
        <w:t>is important to review the efficacy of the model.</w:t>
      </w:r>
      <w:r w:rsidR="006D41D4">
        <w:t xml:space="preserve">  There are many measures of performance, though we feel the most relevant measures will be</w:t>
      </w:r>
      <w:r w:rsidR="00504A0B">
        <w:t xml:space="preserve"> correctly identifying customers who will provide additional deposits (True Positive Rate</w:t>
      </w:r>
      <w:r w:rsidR="0044136A">
        <w:t>/TPR</w:t>
      </w:r>
      <w:r w:rsidR="00504A0B">
        <w:t>), not mistaking customers for positive when in fact they are negative (False Positive Rate</w:t>
      </w:r>
      <w:r w:rsidR="0044136A">
        <w:t>/FPR</w:t>
      </w:r>
      <w:r w:rsidR="00504A0B">
        <w:t xml:space="preserve">) and the ability to enhance responses for our target </w:t>
      </w:r>
      <w:r w:rsidR="00E94773">
        <w:t>group</w:t>
      </w:r>
      <w:r w:rsidR="00504A0B">
        <w:t xml:space="preserve"> </w:t>
      </w:r>
      <w:r w:rsidR="00E94773">
        <w:t xml:space="preserve">versus the population average </w:t>
      </w:r>
      <w:r w:rsidR="00504A0B">
        <w:t>(Lift).</w:t>
      </w:r>
      <w:r w:rsidR="0044136A">
        <w:t xml:space="preserve">  We want a TPR as close to 1 as possible and a</w:t>
      </w:r>
      <w:r w:rsidR="001835E7">
        <w:t>n</w:t>
      </w:r>
      <w:r w:rsidR="0044136A">
        <w:t xml:space="preserve"> FPR as close to zero as possible.  In our validation sample, our True Positive Rate is </w:t>
      </w:r>
      <w:r w:rsidR="007E6164">
        <w:t>37.1</w:t>
      </w:r>
      <w:r w:rsidR="0044136A">
        <w:t xml:space="preserve">% and our False Positive Rate is </w:t>
      </w:r>
      <w:r w:rsidR="007E6164">
        <w:t>4.6</w:t>
      </w:r>
      <w:r w:rsidR="0044136A">
        <w:t xml:space="preserve">%.  This means we will capture about </w:t>
      </w:r>
      <w:r w:rsidR="007E6164">
        <w:t>37</w:t>
      </w:r>
      <w:r w:rsidR="0044136A">
        <w:t xml:space="preserve">% of likely depositors and only capture about </w:t>
      </w:r>
      <w:r w:rsidR="007E6164">
        <w:t>5</w:t>
      </w:r>
      <w:r w:rsidR="0044136A">
        <w:t>% erroneous customers in any future marketing campaign using this model.</w:t>
      </w:r>
      <w:r w:rsidR="00ED5109">
        <w:t xml:space="preserve">  The lift was </w:t>
      </w:r>
      <w:r w:rsidR="007E6164">
        <w:t>4.17</w:t>
      </w:r>
      <w:r w:rsidR="00ED5109">
        <w:t>.</w:t>
      </w:r>
    </w:p>
    <w:p w14:paraId="3636C675" w14:textId="457B68A7" w:rsidR="00A442C0" w:rsidRDefault="00A442C0" w:rsidP="009347D9">
      <w:pPr>
        <w:spacing w:line="480" w:lineRule="auto"/>
      </w:pPr>
      <w:r>
        <w:tab/>
        <w:t xml:space="preserve">Another potential modeling approach is a decision tree.  A decision tree seeks </w:t>
      </w:r>
      <w:r w:rsidR="00ED5109">
        <w:t xml:space="preserve">to successively split the data into smaller chunks that distill the different types of customers into individual leaves.  It does this by identifying the feature at each split that provides the biggest increase in ‘purity’.  The results of the decision tree model were </w:t>
      </w:r>
      <w:r w:rsidR="007E6164">
        <w:t xml:space="preserve">worse than that </w:t>
      </w:r>
      <w:r w:rsidR="00ED5109">
        <w:t xml:space="preserve">of logistic regression, with a TPR of </w:t>
      </w:r>
      <w:r w:rsidR="007E6164">
        <w:t>18.0</w:t>
      </w:r>
      <w:r w:rsidR="00ED5109">
        <w:t xml:space="preserve">%, </w:t>
      </w:r>
      <w:proofErr w:type="gramStart"/>
      <w:r w:rsidR="00ED5109">
        <w:t>a</w:t>
      </w:r>
      <w:proofErr w:type="gramEnd"/>
      <w:r w:rsidR="00ED5109">
        <w:t xml:space="preserve"> FPR of </w:t>
      </w:r>
      <w:r w:rsidR="007E6164">
        <w:t>1.3</w:t>
      </w:r>
      <w:r w:rsidR="00ED5109">
        <w:t xml:space="preserve">% and lift of </w:t>
      </w:r>
      <w:r w:rsidR="007E6164">
        <w:t>1</w:t>
      </w:r>
      <w:r w:rsidR="00ED5109">
        <w:t xml:space="preserve">.  Due to the </w:t>
      </w:r>
      <w:r w:rsidR="007E6164">
        <w:t xml:space="preserve">stronger </w:t>
      </w:r>
      <w:r w:rsidR="00ED5109">
        <w:t>performance and simplicity of logistic regression, we will be using that model for our marketing suggestions.</w:t>
      </w:r>
    </w:p>
    <w:p w14:paraId="4DA6E1D0" w14:textId="14BA39CB" w:rsidR="00ED5109" w:rsidRDefault="00ED5109" w:rsidP="009347D9">
      <w:pPr>
        <w:spacing w:line="480" w:lineRule="auto"/>
      </w:pPr>
      <w:r>
        <w:lastRenderedPageBreak/>
        <w:tab/>
      </w:r>
      <w:r w:rsidR="005027C1">
        <w:t xml:space="preserve">Previous marketing campaigns have centered around calling up individual customers and trying to convince them to sign up for attractive long-term deposit subscriptions at favorable rates.  One alternative approach could be to </w:t>
      </w:r>
      <w:r w:rsidR="0002610D">
        <w:t>do a mass-market advertising initiative on television, which would reach non-customers as well.  However, success rates for these types of campaigns have diminished in recent times</w:t>
      </w:r>
      <w:r w:rsidR="0002610D">
        <w:rPr>
          <w:rStyle w:val="FootnoteReference"/>
        </w:rPr>
        <w:footnoteReference w:id="1"/>
      </w:r>
      <w:r w:rsidR="0002610D">
        <w:t xml:space="preserve"> and thus we </w:t>
      </w:r>
      <w:r w:rsidR="0070690B">
        <w:t xml:space="preserve">do </w:t>
      </w:r>
      <w:r w:rsidR="0002610D">
        <w:t xml:space="preserve">not suggest this approach.  Instead, we propose </w:t>
      </w:r>
      <w:r w:rsidR="00543A26">
        <w:t>a targeted marketing campaign during peak months of the year.  Based on the results of the logistic regression model, the end of each quarter appears to be a good time to convince customers to provide additional deposits.  In addition, we should focus on current and former students as well as retirees as they have the highest likelihood to convert.  Those with financial obligations (loans) should be avoided.  A traditional telemarketing campaign can be supplemented with mailings and emails at</w:t>
      </w:r>
      <w:r w:rsidR="0070690B">
        <w:t xml:space="preserve"> a</w:t>
      </w:r>
      <w:r w:rsidR="00543A26">
        <w:t xml:space="preserve"> lower cost to the bank.</w:t>
      </w:r>
    </w:p>
    <w:p w14:paraId="7B2B35C7" w14:textId="7CC08EBE" w:rsidR="00332F10" w:rsidRDefault="00332F10" w:rsidP="000315E6">
      <w:pPr>
        <w:spacing w:line="480" w:lineRule="auto"/>
      </w:pPr>
      <w:r>
        <w:tab/>
      </w:r>
      <w:r w:rsidR="009204A6">
        <w:t xml:space="preserve">Based on our test dataset of 4,489 customers, we would successfully target </w:t>
      </w:r>
      <w:r w:rsidR="00141AEE">
        <w:t>201</w:t>
      </w:r>
      <w:r w:rsidR="009204A6">
        <w:t xml:space="preserve"> (</w:t>
      </w:r>
      <w:r w:rsidR="00141AEE">
        <w:t>4</w:t>
      </w:r>
      <w:r w:rsidR="009204A6">
        <w:t xml:space="preserve">%) of customers and incorrectly target </w:t>
      </w:r>
      <w:r w:rsidR="008D4E5D">
        <w:t>181</w:t>
      </w:r>
      <w:r w:rsidR="009204A6">
        <w:t xml:space="preserve"> customers (</w:t>
      </w:r>
      <w:r w:rsidR="008D4E5D">
        <w:t>4</w:t>
      </w:r>
      <w:r w:rsidR="009204A6">
        <w:t xml:space="preserve">%).  While this would mean we missed out </w:t>
      </w:r>
      <w:r w:rsidR="008D4E5D">
        <w:t xml:space="preserve">on 8% of </w:t>
      </w:r>
      <w:r w:rsidR="009204A6">
        <w:t xml:space="preserve">customers who would have responded positively to the promotion, we will save marketing costs on </w:t>
      </w:r>
      <w:r w:rsidR="000315E6">
        <w:t>the other 8</w:t>
      </w:r>
      <w:r w:rsidR="00141AEE">
        <w:t>4</w:t>
      </w:r>
      <w:r w:rsidR="000315E6">
        <w:t>% of customers.  Assuming each telemarketing agent is paid $15/hour, we know that each call should cost about $1.10 based on average call duration. We will also assume that each deposit received will earn the bank $10</w:t>
      </w:r>
      <w:r w:rsidR="0013687F">
        <w:t xml:space="preserve"> in new revenue</w:t>
      </w:r>
      <w:r w:rsidR="000315E6">
        <w:t>.  In the old model, there was a profit of $</w:t>
      </w:r>
      <w:r w:rsidR="00141AEE">
        <w:t xml:space="preserve">532 </w:t>
      </w:r>
      <w:r w:rsidR="000315E6">
        <w:t>for this sample</w:t>
      </w:r>
      <w:r w:rsidR="006414FA">
        <w:t xml:space="preserve"> (Figure 2)</w:t>
      </w:r>
      <w:r w:rsidR="000315E6">
        <w:t>.  Using our new approach, the profit would be $</w:t>
      </w:r>
      <w:r w:rsidR="00141AEE">
        <w:t>1,590</w:t>
      </w:r>
      <w:r w:rsidR="006414FA">
        <w:t xml:space="preserve"> (Figure 3)</w:t>
      </w:r>
      <w:r w:rsidR="000315E6">
        <w:t>.  Should the actual costs and profits per customer be different, new figures can be plugged in and the outcome recalculated.</w:t>
      </w:r>
    </w:p>
    <w:p w14:paraId="046E98EA" w14:textId="65080251" w:rsidR="00B86BD1" w:rsidRDefault="00B86BD1" w:rsidP="000315E6">
      <w:pPr>
        <w:spacing w:line="480" w:lineRule="auto"/>
      </w:pPr>
      <w:r>
        <w:tab/>
      </w:r>
      <w:r w:rsidR="00C93020">
        <w:t>Based on our findings, a data-driven approach can be used to improve the results of future marketing initiatives.  A logistic regression model helped identify likely depositors, reduce marketing costs</w:t>
      </w:r>
      <w:r w:rsidR="000D0650">
        <w:t>,</w:t>
      </w:r>
      <w:r w:rsidR="00C93020">
        <w:t xml:space="preserve"> and increase overall profit.</w:t>
      </w:r>
    </w:p>
    <w:p w14:paraId="5DD92980" w14:textId="7B05C13E" w:rsidR="00030271" w:rsidRDefault="00030271"/>
    <w:p w14:paraId="5559A1C8" w14:textId="77777777" w:rsidR="00030271" w:rsidRDefault="00030271" w:rsidP="00030271">
      <w:pPr>
        <w:spacing w:line="240" w:lineRule="auto"/>
        <w:rPr>
          <w:b/>
          <w:sz w:val="36"/>
          <w:u w:val="single"/>
        </w:rPr>
      </w:pPr>
      <w:r w:rsidRPr="00030271">
        <w:rPr>
          <w:b/>
          <w:sz w:val="36"/>
          <w:u w:val="single"/>
        </w:rPr>
        <w:lastRenderedPageBreak/>
        <w:t>Appendi</w:t>
      </w:r>
      <w:r>
        <w:rPr>
          <w:b/>
          <w:sz w:val="36"/>
          <w:u w:val="single"/>
        </w:rPr>
        <w:t>x</w:t>
      </w:r>
    </w:p>
    <w:p w14:paraId="5FCE7079" w14:textId="39D03DDF" w:rsidR="00030271" w:rsidRDefault="007E6164" w:rsidP="00030271">
      <w:pPr>
        <w:spacing w:line="240" w:lineRule="auto"/>
        <w:rPr>
          <w:noProof/>
        </w:rPr>
      </w:pPr>
      <w:r>
        <w:rPr>
          <w:noProof/>
        </w:rPr>
        <w:drawing>
          <wp:inline distT="0" distB="0" distL="0" distR="0" wp14:anchorId="36B39222" wp14:editId="4233194A">
            <wp:extent cx="4022143" cy="747812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665" cy="7493967"/>
                    </a:xfrm>
                    <a:prstGeom prst="rect">
                      <a:avLst/>
                    </a:prstGeom>
                    <a:noFill/>
                  </pic:spPr>
                </pic:pic>
              </a:graphicData>
            </a:graphic>
          </wp:inline>
        </w:drawing>
      </w:r>
    </w:p>
    <w:p w14:paraId="44B54367" w14:textId="0418C92D" w:rsidR="00030271" w:rsidRDefault="00030271" w:rsidP="009347D9">
      <w:pPr>
        <w:spacing w:line="480" w:lineRule="auto"/>
      </w:pPr>
      <w:r w:rsidRPr="00030271">
        <w:t>Figure 1</w:t>
      </w:r>
    </w:p>
    <w:p w14:paraId="45EA7420" w14:textId="1FE25824" w:rsidR="006414FA" w:rsidRDefault="00141AEE" w:rsidP="009347D9">
      <w:pPr>
        <w:spacing w:line="480" w:lineRule="auto"/>
        <w:rPr>
          <w:b/>
          <w:sz w:val="36"/>
          <w:u w:val="single"/>
        </w:rPr>
      </w:pPr>
      <w:r w:rsidRPr="00141AEE">
        <w:lastRenderedPageBreak/>
        <w:drawing>
          <wp:inline distT="0" distB="0" distL="0" distR="0" wp14:anchorId="495C18B9" wp14:editId="6D2D3B29">
            <wp:extent cx="4580952" cy="20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952" cy="2066667"/>
                    </a:xfrm>
                    <a:prstGeom prst="rect">
                      <a:avLst/>
                    </a:prstGeom>
                  </pic:spPr>
                </pic:pic>
              </a:graphicData>
            </a:graphic>
          </wp:inline>
        </w:drawing>
      </w:r>
    </w:p>
    <w:p w14:paraId="11CBA5C6" w14:textId="00549CEE" w:rsidR="006414FA" w:rsidRDefault="006414FA" w:rsidP="009347D9">
      <w:pPr>
        <w:spacing w:line="480" w:lineRule="auto"/>
      </w:pPr>
      <w:r w:rsidRPr="006414FA">
        <w:t>Figure 2</w:t>
      </w:r>
    </w:p>
    <w:p w14:paraId="2F3C83DF" w14:textId="5A80DD93" w:rsidR="006414FA" w:rsidRDefault="00141AEE" w:rsidP="009347D9">
      <w:pPr>
        <w:spacing w:line="480" w:lineRule="auto"/>
      </w:pPr>
      <w:r w:rsidRPr="00141AEE">
        <w:drawing>
          <wp:inline distT="0" distB="0" distL="0" distR="0" wp14:anchorId="1CC12F1D" wp14:editId="3A3935CA">
            <wp:extent cx="4580952" cy="2123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952" cy="2123810"/>
                    </a:xfrm>
                    <a:prstGeom prst="rect">
                      <a:avLst/>
                    </a:prstGeom>
                  </pic:spPr>
                </pic:pic>
              </a:graphicData>
            </a:graphic>
          </wp:inline>
        </w:drawing>
      </w:r>
    </w:p>
    <w:p w14:paraId="47E30595" w14:textId="132E6549" w:rsidR="006414FA" w:rsidRPr="006414FA" w:rsidRDefault="006414FA" w:rsidP="009347D9">
      <w:pPr>
        <w:spacing w:line="480" w:lineRule="auto"/>
      </w:pPr>
      <w:r w:rsidRPr="006414FA">
        <w:t xml:space="preserve">Figure </w:t>
      </w:r>
      <w:r>
        <w:t>3</w:t>
      </w:r>
    </w:p>
    <w:sectPr w:rsidR="006414FA" w:rsidRPr="006414F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18579" w14:textId="77777777" w:rsidR="00C73FF1" w:rsidRDefault="00C73FF1" w:rsidP="0002610D">
      <w:pPr>
        <w:spacing w:after="0" w:line="240" w:lineRule="auto"/>
      </w:pPr>
      <w:r>
        <w:separator/>
      </w:r>
    </w:p>
  </w:endnote>
  <w:endnote w:type="continuationSeparator" w:id="0">
    <w:p w14:paraId="73BA5C16" w14:textId="77777777" w:rsidR="00C73FF1" w:rsidRDefault="00C73FF1" w:rsidP="0002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161AA" w14:textId="3CDD77DD" w:rsidR="0002610D" w:rsidRDefault="00026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71CD8" w14:textId="77777777" w:rsidR="00C73FF1" w:rsidRDefault="00C73FF1" w:rsidP="0002610D">
      <w:pPr>
        <w:spacing w:after="0" w:line="240" w:lineRule="auto"/>
      </w:pPr>
      <w:r>
        <w:separator/>
      </w:r>
    </w:p>
  </w:footnote>
  <w:footnote w:type="continuationSeparator" w:id="0">
    <w:p w14:paraId="5BC028EA" w14:textId="77777777" w:rsidR="00C73FF1" w:rsidRDefault="00C73FF1" w:rsidP="0002610D">
      <w:pPr>
        <w:spacing w:after="0" w:line="240" w:lineRule="auto"/>
      </w:pPr>
      <w:r>
        <w:continuationSeparator/>
      </w:r>
    </w:p>
  </w:footnote>
  <w:footnote w:id="1">
    <w:p w14:paraId="7D27B4C9" w14:textId="6A58D810" w:rsidR="0002610D" w:rsidRDefault="0002610D">
      <w:pPr>
        <w:pStyle w:val="FootnoteText"/>
      </w:pPr>
      <w:r>
        <w:rPr>
          <w:rStyle w:val="FootnoteReference"/>
        </w:rPr>
        <w:footnoteRef/>
      </w:r>
      <w:r>
        <w:t xml:space="preserve"> </w:t>
      </w:r>
      <w:proofErr w:type="spellStart"/>
      <w:r>
        <w:rPr>
          <w:sz w:val="18"/>
          <w:szCs w:val="18"/>
        </w:rPr>
        <w:t>Ou</w:t>
      </w:r>
      <w:proofErr w:type="spellEnd"/>
      <w:r>
        <w:rPr>
          <w:sz w:val="18"/>
          <w:szCs w:val="18"/>
        </w:rPr>
        <w:t xml:space="preserve">, C., Liu, C., Huang, J. and Zhong, N. 2003. “On Data Mining for Direct Marketing”. In </w:t>
      </w:r>
      <w:r>
        <w:rPr>
          <w:i/>
          <w:iCs/>
          <w:sz w:val="18"/>
          <w:szCs w:val="18"/>
        </w:rPr>
        <w:t xml:space="preserve">Proceedings of the 9th </w:t>
      </w:r>
      <w:proofErr w:type="spellStart"/>
      <w:r>
        <w:rPr>
          <w:i/>
          <w:iCs/>
          <w:sz w:val="18"/>
          <w:szCs w:val="18"/>
        </w:rPr>
        <w:t>RSFDGrC</w:t>
      </w:r>
      <w:proofErr w:type="spellEnd"/>
      <w:r>
        <w:rPr>
          <w:i/>
          <w:iCs/>
          <w:sz w:val="18"/>
          <w:szCs w:val="18"/>
        </w:rPr>
        <w:t xml:space="preserve"> conference</w:t>
      </w:r>
      <w:r>
        <w:rPr>
          <w:sz w:val="18"/>
          <w:szCs w:val="18"/>
        </w:rPr>
        <w:t>, 2639, 491–498.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D9"/>
    <w:rsid w:val="0002610D"/>
    <w:rsid w:val="00030271"/>
    <w:rsid w:val="000315E6"/>
    <w:rsid w:val="00043EBE"/>
    <w:rsid w:val="000D0650"/>
    <w:rsid w:val="0013687F"/>
    <w:rsid w:val="00141AEE"/>
    <w:rsid w:val="001835E7"/>
    <w:rsid w:val="001A49C5"/>
    <w:rsid w:val="002060E0"/>
    <w:rsid w:val="002437ED"/>
    <w:rsid w:val="00332F10"/>
    <w:rsid w:val="003A0C21"/>
    <w:rsid w:val="0044136A"/>
    <w:rsid w:val="005027C1"/>
    <w:rsid w:val="00504A0B"/>
    <w:rsid w:val="00543A26"/>
    <w:rsid w:val="005464F3"/>
    <w:rsid w:val="005C10D5"/>
    <w:rsid w:val="006414FA"/>
    <w:rsid w:val="006D13BD"/>
    <w:rsid w:val="006D41D4"/>
    <w:rsid w:val="0070690B"/>
    <w:rsid w:val="007E6164"/>
    <w:rsid w:val="008827E2"/>
    <w:rsid w:val="008B501B"/>
    <w:rsid w:val="008D4E5D"/>
    <w:rsid w:val="009204A6"/>
    <w:rsid w:val="009347D9"/>
    <w:rsid w:val="00941318"/>
    <w:rsid w:val="009C7086"/>
    <w:rsid w:val="00A23755"/>
    <w:rsid w:val="00A442C0"/>
    <w:rsid w:val="00B86BD1"/>
    <w:rsid w:val="00BE39B9"/>
    <w:rsid w:val="00C73FF1"/>
    <w:rsid w:val="00C93020"/>
    <w:rsid w:val="00E94773"/>
    <w:rsid w:val="00ED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E2E7C"/>
  <w15:chartTrackingRefBased/>
  <w15:docId w15:val="{F3D89C4A-804B-4326-AD04-BF64F173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10D"/>
  </w:style>
  <w:style w:type="paragraph" w:styleId="Footer">
    <w:name w:val="footer"/>
    <w:basedOn w:val="Normal"/>
    <w:link w:val="FooterChar"/>
    <w:uiPriority w:val="99"/>
    <w:unhideWhenUsed/>
    <w:rsid w:val="00026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10D"/>
  </w:style>
  <w:style w:type="paragraph" w:styleId="FootnoteText">
    <w:name w:val="footnote text"/>
    <w:basedOn w:val="Normal"/>
    <w:link w:val="FootnoteTextChar"/>
    <w:uiPriority w:val="99"/>
    <w:semiHidden/>
    <w:unhideWhenUsed/>
    <w:rsid w:val="000261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610D"/>
    <w:rPr>
      <w:sz w:val="20"/>
      <w:szCs w:val="20"/>
    </w:rPr>
  </w:style>
  <w:style w:type="character" w:styleId="FootnoteReference">
    <w:name w:val="footnote reference"/>
    <w:basedOn w:val="DefaultParagraphFont"/>
    <w:uiPriority w:val="99"/>
    <w:semiHidden/>
    <w:unhideWhenUsed/>
    <w:rsid w:val="000261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E84CE-908B-4555-8265-B74560B71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24</cp:revision>
  <dcterms:created xsi:type="dcterms:W3CDTF">2019-05-06T19:20:00Z</dcterms:created>
  <dcterms:modified xsi:type="dcterms:W3CDTF">2019-05-09T19:12:00Z</dcterms:modified>
</cp:coreProperties>
</file>