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23D1" w14:textId="2925BA79" w:rsidR="00C75F8A" w:rsidRPr="007B68A8" w:rsidRDefault="00E4077D" w:rsidP="007E1757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7B68A8">
        <w:rPr>
          <w:rFonts w:ascii="Arial" w:hAnsi="Arial" w:cs="Arial"/>
          <w:b/>
          <w:sz w:val="40"/>
          <w:szCs w:val="40"/>
        </w:rPr>
        <w:t>Joseph</w:t>
      </w:r>
      <w:r w:rsidR="006F1A07" w:rsidRPr="007B68A8">
        <w:rPr>
          <w:rFonts w:ascii="Arial" w:hAnsi="Arial" w:cs="Arial"/>
          <w:b/>
          <w:sz w:val="40"/>
          <w:szCs w:val="40"/>
        </w:rPr>
        <w:t xml:space="preserve"> Steele-Perkins</w:t>
      </w:r>
    </w:p>
    <w:p w14:paraId="389DF6EB" w14:textId="77777777" w:rsidR="00D77AE8" w:rsidRDefault="00D77AE8" w:rsidP="006A0D22">
      <w:pPr>
        <w:rPr>
          <w:rFonts w:ascii="Arial" w:hAnsi="Arial" w:cs="Arial"/>
          <w:b/>
        </w:rPr>
      </w:pPr>
    </w:p>
    <w:p w14:paraId="77BE9A00" w14:textId="26BEEFE3" w:rsidR="007B68A8" w:rsidRPr="007B68A8" w:rsidRDefault="007B68A8" w:rsidP="006A0D22">
      <w:pPr>
        <w:rPr>
          <w:rFonts w:ascii="Arial" w:hAnsi="Arial" w:cs="Arial"/>
          <w:b/>
        </w:rPr>
      </w:pPr>
      <w:r w:rsidRPr="007B68A8">
        <w:rPr>
          <w:rFonts w:ascii="Arial" w:hAnsi="Arial" w:cs="Arial"/>
          <w:b/>
        </w:rPr>
        <w:t>Professional Summary</w:t>
      </w:r>
    </w:p>
    <w:p w14:paraId="4814470A" w14:textId="3741874A" w:rsidR="006A0D22" w:rsidRPr="008B686D" w:rsidRDefault="006A0D22" w:rsidP="006A0D22">
      <w:pPr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Development Manager with </w:t>
      </w:r>
      <w:r w:rsidR="00E015FA">
        <w:rPr>
          <w:rFonts w:ascii="Arial" w:hAnsi="Arial" w:cs="Arial"/>
          <w:sz w:val="20"/>
          <w:szCs w:val="20"/>
        </w:rPr>
        <w:t xml:space="preserve">10 years of </w:t>
      </w:r>
      <w:r w:rsidRPr="008B686D">
        <w:rPr>
          <w:rFonts w:ascii="Arial" w:hAnsi="Arial" w:cs="Arial"/>
          <w:sz w:val="20"/>
          <w:szCs w:val="20"/>
        </w:rPr>
        <w:t>experience in leading teams that deliver database solutions. Involved in entire software life-cycle, from supporting requirements gathering, creating technical design to managing build and release/im</w:t>
      </w:r>
      <w:bookmarkStart w:id="0" w:name="_GoBack"/>
      <w:bookmarkEnd w:id="0"/>
      <w:r w:rsidRPr="008B686D">
        <w:rPr>
          <w:rFonts w:ascii="Arial" w:hAnsi="Arial" w:cs="Arial"/>
          <w:sz w:val="20"/>
          <w:szCs w:val="20"/>
        </w:rPr>
        <w:t>plementation. Passionate about creating optimised and robust deployment pipeline that will deliver fast and error-free.</w:t>
      </w:r>
    </w:p>
    <w:p w14:paraId="42E3411E" w14:textId="13E0FBF0" w:rsidR="00490CE2" w:rsidRDefault="007B68A8" w:rsidP="00EF0EE5">
      <w:pPr>
        <w:spacing w:before="240"/>
        <w:rPr>
          <w:rFonts w:ascii="Arial" w:hAnsi="Arial" w:cs="Arial"/>
          <w:b/>
        </w:rPr>
      </w:pPr>
      <w:r w:rsidRPr="007B68A8">
        <w:rPr>
          <w:rFonts w:ascii="Arial" w:hAnsi="Arial" w:cs="Arial"/>
          <w:b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6014" w14:paraId="32AE9310" w14:textId="77777777" w:rsidTr="00905A36">
        <w:trPr>
          <w:trHeight w:val="945"/>
        </w:trPr>
        <w:tc>
          <w:tcPr>
            <w:tcW w:w="3005" w:type="dxa"/>
          </w:tcPr>
          <w:p w14:paraId="2DB7CC99" w14:textId="481842F9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Database development and management (Data Warehouse and RDMS)</w:t>
            </w:r>
          </w:p>
        </w:tc>
        <w:tc>
          <w:tcPr>
            <w:tcW w:w="3005" w:type="dxa"/>
          </w:tcPr>
          <w:p w14:paraId="4E5FC22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 modelling</w:t>
            </w:r>
          </w:p>
          <w:p w14:paraId="7F30D16F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14:paraId="31F7AB8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 xml:space="preserve">SQL/SQL Server/T-SQL </w:t>
            </w:r>
          </w:p>
          <w:p w14:paraId="0EDF96F3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</w:tr>
      <w:tr w:rsidR="00186014" w14:paraId="314D6755" w14:textId="77777777" w:rsidTr="00905A36">
        <w:trPr>
          <w:trHeight w:val="562"/>
        </w:trPr>
        <w:tc>
          <w:tcPr>
            <w:tcW w:w="3005" w:type="dxa"/>
          </w:tcPr>
          <w:p w14:paraId="6E4C9BC9" w14:textId="1945EBEB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SSIS</w:t>
            </w:r>
          </w:p>
        </w:tc>
        <w:tc>
          <w:tcPr>
            <w:tcW w:w="3005" w:type="dxa"/>
          </w:tcPr>
          <w:p w14:paraId="0C015918" w14:textId="2A78683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Stakeholder relationships</w:t>
            </w:r>
          </w:p>
        </w:tc>
        <w:tc>
          <w:tcPr>
            <w:tcW w:w="3006" w:type="dxa"/>
          </w:tcPr>
          <w:p w14:paraId="2AC3B6ED" w14:textId="68420720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Solution design</w:t>
            </w:r>
          </w:p>
        </w:tc>
      </w:tr>
      <w:tr w:rsidR="00186014" w14:paraId="64ACBEC6" w14:textId="77777777" w:rsidTr="00905A36">
        <w:trPr>
          <w:trHeight w:val="570"/>
        </w:trPr>
        <w:tc>
          <w:tcPr>
            <w:tcW w:w="3005" w:type="dxa"/>
          </w:tcPr>
          <w:p w14:paraId="0181FB6E" w14:textId="65CE16F5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Jira administration</w:t>
            </w:r>
          </w:p>
        </w:tc>
        <w:tc>
          <w:tcPr>
            <w:tcW w:w="3005" w:type="dxa"/>
          </w:tcPr>
          <w:p w14:paraId="72974C60" w14:textId="2E53A04D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Git/GitLab</w:t>
            </w:r>
          </w:p>
        </w:tc>
        <w:tc>
          <w:tcPr>
            <w:tcW w:w="3006" w:type="dxa"/>
          </w:tcPr>
          <w:p w14:paraId="3159FF87" w14:textId="5939880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PowerShell</w:t>
            </w:r>
          </w:p>
        </w:tc>
      </w:tr>
      <w:tr w:rsidR="00186014" w14:paraId="0C142F5F" w14:textId="77777777" w:rsidTr="00905A36">
        <w:trPr>
          <w:trHeight w:val="408"/>
        </w:trPr>
        <w:tc>
          <w:tcPr>
            <w:tcW w:w="3005" w:type="dxa"/>
          </w:tcPr>
          <w:p w14:paraId="5AD362C8" w14:textId="0F238CFF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Development life-cycle</w:t>
            </w:r>
          </w:p>
        </w:tc>
        <w:tc>
          <w:tcPr>
            <w:tcW w:w="3005" w:type="dxa"/>
          </w:tcPr>
          <w:p w14:paraId="7A816E11" w14:textId="61E4C510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SAP Business Objects</w:t>
            </w:r>
          </w:p>
        </w:tc>
        <w:tc>
          <w:tcPr>
            <w:tcW w:w="3006" w:type="dxa"/>
          </w:tcPr>
          <w:p w14:paraId="52687318" w14:textId="2068DA05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DevOps principles</w:t>
            </w:r>
          </w:p>
        </w:tc>
      </w:tr>
      <w:tr w:rsidR="00905A36" w14:paraId="5889D148" w14:textId="77777777" w:rsidTr="00905A36">
        <w:tc>
          <w:tcPr>
            <w:tcW w:w="3005" w:type="dxa"/>
          </w:tcPr>
          <w:p w14:paraId="50ACCEC7" w14:textId="7C244179" w:rsidR="00905A36" w:rsidRPr="007B68A8" w:rsidRDefault="00905A36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Development resource planning </w:t>
            </w:r>
            <w:r w:rsidR="008631AD">
              <w:rPr>
                <w:rFonts w:ascii="Arial" w:hAnsi="Arial" w:cs="Arial"/>
                <w:sz w:val="20"/>
                <w:szCs w:val="20"/>
              </w:rPr>
              <w:t>and management</w:t>
            </w:r>
          </w:p>
        </w:tc>
        <w:tc>
          <w:tcPr>
            <w:tcW w:w="3005" w:type="dxa"/>
          </w:tcPr>
          <w:p w14:paraId="108575FF" w14:textId="125DAE9F" w:rsidR="00905A36" w:rsidRPr="007B68A8" w:rsidRDefault="00503BF7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 management</w:t>
            </w:r>
          </w:p>
        </w:tc>
        <w:tc>
          <w:tcPr>
            <w:tcW w:w="3006" w:type="dxa"/>
          </w:tcPr>
          <w:p w14:paraId="6B0C78F9" w14:textId="77777777" w:rsidR="00905A36" w:rsidRPr="007B68A8" w:rsidRDefault="00905A36" w:rsidP="001860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749908" w14:textId="6E1F965B" w:rsidR="00186014" w:rsidRDefault="00186014" w:rsidP="006F1A07">
      <w:pPr>
        <w:rPr>
          <w:rFonts w:ascii="Arial" w:hAnsi="Arial" w:cs="Arial"/>
          <w:sz w:val="20"/>
          <w:szCs w:val="20"/>
        </w:rPr>
      </w:pPr>
    </w:p>
    <w:p w14:paraId="096DC004" w14:textId="43220B73" w:rsidR="009F7538" w:rsidRPr="009216BB" w:rsidRDefault="009216BB" w:rsidP="009216BB">
      <w:pPr>
        <w:spacing w:before="240"/>
        <w:rPr>
          <w:rFonts w:ascii="Arial" w:hAnsi="Arial" w:cs="Arial"/>
          <w:b/>
        </w:rPr>
      </w:pPr>
      <w:r w:rsidRPr="009216BB">
        <w:rPr>
          <w:rFonts w:ascii="Arial" w:hAnsi="Arial" w:cs="Arial"/>
          <w:b/>
        </w:rPr>
        <w:t>Career Highlights</w:t>
      </w:r>
    </w:p>
    <w:p w14:paraId="0BA022D2" w14:textId="5A4FDCDA" w:rsidR="00D05EF4" w:rsidRPr="005D2F8E" w:rsidRDefault="006B172E" w:rsidP="003740B1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9216BB" w:rsidRPr="005D2F8E">
        <w:rPr>
          <w:rFonts w:ascii="Arial" w:hAnsi="Arial" w:cs="Arial"/>
          <w:sz w:val="20"/>
          <w:szCs w:val="20"/>
        </w:rPr>
        <w:t xml:space="preserve"> development of marketing data warehouse and </w:t>
      </w:r>
      <w:r w:rsidR="00D05EF4" w:rsidRPr="005D2F8E">
        <w:rPr>
          <w:rFonts w:ascii="Arial" w:hAnsi="Arial" w:cs="Arial"/>
          <w:sz w:val="20"/>
          <w:szCs w:val="20"/>
        </w:rPr>
        <w:t xml:space="preserve">periphery </w:t>
      </w:r>
      <w:r w:rsidR="009216BB" w:rsidRPr="005D2F8E">
        <w:rPr>
          <w:rFonts w:ascii="Arial" w:hAnsi="Arial" w:cs="Arial"/>
          <w:sz w:val="20"/>
          <w:szCs w:val="20"/>
        </w:rPr>
        <w:t>data marts.</w:t>
      </w:r>
    </w:p>
    <w:p w14:paraId="37C089B3" w14:textId="5D6A2448" w:rsidR="00D05EF4" w:rsidRPr="00D05EF4" w:rsidRDefault="00D05EF4" w:rsidP="00D05EF4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Acted as t</w:t>
      </w:r>
      <w:r w:rsidRPr="00D05EF4">
        <w:rPr>
          <w:rFonts w:ascii="Arial" w:hAnsi="Arial" w:cs="Arial"/>
          <w:sz w:val="20"/>
          <w:szCs w:val="20"/>
        </w:rPr>
        <w:t xml:space="preserve">echnical product manager </w:t>
      </w:r>
      <w:r w:rsidR="00503BF7">
        <w:rPr>
          <w:rFonts w:ascii="Arial" w:hAnsi="Arial" w:cs="Arial"/>
          <w:sz w:val="20"/>
          <w:szCs w:val="20"/>
        </w:rPr>
        <w:t>throughout the system’s life-time.</w:t>
      </w:r>
    </w:p>
    <w:p w14:paraId="51C3722A" w14:textId="341D5A54" w:rsidR="00D05EF4" w:rsidRDefault="00D05EF4" w:rsidP="00D05EF4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D05EF4">
        <w:rPr>
          <w:rFonts w:ascii="Arial" w:hAnsi="Arial" w:cs="Arial"/>
          <w:sz w:val="20"/>
          <w:szCs w:val="20"/>
        </w:rPr>
        <w:t>Set up and managed small off-shore development team (3 developers and 1 tester.)</w:t>
      </w:r>
    </w:p>
    <w:p w14:paraId="651F201B" w14:textId="49B70342" w:rsidR="00330A85" w:rsidRDefault="00330A85" w:rsidP="00D05EF4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and managed support of front-end applications (</w:t>
      </w:r>
      <w:r w:rsidR="00B42E73">
        <w:rPr>
          <w:rFonts w:ascii="Arial" w:hAnsi="Arial" w:cs="Arial"/>
          <w:sz w:val="20"/>
          <w:szCs w:val="20"/>
        </w:rPr>
        <w:t xml:space="preserve">SAP </w:t>
      </w:r>
      <w:r>
        <w:rPr>
          <w:rFonts w:ascii="Arial" w:hAnsi="Arial" w:cs="Arial"/>
          <w:sz w:val="20"/>
          <w:szCs w:val="20"/>
        </w:rPr>
        <w:t>Business Objects.)</w:t>
      </w:r>
    </w:p>
    <w:p w14:paraId="45B55847" w14:textId="64BF5F2A" w:rsidR="008B686D" w:rsidRPr="00D05EF4" w:rsidRDefault="00841353" w:rsidP="00D05EF4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Solution design of most features implemented </w:t>
      </w:r>
      <w:proofErr w:type="gramStart"/>
      <w:r>
        <w:rPr>
          <w:rFonts w:ascii="Arial" w:hAnsi="Arial" w:cs="Arial"/>
          <w:sz w:val="20"/>
          <w:szCs w:val="20"/>
        </w:rPr>
        <w:t xml:space="preserve">in </w:t>
      </w:r>
      <w:r w:rsidR="008631AD">
        <w:rPr>
          <w:rFonts w:ascii="Arial" w:hAnsi="Arial" w:cs="Arial"/>
          <w:sz w:val="20"/>
          <w:szCs w:val="20"/>
        </w:rPr>
        <w:t>?</w:t>
      </w:r>
      <w:proofErr w:type="gramEnd"/>
    </w:p>
    <w:p w14:paraId="5978A548" w14:textId="77777777" w:rsidR="009216BB" w:rsidRDefault="009216BB" w:rsidP="003C07D3">
      <w:pPr>
        <w:spacing w:after="0"/>
        <w:rPr>
          <w:rFonts w:ascii="Arial" w:hAnsi="Arial" w:cs="Arial"/>
          <w:sz w:val="20"/>
        </w:rPr>
      </w:pPr>
    </w:p>
    <w:p w14:paraId="27EB40DA" w14:textId="77777777" w:rsidR="009216BB" w:rsidRDefault="009216BB" w:rsidP="003C07D3">
      <w:pPr>
        <w:spacing w:after="0"/>
        <w:rPr>
          <w:rFonts w:ascii="Arial" w:hAnsi="Arial" w:cs="Arial"/>
          <w:sz w:val="20"/>
        </w:rPr>
      </w:pPr>
    </w:p>
    <w:p w14:paraId="7A10C6FF" w14:textId="1F68C26E" w:rsidR="007B68A8" w:rsidRDefault="007B68A8" w:rsidP="003C07D3">
      <w:pPr>
        <w:spacing w:after="0"/>
        <w:rPr>
          <w:rFonts w:ascii="Arial" w:hAnsi="Arial" w:cs="Arial"/>
          <w:sz w:val="20"/>
        </w:rPr>
      </w:pPr>
      <w:r w:rsidRPr="007B68A8">
        <w:rPr>
          <w:rFonts w:ascii="Arial" w:hAnsi="Arial" w:cs="Arial"/>
          <w:b/>
        </w:rPr>
        <w:t>Professional Experience and Achievements</w:t>
      </w:r>
    </w:p>
    <w:p w14:paraId="0BCBAAEB" w14:textId="3B5D92DB" w:rsidR="007B68A8" w:rsidRDefault="007B68A8" w:rsidP="003C07D3">
      <w:pPr>
        <w:spacing w:after="0"/>
        <w:rPr>
          <w:rFonts w:ascii="Arial" w:hAnsi="Arial" w:cs="Arial"/>
          <w:sz w:val="2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346"/>
      </w:tblGrid>
      <w:tr w:rsidR="00364380" w14:paraId="4AF84F8F" w14:textId="77777777" w:rsidTr="00330A85">
        <w:trPr>
          <w:jc w:val="right"/>
        </w:trPr>
        <w:tc>
          <w:tcPr>
            <w:tcW w:w="5670" w:type="dxa"/>
          </w:tcPr>
          <w:p w14:paraId="56ECB407" w14:textId="13236E62" w:rsidR="00364380" w:rsidRDefault="001E1E90" w:rsidP="003740B1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Professional Development</w:t>
            </w:r>
          </w:p>
        </w:tc>
        <w:tc>
          <w:tcPr>
            <w:tcW w:w="3346" w:type="dxa"/>
          </w:tcPr>
          <w:p w14:paraId="51C34343" w14:textId="76E78B28" w:rsidR="00364380" w:rsidRDefault="00364380" w:rsidP="003740B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December 2018 </w:t>
            </w:r>
            <w:r w:rsidRPr="007B68A8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>February</w:t>
            </w:r>
            <w:r w:rsidRPr="007B68A8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</w:tbl>
    <w:p w14:paraId="0FD7A418" w14:textId="5EBED999" w:rsidR="00364380" w:rsidRDefault="00364380" w:rsidP="003C07D3">
      <w:pPr>
        <w:spacing w:after="0"/>
        <w:rPr>
          <w:rFonts w:ascii="Arial" w:hAnsi="Arial" w:cs="Arial"/>
          <w:sz w:val="20"/>
        </w:rPr>
      </w:pPr>
    </w:p>
    <w:p w14:paraId="5B661F31" w14:textId="129FB1D4" w:rsidR="00364380" w:rsidRDefault="00364380" w:rsidP="003C07D3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During </w:t>
      </w:r>
      <w:r w:rsidR="001E1E90">
        <w:rPr>
          <w:rFonts w:ascii="Arial" w:hAnsi="Arial" w:cs="Arial"/>
          <w:sz w:val="20"/>
        </w:rPr>
        <w:t xml:space="preserve">this </w:t>
      </w:r>
      <w:r w:rsidR="008F6187">
        <w:rPr>
          <w:rFonts w:ascii="Arial" w:hAnsi="Arial" w:cs="Arial"/>
          <w:sz w:val="20"/>
        </w:rPr>
        <w:t>period,</w:t>
      </w:r>
      <w:r>
        <w:rPr>
          <w:rFonts w:ascii="Arial" w:hAnsi="Arial" w:cs="Arial"/>
          <w:sz w:val="20"/>
        </w:rPr>
        <w:t xml:space="preserve"> </w:t>
      </w:r>
      <w:r w:rsidR="00330A85">
        <w:rPr>
          <w:rFonts w:ascii="Arial" w:hAnsi="Arial" w:cs="Arial"/>
          <w:sz w:val="20"/>
        </w:rPr>
        <w:t>I have created</w:t>
      </w:r>
      <w:r w:rsidR="00330A85" w:rsidRPr="00330A85">
        <w:rPr>
          <w:rFonts w:ascii="Arial" w:hAnsi="Arial" w:cs="Arial"/>
          <w:sz w:val="20"/>
        </w:rPr>
        <w:t xml:space="preserve"> a robust and optimised deployment </w:t>
      </w:r>
      <w:r w:rsidR="00330A85">
        <w:rPr>
          <w:rFonts w:ascii="Arial" w:hAnsi="Arial" w:cs="Arial"/>
          <w:sz w:val="20"/>
        </w:rPr>
        <w:t>solution</w:t>
      </w:r>
      <w:r w:rsidR="00330A85" w:rsidRPr="00330A85">
        <w:rPr>
          <w:rFonts w:ascii="Arial" w:hAnsi="Arial" w:cs="Arial"/>
          <w:sz w:val="20"/>
        </w:rPr>
        <w:t xml:space="preserve"> for a SQL database based on the principles of continuous delivery and test-based development.</w:t>
      </w:r>
    </w:p>
    <w:p w14:paraId="4E091ABC" w14:textId="77777777" w:rsidR="00364380" w:rsidRDefault="00364380" w:rsidP="003C07D3">
      <w:pPr>
        <w:spacing w:after="0"/>
        <w:rPr>
          <w:rFonts w:ascii="Arial" w:hAnsi="Arial" w:cs="Arial"/>
          <w:sz w:val="2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346"/>
      </w:tblGrid>
      <w:tr w:rsidR="00EF0EE5" w14:paraId="5709637C" w14:textId="77777777" w:rsidTr="000550FF">
        <w:trPr>
          <w:jc w:val="right"/>
        </w:trPr>
        <w:tc>
          <w:tcPr>
            <w:tcW w:w="5670" w:type="dxa"/>
          </w:tcPr>
          <w:p w14:paraId="24AAE2C8" w14:textId="4ACAE873" w:rsidR="00EF0EE5" w:rsidRPr="007B68A8" w:rsidRDefault="00EF0EE5" w:rsidP="00EF0EE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68A8">
              <w:rPr>
                <w:rFonts w:ascii="Arial" w:hAnsi="Arial" w:cs="Arial"/>
                <w:b/>
                <w:sz w:val="20"/>
                <w:szCs w:val="20"/>
              </w:rPr>
              <w:t>Reed Business Information</w:t>
            </w:r>
          </w:p>
          <w:p w14:paraId="7565C84E" w14:textId="77777777" w:rsidR="00EF0EE5" w:rsidRDefault="00EF0EE5" w:rsidP="00EF0EE5">
            <w:pPr>
              <w:tabs>
                <w:tab w:val="left" w:pos="921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B68A8">
              <w:rPr>
                <w:rFonts w:ascii="Arial" w:hAnsi="Arial" w:cs="Arial"/>
                <w:b/>
                <w:sz w:val="20"/>
                <w:szCs w:val="20"/>
              </w:rPr>
              <w:t>Corporate Solutions Group</w:t>
            </w:r>
          </w:p>
          <w:p w14:paraId="7971A080" w14:textId="5CC24AFA" w:rsidR="00EF0EE5" w:rsidRDefault="00EF0EE5" w:rsidP="00EF0EE5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  <w:r w:rsidRPr="007B68A8">
              <w:rPr>
                <w:rFonts w:ascii="Arial" w:hAnsi="Arial" w:cs="Arial"/>
                <w:b/>
                <w:sz w:val="20"/>
                <w:szCs w:val="20"/>
              </w:rPr>
              <w:t>Development Manager</w:t>
            </w:r>
          </w:p>
        </w:tc>
        <w:tc>
          <w:tcPr>
            <w:tcW w:w="3346" w:type="dxa"/>
          </w:tcPr>
          <w:p w14:paraId="17273AD9" w14:textId="5A14E4C1" w:rsidR="00EF0EE5" w:rsidRDefault="00EF0EE5" w:rsidP="003C07D3">
            <w:pPr>
              <w:rPr>
                <w:rFonts w:ascii="Arial" w:hAnsi="Arial" w:cs="Arial"/>
                <w:sz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November 2016 –</w:t>
            </w:r>
            <w:r w:rsidR="00E8750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B68A8">
              <w:rPr>
                <w:rFonts w:ascii="Arial" w:hAnsi="Arial" w:cs="Arial"/>
                <w:sz w:val="20"/>
                <w:szCs w:val="20"/>
              </w:rPr>
              <w:t>December 2018</w:t>
            </w:r>
          </w:p>
        </w:tc>
      </w:tr>
    </w:tbl>
    <w:p w14:paraId="1581F99A" w14:textId="3C598E3A" w:rsidR="006F1A07" w:rsidRPr="007B68A8" w:rsidRDefault="006B172E" w:rsidP="006F1A07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6F1A07" w:rsidRPr="007B68A8">
        <w:rPr>
          <w:rFonts w:ascii="Arial" w:hAnsi="Arial" w:cs="Arial"/>
          <w:sz w:val="20"/>
          <w:szCs w:val="20"/>
        </w:rPr>
        <w:t xml:space="preserve"> GDPR compliance activities for marketing data warehouse and data marts. The phased activities where completed in November 2018, leaving the databases in a legally compliant state with no </w:t>
      </w:r>
      <w:r w:rsidR="006A0D22" w:rsidRPr="007B68A8">
        <w:rPr>
          <w:rFonts w:ascii="Arial" w:hAnsi="Arial" w:cs="Arial"/>
          <w:sz w:val="20"/>
          <w:szCs w:val="20"/>
        </w:rPr>
        <w:t>unexplainable</w:t>
      </w:r>
      <w:r w:rsidR="006F1A07" w:rsidRPr="007B68A8">
        <w:rPr>
          <w:rFonts w:ascii="Arial" w:hAnsi="Arial" w:cs="Arial"/>
          <w:sz w:val="20"/>
          <w:szCs w:val="20"/>
        </w:rPr>
        <w:t xml:space="preserve"> business impact.</w:t>
      </w:r>
    </w:p>
    <w:p w14:paraId="6890E637" w14:textId="409DDFA5" w:rsidR="00B00B0B" w:rsidRPr="007B68A8" w:rsidRDefault="006F1A07" w:rsidP="006F1A07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Defined, documented and implemented development workflow and Git branching strategy for analytics big data platform. </w:t>
      </w:r>
      <w:r w:rsidR="00B00B0B" w:rsidRPr="007B68A8">
        <w:rPr>
          <w:rFonts w:ascii="Arial" w:hAnsi="Arial" w:cs="Arial"/>
          <w:sz w:val="20"/>
          <w:szCs w:val="20"/>
        </w:rPr>
        <w:t xml:space="preserve">Once adopted this ensured the development team was able to </w:t>
      </w:r>
      <w:r w:rsidR="00837F1D">
        <w:rPr>
          <w:rFonts w:ascii="Arial" w:hAnsi="Arial" w:cs="Arial"/>
          <w:sz w:val="20"/>
          <w:szCs w:val="20"/>
        </w:rPr>
        <w:t>double in size</w:t>
      </w:r>
      <w:r w:rsidR="00B00B0B" w:rsidRPr="007B68A8">
        <w:rPr>
          <w:rFonts w:ascii="Arial" w:hAnsi="Arial" w:cs="Arial"/>
          <w:sz w:val="20"/>
          <w:szCs w:val="20"/>
        </w:rPr>
        <w:t xml:space="preserve"> whilst maintaining quality of work. Deployments became more stable and </w:t>
      </w:r>
      <w:r w:rsidR="00837F1D">
        <w:rPr>
          <w:rFonts w:ascii="Arial" w:hAnsi="Arial" w:cs="Arial"/>
          <w:sz w:val="20"/>
          <w:szCs w:val="20"/>
        </w:rPr>
        <w:t xml:space="preserve">so </w:t>
      </w:r>
      <w:r w:rsidR="00B00B0B" w:rsidRPr="007B68A8">
        <w:rPr>
          <w:rFonts w:ascii="Arial" w:hAnsi="Arial" w:cs="Arial"/>
          <w:sz w:val="20"/>
          <w:szCs w:val="20"/>
        </w:rPr>
        <w:t>more frequent.</w:t>
      </w:r>
    </w:p>
    <w:p w14:paraId="3DE72743" w14:textId="18C81440" w:rsidR="006F1A07" w:rsidRPr="007B68A8" w:rsidRDefault="00CD7E47" w:rsidP="006F1A07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Rapidly o</w:t>
      </w:r>
      <w:r w:rsidR="005604D1" w:rsidRPr="007B68A8">
        <w:rPr>
          <w:rFonts w:ascii="Arial" w:hAnsi="Arial" w:cs="Arial"/>
          <w:sz w:val="20"/>
          <w:szCs w:val="20"/>
        </w:rPr>
        <w:t>n-boarded three off-shore developers to analytics platform</w:t>
      </w:r>
      <w:r w:rsidRPr="007B68A8">
        <w:rPr>
          <w:rFonts w:ascii="Arial" w:hAnsi="Arial" w:cs="Arial"/>
          <w:sz w:val="20"/>
          <w:szCs w:val="20"/>
        </w:rPr>
        <w:t xml:space="preserve"> development team. They were working </w:t>
      </w:r>
      <w:r w:rsidR="00740880" w:rsidRPr="007B68A8">
        <w:rPr>
          <w:rFonts w:ascii="Arial" w:hAnsi="Arial" w:cs="Arial"/>
          <w:sz w:val="20"/>
          <w:szCs w:val="20"/>
        </w:rPr>
        <w:t xml:space="preserve">on the platform </w:t>
      </w:r>
      <w:r w:rsidRPr="007B68A8">
        <w:rPr>
          <w:rFonts w:ascii="Arial" w:hAnsi="Arial" w:cs="Arial"/>
          <w:sz w:val="20"/>
          <w:szCs w:val="20"/>
        </w:rPr>
        <w:t xml:space="preserve">within two weeks </w:t>
      </w:r>
      <w:r w:rsidR="00740880" w:rsidRPr="007B68A8">
        <w:rPr>
          <w:rFonts w:ascii="Arial" w:hAnsi="Arial" w:cs="Arial"/>
          <w:sz w:val="20"/>
          <w:szCs w:val="20"/>
        </w:rPr>
        <w:t xml:space="preserve">so </w:t>
      </w:r>
      <w:r w:rsidRPr="007B68A8">
        <w:rPr>
          <w:rFonts w:ascii="Arial" w:hAnsi="Arial" w:cs="Arial"/>
          <w:sz w:val="20"/>
          <w:szCs w:val="20"/>
        </w:rPr>
        <w:t>enabling the team to meet a key delivery date.</w:t>
      </w:r>
    </w:p>
    <w:p w14:paraId="276F54B0" w14:textId="5211B0D0" w:rsidR="00740880" w:rsidRPr="007B68A8" w:rsidRDefault="00B6345E" w:rsidP="006F1A07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lastRenderedPageBreak/>
        <w:t>Created</w:t>
      </w:r>
      <w:r w:rsidR="008B238D" w:rsidRPr="007B68A8">
        <w:rPr>
          <w:rFonts w:ascii="Arial" w:hAnsi="Arial" w:cs="Arial"/>
          <w:sz w:val="20"/>
          <w:szCs w:val="20"/>
        </w:rPr>
        <w:t xml:space="preserve"> technical design document for Alteryx ETL project. This specified a data flow that could be used to correctly implement logic specified in requirements. This enabled the project to continue where it</w:t>
      </w:r>
      <w:r w:rsidR="006A0D22" w:rsidRPr="007B68A8">
        <w:rPr>
          <w:rFonts w:ascii="Arial" w:hAnsi="Arial" w:cs="Arial"/>
          <w:sz w:val="20"/>
          <w:szCs w:val="20"/>
        </w:rPr>
        <w:t xml:space="preserve"> had become impeded.</w:t>
      </w:r>
      <w:r w:rsidR="008B238D" w:rsidRPr="007B68A8">
        <w:rPr>
          <w:rFonts w:ascii="Arial" w:hAnsi="Arial" w:cs="Arial"/>
          <w:sz w:val="20"/>
          <w:szCs w:val="20"/>
        </w:rPr>
        <w:t xml:space="preserve"> </w:t>
      </w:r>
    </w:p>
    <w:p w14:paraId="0BB90A4F" w14:textId="67EC29B4" w:rsidR="006A0D22" w:rsidRDefault="006A0D22" w:rsidP="006F1A07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Managed the development of </w:t>
      </w:r>
      <w:r w:rsidR="007B68A8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 xml:space="preserve">data mart that integrated with </w:t>
      </w:r>
      <w:proofErr w:type="spellStart"/>
      <w:r w:rsidRPr="007B68A8">
        <w:rPr>
          <w:rFonts w:ascii="Arial" w:hAnsi="Arial" w:cs="Arial"/>
          <w:sz w:val="20"/>
          <w:szCs w:val="20"/>
        </w:rPr>
        <w:t>Aventri</w:t>
      </w:r>
      <w:proofErr w:type="spellEnd"/>
      <w:r w:rsidRPr="007B68A8">
        <w:rPr>
          <w:rFonts w:ascii="Arial" w:hAnsi="Arial" w:cs="Arial"/>
          <w:sz w:val="20"/>
          <w:szCs w:val="20"/>
        </w:rPr>
        <w:t xml:space="preserve"> event platform</w:t>
      </w:r>
      <w:r w:rsidR="007B68A8">
        <w:rPr>
          <w:rFonts w:ascii="Arial" w:hAnsi="Arial" w:cs="Arial"/>
          <w:sz w:val="20"/>
          <w:szCs w:val="20"/>
        </w:rPr>
        <w:t xml:space="preserve"> and the downstream integration into the data warehouse.</w:t>
      </w:r>
      <w:r w:rsidRPr="007B68A8">
        <w:rPr>
          <w:rFonts w:ascii="Arial" w:hAnsi="Arial" w:cs="Arial"/>
          <w:sz w:val="20"/>
          <w:szCs w:val="20"/>
        </w:rPr>
        <w:t xml:space="preserve"> </w:t>
      </w:r>
      <w:r w:rsidR="007B68A8">
        <w:rPr>
          <w:rFonts w:ascii="Arial" w:hAnsi="Arial" w:cs="Arial"/>
          <w:sz w:val="20"/>
          <w:szCs w:val="20"/>
        </w:rPr>
        <w:t xml:space="preserve">This was </w:t>
      </w:r>
      <w:r w:rsidR="00880F3D">
        <w:rPr>
          <w:rFonts w:ascii="Arial" w:hAnsi="Arial" w:cs="Arial"/>
          <w:sz w:val="20"/>
          <w:szCs w:val="20"/>
        </w:rPr>
        <w:t xml:space="preserve">released in conjunction with the launch of the </w:t>
      </w:r>
      <w:r w:rsidR="007B68A8">
        <w:rPr>
          <w:rFonts w:ascii="Arial" w:hAnsi="Arial" w:cs="Arial"/>
          <w:sz w:val="20"/>
          <w:szCs w:val="20"/>
        </w:rPr>
        <w:t xml:space="preserve">new platform </w:t>
      </w:r>
      <w:r w:rsidR="00880F3D">
        <w:rPr>
          <w:rFonts w:ascii="Arial" w:hAnsi="Arial" w:cs="Arial"/>
          <w:sz w:val="20"/>
          <w:szCs w:val="20"/>
        </w:rPr>
        <w:t>and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AE631B">
        <w:rPr>
          <w:rFonts w:ascii="Arial" w:hAnsi="Arial" w:cs="Arial"/>
          <w:sz w:val="20"/>
          <w:szCs w:val="20"/>
        </w:rPr>
        <w:t>provided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AE631B">
        <w:rPr>
          <w:rFonts w:ascii="Arial" w:hAnsi="Arial" w:cs="Arial"/>
          <w:sz w:val="20"/>
          <w:szCs w:val="20"/>
        </w:rPr>
        <w:t>m</w:t>
      </w:r>
      <w:r w:rsidR="007B68A8">
        <w:rPr>
          <w:rFonts w:ascii="Arial" w:hAnsi="Arial" w:cs="Arial"/>
          <w:sz w:val="20"/>
          <w:szCs w:val="20"/>
        </w:rPr>
        <w:t xml:space="preserve">arketing teams </w:t>
      </w:r>
      <w:r w:rsidR="00880F3D">
        <w:rPr>
          <w:rFonts w:ascii="Arial" w:hAnsi="Arial" w:cs="Arial"/>
          <w:sz w:val="20"/>
          <w:szCs w:val="20"/>
        </w:rPr>
        <w:t>uninterrupted</w:t>
      </w:r>
      <w:r w:rsidR="007B68A8">
        <w:rPr>
          <w:rFonts w:ascii="Arial" w:hAnsi="Arial" w:cs="Arial"/>
          <w:sz w:val="20"/>
          <w:szCs w:val="20"/>
        </w:rPr>
        <w:t xml:space="preserve"> access to event data.</w:t>
      </w:r>
    </w:p>
    <w:p w14:paraId="5C8F7F0E" w14:textId="6871CDC4" w:rsidR="000550FF" w:rsidRDefault="00E87502" w:rsidP="003740B1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Managed development of an extract of data for New Scientist </w:t>
      </w:r>
      <w:r w:rsidR="009216BB" w:rsidRPr="008B686D">
        <w:rPr>
          <w:rFonts w:ascii="Arial" w:hAnsi="Arial" w:cs="Arial"/>
          <w:sz w:val="20"/>
          <w:szCs w:val="20"/>
        </w:rPr>
        <w:t>during</w:t>
      </w:r>
      <w:r w:rsidRPr="008B686D">
        <w:rPr>
          <w:rFonts w:ascii="Arial" w:hAnsi="Arial" w:cs="Arial"/>
          <w:sz w:val="20"/>
          <w:szCs w:val="20"/>
        </w:rPr>
        <w:t xml:space="preserve"> its divestment</w:t>
      </w:r>
      <w:r w:rsidR="009216BB" w:rsidRPr="008B686D">
        <w:rPr>
          <w:rFonts w:ascii="Arial" w:hAnsi="Arial" w:cs="Arial"/>
          <w:sz w:val="20"/>
          <w:szCs w:val="20"/>
        </w:rPr>
        <w:t xml:space="preserve">. Created supporting documentation (data dictionary and schemas.) </w:t>
      </w:r>
      <w:r w:rsidR="008B686D" w:rsidRPr="008B686D">
        <w:rPr>
          <w:rFonts w:ascii="Arial" w:hAnsi="Arial" w:cs="Arial"/>
          <w:sz w:val="20"/>
          <w:szCs w:val="20"/>
        </w:rPr>
        <w:t xml:space="preserve">Data </w:t>
      </w:r>
      <w:r w:rsidR="00C82EBC">
        <w:rPr>
          <w:rFonts w:ascii="Arial" w:hAnsi="Arial" w:cs="Arial"/>
          <w:sz w:val="20"/>
          <w:szCs w:val="20"/>
        </w:rPr>
        <w:t xml:space="preserve">was </w:t>
      </w:r>
      <w:r w:rsidR="008B686D" w:rsidRPr="008B686D">
        <w:rPr>
          <w:rFonts w:ascii="Arial" w:hAnsi="Arial" w:cs="Arial"/>
          <w:sz w:val="20"/>
          <w:szCs w:val="20"/>
        </w:rPr>
        <w:t>supplied</w:t>
      </w:r>
      <w:r w:rsidR="008B686D">
        <w:rPr>
          <w:rFonts w:ascii="Arial" w:hAnsi="Arial" w:cs="Arial"/>
          <w:sz w:val="20"/>
          <w:szCs w:val="20"/>
        </w:rPr>
        <w:t xml:space="preserve"> on cut-over date and</w:t>
      </w:r>
      <w:r w:rsidR="008B686D" w:rsidRPr="008B686D">
        <w:rPr>
          <w:rFonts w:ascii="Arial" w:hAnsi="Arial" w:cs="Arial"/>
          <w:sz w:val="20"/>
          <w:szCs w:val="20"/>
        </w:rPr>
        <w:t xml:space="preserve"> met all RBI</w:t>
      </w:r>
      <w:r w:rsidR="008B686D">
        <w:rPr>
          <w:rFonts w:ascii="Arial" w:hAnsi="Arial" w:cs="Arial"/>
          <w:sz w:val="20"/>
          <w:szCs w:val="20"/>
        </w:rPr>
        <w:t>’s legal commitments.</w:t>
      </w:r>
    </w:p>
    <w:p w14:paraId="7FB8BAA0" w14:textId="77777777" w:rsidR="008B686D" w:rsidRPr="008B686D" w:rsidRDefault="008B686D" w:rsidP="008B686D">
      <w:pPr>
        <w:spacing w:before="240"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346"/>
      </w:tblGrid>
      <w:tr w:rsidR="000550FF" w14:paraId="6DFFF123" w14:textId="77777777" w:rsidTr="003740B1">
        <w:trPr>
          <w:jc w:val="right"/>
        </w:trPr>
        <w:tc>
          <w:tcPr>
            <w:tcW w:w="5670" w:type="dxa"/>
          </w:tcPr>
          <w:p w14:paraId="7F8A75DE" w14:textId="77777777" w:rsidR="000550FF" w:rsidRPr="007B68A8" w:rsidRDefault="000550FF" w:rsidP="003740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68A8">
              <w:rPr>
                <w:rFonts w:ascii="Arial" w:hAnsi="Arial" w:cs="Arial"/>
                <w:b/>
                <w:sz w:val="20"/>
                <w:szCs w:val="20"/>
              </w:rPr>
              <w:t>Reed Business Information</w:t>
            </w:r>
          </w:p>
          <w:p w14:paraId="7DD8CA0B" w14:textId="47908B98" w:rsidR="000550FF" w:rsidRDefault="000550FF" w:rsidP="003740B1">
            <w:pPr>
              <w:tabs>
                <w:tab w:val="left" w:pos="921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Global Marketing</w:t>
            </w:r>
          </w:p>
          <w:p w14:paraId="00CC123E" w14:textId="4EA32573" w:rsidR="000550FF" w:rsidRDefault="000550FF" w:rsidP="003740B1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Marketing Technology Manager</w:t>
            </w:r>
          </w:p>
        </w:tc>
        <w:tc>
          <w:tcPr>
            <w:tcW w:w="3346" w:type="dxa"/>
          </w:tcPr>
          <w:p w14:paraId="2FE48CF2" w14:textId="6EEB6F9D" w:rsidR="000550FF" w:rsidRDefault="00AE129E" w:rsidP="003740B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 2010</w:t>
            </w:r>
            <w:r w:rsidR="000550FF" w:rsidRPr="007B68A8">
              <w:rPr>
                <w:rFonts w:ascii="Arial" w:hAnsi="Arial" w:cs="Arial"/>
                <w:sz w:val="20"/>
                <w:szCs w:val="20"/>
              </w:rPr>
              <w:t xml:space="preserve"> –</w:t>
            </w:r>
            <w:r w:rsidR="000550FF">
              <w:rPr>
                <w:rFonts w:ascii="Arial" w:hAnsi="Arial" w:cs="Arial"/>
                <w:sz w:val="20"/>
                <w:szCs w:val="20"/>
              </w:rPr>
              <w:t xml:space="preserve"> November</w:t>
            </w:r>
            <w:r w:rsidR="000550FF" w:rsidRPr="007B68A8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0550FF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1A2C1CE0" w14:textId="7FB9DAB6" w:rsidR="00534494" w:rsidRDefault="00534494" w:rsidP="005D2F8E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Facilitated the set-up of infrastructure required for </w:t>
      </w:r>
      <w:r w:rsidR="001B2C0F">
        <w:rPr>
          <w:rFonts w:ascii="Arial" w:hAnsi="Arial" w:cs="Arial"/>
          <w:sz w:val="20"/>
          <w:szCs w:val="20"/>
        </w:rPr>
        <w:t>secure, third-party access to RBI</w:t>
      </w:r>
      <w:r>
        <w:rPr>
          <w:rFonts w:ascii="Arial" w:hAnsi="Arial" w:cs="Arial"/>
          <w:sz w:val="20"/>
          <w:szCs w:val="20"/>
        </w:rPr>
        <w:t xml:space="preserve"> environments</w:t>
      </w:r>
      <w:r w:rsidR="001B2C0F">
        <w:rPr>
          <w:rFonts w:ascii="Arial" w:hAnsi="Arial" w:cs="Arial"/>
          <w:sz w:val="20"/>
          <w:szCs w:val="20"/>
        </w:rPr>
        <w:t xml:space="preserve">. This </w:t>
      </w:r>
      <w:r w:rsidR="002E384C">
        <w:rPr>
          <w:rFonts w:ascii="Arial" w:hAnsi="Arial" w:cs="Arial"/>
          <w:sz w:val="20"/>
          <w:szCs w:val="20"/>
        </w:rPr>
        <w:t xml:space="preserve">significantly </w:t>
      </w:r>
      <w:r w:rsidR="001B2C0F">
        <w:rPr>
          <w:rFonts w:ascii="Arial" w:hAnsi="Arial" w:cs="Arial"/>
          <w:sz w:val="20"/>
          <w:szCs w:val="20"/>
        </w:rPr>
        <w:t>en</w:t>
      </w:r>
      <w:r w:rsidR="002E384C">
        <w:rPr>
          <w:rFonts w:ascii="Arial" w:hAnsi="Arial" w:cs="Arial"/>
          <w:sz w:val="20"/>
          <w:szCs w:val="20"/>
        </w:rPr>
        <w:t>hanced the support that could be supplied by third-part</w:t>
      </w:r>
      <w:r w:rsidR="00CB1BF1">
        <w:rPr>
          <w:rFonts w:ascii="Arial" w:hAnsi="Arial" w:cs="Arial"/>
          <w:sz w:val="20"/>
          <w:szCs w:val="20"/>
        </w:rPr>
        <w:t>ies</w:t>
      </w:r>
      <w:r w:rsidR="002E384C">
        <w:rPr>
          <w:rFonts w:ascii="Arial" w:hAnsi="Arial" w:cs="Arial"/>
          <w:sz w:val="20"/>
          <w:szCs w:val="20"/>
        </w:rPr>
        <w:t xml:space="preserve"> and was a pre-requisite for the off-shore development team starting.</w:t>
      </w:r>
    </w:p>
    <w:p w14:paraId="671097F9" w14:textId="01C4E66F" w:rsidR="008F6187" w:rsidRDefault="008F6187" w:rsidP="005D2F8E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Jira project to facilitate development work. Moved backlog to Jira, set up workflow, Kanban board and reports. </w:t>
      </w:r>
      <w:r w:rsidR="001B2C0F">
        <w:rPr>
          <w:rFonts w:ascii="Arial" w:hAnsi="Arial" w:cs="Arial"/>
          <w:sz w:val="20"/>
          <w:szCs w:val="20"/>
        </w:rPr>
        <w:t>Stakeholders then had visibility on status of work and expected delivery date.</w:t>
      </w:r>
    </w:p>
    <w:p w14:paraId="7F728BCB" w14:textId="18086BCF" w:rsidR="00033CC3" w:rsidRDefault="001E1E90" w:rsidP="005D2F8E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managed development of </w:t>
      </w:r>
      <w:r w:rsidR="00B42E73">
        <w:rPr>
          <w:rFonts w:ascii="Arial" w:hAnsi="Arial" w:cs="Arial"/>
          <w:sz w:val="20"/>
          <w:szCs w:val="20"/>
        </w:rPr>
        <w:t xml:space="preserve">solution to </w:t>
      </w:r>
      <w:r>
        <w:rPr>
          <w:rFonts w:ascii="Arial" w:hAnsi="Arial" w:cs="Arial"/>
          <w:sz w:val="20"/>
          <w:szCs w:val="20"/>
        </w:rPr>
        <w:t>integrat</w:t>
      </w:r>
      <w:r w:rsidR="00B42E73">
        <w:rPr>
          <w:rFonts w:ascii="Arial" w:hAnsi="Arial" w:cs="Arial"/>
          <w:sz w:val="20"/>
          <w:szCs w:val="20"/>
        </w:rPr>
        <w:t>e data warehouse</w:t>
      </w:r>
      <w:r>
        <w:rPr>
          <w:rFonts w:ascii="Arial" w:hAnsi="Arial" w:cs="Arial"/>
          <w:sz w:val="20"/>
          <w:szCs w:val="20"/>
        </w:rPr>
        <w:t xml:space="preserve"> into Qualtrics. Once in place, the integration allowed the implement</w:t>
      </w:r>
      <w:r w:rsidR="00325414">
        <w:rPr>
          <w:rFonts w:ascii="Arial" w:hAnsi="Arial" w:cs="Arial"/>
          <w:sz w:val="20"/>
          <w:szCs w:val="20"/>
        </w:rPr>
        <w:t>ation of</w:t>
      </w:r>
      <w:r>
        <w:rPr>
          <w:rFonts w:ascii="Arial" w:hAnsi="Arial" w:cs="Arial"/>
          <w:sz w:val="20"/>
          <w:szCs w:val="20"/>
        </w:rPr>
        <w:t xml:space="preserve"> continuous-NPS</w:t>
      </w:r>
      <w:r w:rsidR="00325414">
        <w:rPr>
          <w:rFonts w:ascii="Arial" w:hAnsi="Arial" w:cs="Arial"/>
          <w:sz w:val="20"/>
          <w:szCs w:val="20"/>
        </w:rPr>
        <w:t xml:space="preserve"> which </w:t>
      </w:r>
      <w:r w:rsidR="00B42E73">
        <w:rPr>
          <w:rFonts w:ascii="Arial" w:hAnsi="Arial" w:cs="Arial"/>
          <w:sz w:val="20"/>
          <w:szCs w:val="20"/>
        </w:rPr>
        <w:t>increased frequency of product feedback from 2 to 24 times a year.</w:t>
      </w:r>
    </w:p>
    <w:p w14:paraId="161CA910" w14:textId="54CC4AB9" w:rsidR="00CB1BF1" w:rsidRDefault="00CB1BF1" w:rsidP="005D2F8E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up off-shore team. </w:t>
      </w:r>
      <w:r w:rsidR="006B172E"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z w:val="20"/>
          <w:szCs w:val="20"/>
        </w:rPr>
        <w:t xml:space="preserve"> additional resource significantly </w:t>
      </w:r>
      <w:r w:rsidR="006B172E">
        <w:rPr>
          <w:rFonts w:ascii="Arial" w:hAnsi="Arial" w:cs="Arial"/>
          <w:sz w:val="20"/>
          <w:szCs w:val="20"/>
        </w:rPr>
        <w:t>increased the amount of development that could be delivered.</w:t>
      </w:r>
    </w:p>
    <w:p w14:paraId="77CEC3C7" w14:textId="2020A27A" w:rsidR="00AE129E" w:rsidRPr="00C96F73" w:rsidRDefault="00AE129E" w:rsidP="005D2F8E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trike/>
          <w:sz w:val="20"/>
          <w:szCs w:val="20"/>
        </w:rPr>
      </w:pPr>
      <w:r w:rsidRPr="00C96F73">
        <w:rPr>
          <w:rFonts w:ascii="Arial" w:hAnsi="Arial" w:cs="Arial"/>
          <w:strike/>
          <w:sz w:val="20"/>
          <w:szCs w:val="20"/>
        </w:rPr>
        <w:t>Managed development of Eloqua data mart and integration into data warehouse</w:t>
      </w:r>
      <w:r w:rsidR="00CB1BF1" w:rsidRPr="00C96F73">
        <w:rPr>
          <w:rFonts w:ascii="Arial" w:hAnsi="Arial" w:cs="Arial"/>
          <w:strike/>
          <w:sz w:val="20"/>
          <w:szCs w:val="20"/>
        </w:rPr>
        <w:t>. This enhanced the capabilities of marketing analytics activities</w:t>
      </w:r>
      <w:r w:rsidR="001354EC" w:rsidRPr="00C96F73">
        <w:rPr>
          <w:rFonts w:ascii="Arial" w:hAnsi="Arial" w:cs="Arial"/>
          <w:strike/>
          <w:sz w:val="20"/>
          <w:szCs w:val="20"/>
        </w:rPr>
        <w:t>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346"/>
      </w:tblGrid>
      <w:tr w:rsidR="00AE129E" w14:paraId="1E8E9179" w14:textId="77777777" w:rsidTr="00CB1BF1">
        <w:trPr>
          <w:jc w:val="right"/>
        </w:trPr>
        <w:tc>
          <w:tcPr>
            <w:tcW w:w="5670" w:type="dxa"/>
          </w:tcPr>
          <w:p w14:paraId="01132218" w14:textId="77777777" w:rsidR="001354EC" w:rsidRDefault="001354EC" w:rsidP="00CB1BF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1BD293" w14:textId="4526EB06" w:rsidR="00AE129E" w:rsidRPr="007B68A8" w:rsidRDefault="00AE129E" w:rsidP="00CB1B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68A8">
              <w:rPr>
                <w:rFonts w:ascii="Arial" w:hAnsi="Arial" w:cs="Arial"/>
                <w:b/>
                <w:sz w:val="20"/>
                <w:szCs w:val="20"/>
              </w:rPr>
              <w:t>Reed Business Information</w:t>
            </w:r>
          </w:p>
          <w:p w14:paraId="686A06E6" w14:textId="77777777" w:rsidR="00AE129E" w:rsidRDefault="00AE129E" w:rsidP="00CB1BF1">
            <w:pPr>
              <w:tabs>
                <w:tab w:val="left" w:pos="921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Global Marketing</w:t>
            </w:r>
          </w:p>
          <w:p w14:paraId="469799EB" w14:textId="386C1ED1" w:rsidR="00AE129E" w:rsidRDefault="00AE129E" w:rsidP="00CB1BF1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Database Developer</w:t>
            </w:r>
          </w:p>
        </w:tc>
        <w:tc>
          <w:tcPr>
            <w:tcW w:w="3346" w:type="dxa"/>
          </w:tcPr>
          <w:p w14:paraId="40F8A995" w14:textId="03BB077B" w:rsidR="00AE129E" w:rsidRDefault="00AE129E" w:rsidP="00CB1BF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March 2007</w:t>
            </w:r>
            <w:r w:rsidRPr="007B68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7B68A8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2010</w:t>
            </w:r>
          </w:p>
        </w:tc>
      </w:tr>
    </w:tbl>
    <w:p w14:paraId="0076DF59" w14:textId="1E8218FD" w:rsidR="006B172E" w:rsidRDefault="006B172E" w:rsidP="006B172E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</w:t>
      </w:r>
      <w:r w:rsidR="00503BF7">
        <w:rPr>
          <w:rFonts w:ascii="Arial" w:hAnsi="Arial" w:cs="Arial"/>
          <w:sz w:val="20"/>
          <w:szCs w:val="20"/>
        </w:rPr>
        <w:t>data warehouse and data marts</w:t>
      </w:r>
      <w:r w:rsidRPr="005D2F8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5D2F8E">
        <w:rPr>
          <w:rFonts w:ascii="Arial" w:hAnsi="Arial" w:cs="Arial"/>
          <w:sz w:val="20"/>
          <w:szCs w:val="20"/>
        </w:rPr>
        <w:t>Architected and developed robust ETL capabilities</w:t>
      </w:r>
      <w:r>
        <w:rPr>
          <w:rFonts w:ascii="Arial" w:hAnsi="Arial" w:cs="Arial"/>
          <w:sz w:val="20"/>
          <w:szCs w:val="20"/>
        </w:rPr>
        <w:t xml:space="preserve"> and optimised de-normalised reporting layer. </w:t>
      </w:r>
      <w:r w:rsidR="00503BF7">
        <w:rPr>
          <w:rFonts w:ascii="Arial" w:hAnsi="Arial" w:cs="Arial"/>
          <w:sz w:val="20"/>
          <w:szCs w:val="20"/>
        </w:rPr>
        <w:t xml:space="preserve">Embedded business logic in data transformation process including data standardisation and matching rules. By bringing </w:t>
      </w:r>
      <w:r w:rsidR="009F1701">
        <w:rPr>
          <w:rFonts w:ascii="Arial" w:hAnsi="Arial" w:cs="Arial"/>
          <w:sz w:val="20"/>
          <w:szCs w:val="20"/>
        </w:rPr>
        <w:t xml:space="preserve">the warehouse </w:t>
      </w:r>
      <w:r w:rsidR="00503BF7">
        <w:rPr>
          <w:rFonts w:ascii="Arial" w:hAnsi="Arial" w:cs="Arial"/>
          <w:sz w:val="20"/>
          <w:szCs w:val="20"/>
        </w:rPr>
        <w:t xml:space="preserve">in-house, significant saving </w:t>
      </w:r>
      <w:proofErr w:type="gramStart"/>
      <w:r w:rsidR="00CE1CBB">
        <w:rPr>
          <w:rFonts w:ascii="Arial" w:hAnsi="Arial" w:cs="Arial"/>
          <w:sz w:val="20"/>
          <w:szCs w:val="20"/>
        </w:rPr>
        <w:t>were</w:t>
      </w:r>
      <w:proofErr w:type="gramEnd"/>
      <w:r w:rsidR="00503BF7">
        <w:rPr>
          <w:rFonts w:ascii="Arial" w:hAnsi="Arial" w:cs="Arial"/>
          <w:sz w:val="20"/>
          <w:szCs w:val="20"/>
        </w:rPr>
        <w:t xml:space="preserve"> made and additional functionality was available for the first time (</w:t>
      </w:r>
      <w:proofErr w:type="spellStart"/>
      <w:r w:rsidR="00503BF7">
        <w:rPr>
          <w:rFonts w:ascii="Arial" w:hAnsi="Arial" w:cs="Arial"/>
          <w:sz w:val="20"/>
          <w:szCs w:val="20"/>
        </w:rPr>
        <w:t>eg</w:t>
      </w:r>
      <w:proofErr w:type="spellEnd"/>
      <w:r w:rsidR="00503BF7">
        <w:rPr>
          <w:rFonts w:ascii="Arial" w:hAnsi="Arial" w:cs="Arial"/>
          <w:sz w:val="20"/>
          <w:szCs w:val="20"/>
        </w:rPr>
        <w:t xml:space="preserve"> single-customer view.)</w:t>
      </w:r>
    </w:p>
    <w:p w14:paraId="738BBB73" w14:textId="77777777" w:rsidR="001354EC" w:rsidRDefault="00503BF7" w:rsidP="006B172E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generic load</w:t>
      </w:r>
      <w:r w:rsidR="00CE1CBB">
        <w:rPr>
          <w:rFonts w:ascii="Arial" w:hAnsi="Arial" w:cs="Arial"/>
          <w:sz w:val="20"/>
          <w:szCs w:val="20"/>
        </w:rPr>
        <w:t xml:space="preserve"> solution into the data warehouse. This allowed a source to be integrated </w:t>
      </w:r>
    </w:p>
    <w:p w14:paraId="32EF094D" w14:textId="52A312B4" w:rsidR="00503BF7" w:rsidRDefault="00CE1CBB" w:rsidP="001354EC">
      <w:pPr>
        <w:pStyle w:val="ListParagraph"/>
        <w:spacing w:before="240"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no development on the data warehouse side.</w:t>
      </w:r>
    </w:p>
    <w:p w14:paraId="55115AD5" w14:textId="77777777" w:rsidR="001354EC" w:rsidRDefault="001354EC" w:rsidP="001354EC">
      <w:pPr>
        <w:pStyle w:val="ListParagraph"/>
        <w:spacing w:before="240" w:after="0"/>
        <w:ind w:left="36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346"/>
      </w:tblGrid>
      <w:tr w:rsidR="001354EC" w14:paraId="17D510E7" w14:textId="77777777" w:rsidTr="00A029A9">
        <w:trPr>
          <w:jc w:val="right"/>
        </w:trPr>
        <w:tc>
          <w:tcPr>
            <w:tcW w:w="5670" w:type="dxa"/>
          </w:tcPr>
          <w:p w14:paraId="746F1188" w14:textId="288F5552" w:rsidR="001354EC" w:rsidRPr="007B68A8" w:rsidRDefault="001354EC" w:rsidP="00A029A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Complinet</w:t>
            </w:r>
            <w:proofErr w:type="spellEnd"/>
          </w:p>
          <w:p w14:paraId="0101EFBD" w14:textId="08B92045" w:rsidR="001354EC" w:rsidRDefault="001354EC" w:rsidP="00A029A9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Business Information Manager</w:t>
            </w:r>
          </w:p>
        </w:tc>
        <w:tc>
          <w:tcPr>
            <w:tcW w:w="3346" w:type="dxa"/>
          </w:tcPr>
          <w:p w14:paraId="4256D278" w14:textId="08DAE6ED" w:rsidR="001354EC" w:rsidRDefault="001354EC" w:rsidP="00A029A9">
            <w:pPr>
              <w:rPr>
                <w:rFonts w:ascii="Arial" w:hAnsi="Arial" w:cs="Arial"/>
                <w:sz w:val="20"/>
              </w:rPr>
            </w:pPr>
            <w:r w:rsidRPr="001354EC">
              <w:rPr>
                <w:rFonts w:ascii="Arial" w:hAnsi="Arial" w:cs="Arial"/>
                <w:sz w:val="20"/>
                <w:szCs w:val="20"/>
              </w:rPr>
              <w:t xml:space="preserve">August 2004 – </w:t>
            </w:r>
            <w:r>
              <w:rPr>
                <w:rFonts w:ascii="Arial" w:hAnsi="Arial" w:cs="Arial"/>
                <w:sz w:val="20"/>
                <w:szCs w:val="20"/>
              </w:rPr>
              <w:t>March 2007</w:t>
            </w:r>
          </w:p>
        </w:tc>
      </w:tr>
    </w:tbl>
    <w:p w14:paraId="1C0469C5" w14:textId="1474E043" w:rsidR="001354EC" w:rsidRDefault="001354EC" w:rsidP="001354EC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1354EC">
        <w:rPr>
          <w:rFonts w:ascii="Arial" w:hAnsi="Arial" w:cs="Arial"/>
          <w:sz w:val="20"/>
          <w:szCs w:val="20"/>
        </w:rPr>
        <w:t>Manager of the Business Information team, responsible for the acquisition, maintenance and delivery of CRM data to the company.  Managed a team of 2 data researchers and 1 data analyst, with day-to-day management of a large CRM database.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0"/>
        <w:gridCol w:w="3346"/>
      </w:tblGrid>
      <w:tr w:rsidR="001354EC" w14:paraId="1935FB13" w14:textId="77777777" w:rsidTr="00A549AA">
        <w:tc>
          <w:tcPr>
            <w:tcW w:w="5670" w:type="dxa"/>
          </w:tcPr>
          <w:p w14:paraId="0FADC164" w14:textId="77777777" w:rsidR="001354EC" w:rsidRDefault="001354EC" w:rsidP="00A029A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E0D1FA" w14:textId="77777777" w:rsidR="001354EC" w:rsidRDefault="001354EC" w:rsidP="00A029A9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Travelling and working in New Zealand</w:t>
            </w:r>
          </w:p>
        </w:tc>
        <w:tc>
          <w:tcPr>
            <w:tcW w:w="3346" w:type="dxa"/>
          </w:tcPr>
          <w:p w14:paraId="26E42396" w14:textId="77777777" w:rsidR="001354EC" w:rsidRDefault="001354EC" w:rsidP="00A029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February 2003 </w:t>
            </w:r>
            <w:r w:rsidRPr="001354EC">
              <w:rPr>
                <w:rFonts w:ascii="Arial" w:hAnsi="Arial" w:cs="Arial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sz w:val="20"/>
                <w:szCs w:val="20"/>
              </w:rPr>
              <w:t>April 2004</w:t>
            </w:r>
          </w:p>
        </w:tc>
      </w:tr>
      <w:tr w:rsidR="001354EC" w14:paraId="7CD30B50" w14:textId="77777777" w:rsidTr="00A549AA">
        <w:tblPrEx>
          <w:jc w:val="righ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jc w:val="right"/>
        </w:trPr>
        <w:tc>
          <w:tcPr>
            <w:tcW w:w="5670" w:type="dxa"/>
          </w:tcPr>
          <w:p w14:paraId="2B5C7157" w14:textId="77777777" w:rsidR="001354EC" w:rsidRDefault="001354EC" w:rsidP="00A029A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6019A5" w14:textId="46EDC99D" w:rsidR="001354EC" w:rsidRPr="007B68A8" w:rsidRDefault="001354EC" w:rsidP="00A029A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Sweet &amp; Maxwell</w:t>
            </w:r>
          </w:p>
          <w:p w14:paraId="6CC4B584" w14:textId="77777777" w:rsidR="001354EC" w:rsidRDefault="001354EC" w:rsidP="00A029A9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Database Manager</w:t>
            </w:r>
          </w:p>
        </w:tc>
        <w:tc>
          <w:tcPr>
            <w:tcW w:w="3346" w:type="dxa"/>
          </w:tcPr>
          <w:p w14:paraId="51747C58" w14:textId="77777777" w:rsidR="001354EC" w:rsidRDefault="001354EC" w:rsidP="00A029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March</w:t>
            </w:r>
            <w:r w:rsidRPr="001354E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2000</w:t>
            </w:r>
            <w:r w:rsidRPr="001354EC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February 2003</w:t>
            </w:r>
          </w:p>
        </w:tc>
      </w:tr>
      <w:tr w:rsidR="001354EC" w14:paraId="1344B755" w14:textId="77777777" w:rsidTr="00A549AA">
        <w:tblPrEx>
          <w:jc w:val="righ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jc w:val="right"/>
        </w:trPr>
        <w:tc>
          <w:tcPr>
            <w:tcW w:w="5670" w:type="dxa"/>
          </w:tcPr>
          <w:p w14:paraId="7D35D600" w14:textId="5F16FB26" w:rsidR="001354EC" w:rsidRDefault="001354EC" w:rsidP="00A029A9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346" w:type="dxa"/>
          </w:tcPr>
          <w:p w14:paraId="155FB237" w14:textId="157C5D60" w:rsidR="001354EC" w:rsidRDefault="001354EC" w:rsidP="00A029A9">
            <w:pPr>
              <w:rPr>
                <w:rFonts w:ascii="Arial" w:hAnsi="Arial" w:cs="Arial"/>
                <w:sz w:val="20"/>
              </w:rPr>
            </w:pPr>
          </w:p>
        </w:tc>
      </w:tr>
    </w:tbl>
    <w:p w14:paraId="334D9F9D" w14:textId="77777777" w:rsidR="000D0640" w:rsidRDefault="00A549AA" w:rsidP="00A549AA">
      <w:pPr>
        <w:tabs>
          <w:tab w:val="left" w:pos="3936"/>
        </w:tabs>
        <w:rPr>
          <w:b/>
        </w:rPr>
      </w:pPr>
      <w:r>
        <w:rPr>
          <w:b/>
        </w:rPr>
        <w:t>Federation of Master Builders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March 1998 - March </w:t>
      </w:r>
      <w:r w:rsidR="000D0640">
        <w:rPr>
          <w:b/>
        </w:rPr>
        <w:t>2000</w:t>
      </w:r>
    </w:p>
    <w:p w14:paraId="5EF9C831" w14:textId="47BCDBEB" w:rsidR="00A549AA" w:rsidRDefault="00A549AA" w:rsidP="00A549AA">
      <w:pPr>
        <w:tabs>
          <w:tab w:val="left" w:pos="3936"/>
        </w:tabs>
      </w:pPr>
      <w:r>
        <w:rPr>
          <w:b/>
        </w:rPr>
        <w:t xml:space="preserve">Membership administrator </w:t>
      </w:r>
    </w:p>
    <w:p w14:paraId="65C39A08" w14:textId="77777777" w:rsidR="00C82EBC" w:rsidRPr="00C82EBC" w:rsidRDefault="00C82EBC" w:rsidP="00C82EBC">
      <w:pPr>
        <w:spacing w:before="240" w:after="0"/>
        <w:rPr>
          <w:rFonts w:ascii="Arial" w:hAnsi="Arial" w:cs="Arial"/>
          <w:sz w:val="20"/>
          <w:szCs w:val="20"/>
        </w:rPr>
      </w:pPr>
    </w:p>
    <w:p w14:paraId="7C4F3256" w14:textId="67DA1A91" w:rsidR="00F20DDA" w:rsidRPr="00EF0EE5" w:rsidRDefault="00F20DDA" w:rsidP="00F76539">
      <w:pPr>
        <w:spacing w:before="240"/>
        <w:rPr>
          <w:rFonts w:ascii="Arial" w:hAnsi="Arial" w:cs="Arial"/>
          <w:b/>
        </w:rPr>
      </w:pPr>
      <w:r w:rsidRPr="00EF0EE5">
        <w:rPr>
          <w:rFonts w:ascii="Arial" w:hAnsi="Arial" w:cs="Arial"/>
          <w:b/>
        </w:rPr>
        <w:t>Education</w:t>
      </w:r>
    </w:p>
    <w:p w14:paraId="054AF95E" w14:textId="16DF248F" w:rsidR="00F76539" w:rsidRPr="00EF0EE5" w:rsidRDefault="006F1A07" w:rsidP="00F76539">
      <w:pPr>
        <w:pStyle w:val="ListParagraph"/>
        <w:numPr>
          <w:ilvl w:val="0"/>
          <w:numId w:val="6"/>
        </w:numPr>
        <w:spacing w:before="240"/>
        <w:rPr>
          <w:rFonts w:ascii="Arial" w:hAnsi="Arial" w:cs="Arial"/>
          <w:sz w:val="20"/>
          <w:szCs w:val="20"/>
        </w:rPr>
      </w:pPr>
      <w:r w:rsidRPr="00EF0EE5">
        <w:rPr>
          <w:rFonts w:ascii="Arial" w:hAnsi="Arial" w:cs="Arial"/>
          <w:sz w:val="20"/>
          <w:szCs w:val="20"/>
        </w:rPr>
        <w:t>BSc Psychology and Computing – Bournemouth University</w:t>
      </w:r>
    </w:p>
    <w:p w14:paraId="098A4D55" w14:textId="7CCBACD0" w:rsidR="006A0D22" w:rsidRPr="007B68A8" w:rsidRDefault="006A0D22" w:rsidP="006A0D22">
      <w:pPr>
        <w:spacing w:before="240"/>
        <w:rPr>
          <w:rFonts w:ascii="Arial" w:hAnsi="Arial" w:cs="Arial"/>
          <w:sz w:val="18"/>
          <w:szCs w:val="18"/>
        </w:rPr>
      </w:pPr>
    </w:p>
    <w:p w14:paraId="2CB1AF7C" w14:textId="77777777" w:rsidR="006A0D22" w:rsidRPr="007B68A8" w:rsidRDefault="006A0D22" w:rsidP="006A0D22">
      <w:pPr>
        <w:spacing w:before="240"/>
        <w:rPr>
          <w:rFonts w:ascii="Arial" w:hAnsi="Arial" w:cs="Arial"/>
          <w:sz w:val="18"/>
          <w:szCs w:val="18"/>
        </w:rPr>
      </w:pPr>
    </w:p>
    <w:sectPr w:rsidR="006A0D22" w:rsidRPr="007B68A8" w:rsidSect="006F1A07">
      <w:headerReference w:type="default" r:id="rId8"/>
      <w:footerReference w:type="default" r:id="rId9"/>
      <w:type w:val="continuous"/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627C8" w14:textId="77777777" w:rsidR="0025729F" w:rsidRDefault="0025729F" w:rsidP="00333187">
      <w:pPr>
        <w:spacing w:after="0" w:line="240" w:lineRule="auto"/>
      </w:pPr>
      <w:r>
        <w:separator/>
      </w:r>
    </w:p>
  </w:endnote>
  <w:endnote w:type="continuationSeparator" w:id="0">
    <w:p w14:paraId="2788B53F" w14:textId="77777777" w:rsidR="0025729F" w:rsidRDefault="0025729F" w:rsidP="0033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E4BA" w14:textId="5DF2867B" w:rsidR="00CB1BF1" w:rsidRDefault="00CB1BF1" w:rsidP="00490CE2">
    <w:pPr>
      <w:pStyle w:val="Foot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15E04" w14:textId="77777777" w:rsidR="0025729F" w:rsidRDefault="0025729F" w:rsidP="00333187">
      <w:pPr>
        <w:spacing w:after="0" w:line="240" w:lineRule="auto"/>
      </w:pPr>
      <w:r>
        <w:separator/>
      </w:r>
    </w:p>
  </w:footnote>
  <w:footnote w:type="continuationSeparator" w:id="0">
    <w:p w14:paraId="2FDD3C1F" w14:textId="77777777" w:rsidR="0025729F" w:rsidRDefault="0025729F" w:rsidP="0033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8"/>
      <w:gridCol w:w="2510"/>
      <w:gridCol w:w="539"/>
      <w:gridCol w:w="3275"/>
      <w:gridCol w:w="539"/>
      <w:gridCol w:w="1525"/>
    </w:tblGrid>
    <w:tr w:rsidR="00CB1BF1" w14:paraId="24506148" w14:textId="77777777" w:rsidTr="00866316">
      <w:tc>
        <w:tcPr>
          <w:tcW w:w="641" w:type="dxa"/>
        </w:tcPr>
        <w:p w14:paraId="036E3A2E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13D8EE37" wp14:editId="04377DCA">
                <wp:extent cx="236220" cy="236220"/>
                <wp:effectExtent l="0" t="0" r="0" b="0"/>
                <wp:docPr id="4" name="Picture 4" descr="Image result for envelop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envelope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7" w:type="dxa"/>
          <w:vAlign w:val="center"/>
        </w:tcPr>
        <w:p w14:paraId="36BA9728" w14:textId="77777777" w:rsidR="00CB1BF1" w:rsidRDefault="00CB1BF1" w:rsidP="00490CE2">
          <w:pPr>
            <w:pStyle w:val="Header"/>
          </w:pPr>
          <w:r>
            <w:rPr>
              <w:rFonts w:ascii="Century Gothic" w:hAnsi="Century Gothic"/>
              <w:color w:val="7F7F7F" w:themeColor="text1" w:themeTint="80"/>
              <w:sz w:val="12"/>
            </w:rPr>
            <w:t>email</w:t>
          </w:r>
        </w:p>
      </w:tc>
      <w:tc>
        <w:tcPr>
          <w:tcW w:w="540" w:type="dxa"/>
        </w:tcPr>
        <w:p w14:paraId="2F45A5F6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5FE15EA3" wp14:editId="63F86C27">
                <wp:extent cx="182033" cy="182033"/>
                <wp:effectExtent l="0" t="0" r="8890" b="8890"/>
                <wp:docPr id="5" name="Picture 5" descr="Image result for linked i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mage result for linked i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32" cy="181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0" w:type="dxa"/>
          <w:vAlign w:val="center"/>
        </w:tcPr>
        <w:p w14:paraId="1DFC8C56" w14:textId="77777777" w:rsidR="00CB1BF1" w:rsidRPr="0088181C" w:rsidRDefault="00CB1BF1" w:rsidP="003740B1">
          <w:pPr>
            <w:pStyle w:val="Header"/>
            <w:rPr>
              <w:rFonts w:ascii="Century Gothic" w:hAnsi="Century Gothic"/>
              <w:color w:val="7F7F7F" w:themeColor="text1" w:themeTint="80"/>
              <w:sz w:val="12"/>
            </w:rPr>
          </w:pPr>
          <w:r w:rsidRPr="00191F4A">
            <w:rPr>
              <w:rFonts w:ascii="Century Gothic" w:hAnsi="Century Gothic"/>
              <w:color w:val="7F7F7F" w:themeColor="text1" w:themeTint="80"/>
              <w:sz w:val="12"/>
            </w:rPr>
            <w:t>https://ww</w:t>
          </w:r>
          <w:r>
            <w:rPr>
              <w:rFonts w:ascii="Century Gothic" w:hAnsi="Century Gothic"/>
              <w:color w:val="7F7F7F" w:themeColor="text1" w:themeTint="80"/>
              <w:sz w:val="12"/>
            </w:rPr>
            <w:t>w.linkedin.com/in/name</w:t>
          </w:r>
        </w:p>
      </w:tc>
      <w:tc>
        <w:tcPr>
          <w:tcW w:w="540" w:type="dxa"/>
        </w:tcPr>
        <w:p w14:paraId="7CA07B08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4C5A054F" wp14:editId="348A8C2E">
                <wp:extent cx="198966" cy="198966"/>
                <wp:effectExtent l="0" t="0" r="0" b="0"/>
                <wp:docPr id="6" name="Picture 6" descr="Image result for mobile phone logo icon 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mobile phone logo icon 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958" cy="19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74" w:type="dxa"/>
          <w:vAlign w:val="center"/>
        </w:tcPr>
        <w:p w14:paraId="339CE029" w14:textId="77777777" w:rsidR="00CB1BF1" w:rsidRDefault="00CB1BF1" w:rsidP="00F40B0B">
          <w:pPr>
            <w:pStyle w:val="Header"/>
          </w:pPr>
          <w:r>
            <w:rPr>
              <w:rFonts w:ascii="Century Gothic" w:hAnsi="Century Gothic"/>
              <w:color w:val="7F7F7F" w:themeColor="text1" w:themeTint="80"/>
              <w:sz w:val="12"/>
            </w:rPr>
            <w:t>mobile</w:t>
          </w:r>
        </w:p>
      </w:tc>
    </w:tr>
  </w:tbl>
  <w:p w14:paraId="3AB0DF93" w14:textId="77777777" w:rsidR="00CB1BF1" w:rsidRDefault="00CB1BF1" w:rsidP="00640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9F5"/>
    <w:multiLevelType w:val="hybridMultilevel"/>
    <w:tmpl w:val="315E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D39"/>
    <w:multiLevelType w:val="hybridMultilevel"/>
    <w:tmpl w:val="919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B4"/>
    <w:multiLevelType w:val="hybridMultilevel"/>
    <w:tmpl w:val="3DD69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F3A0B"/>
    <w:multiLevelType w:val="hybridMultilevel"/>
    <w:tmpl w:val="F87AE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427E0"/>
    <w:multiLevelType w:val="hybridMultilevel"/>
    <w:tmpl w:val="E3AA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69A"/>
    <w:multiLevelType w:val="hybridMultilevel"/>
    <w:tmpl w:val="2862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52B1C"/>
    <w:multiLevelType w:val="hybridMultilevel"/>
    <w:tmpl w:val="473A0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D576E3"/>
    <w:multiLevelType w:val="hybridMultilevel"/>
    <w:tmpl w:val="EF9E0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9D2FB3"/>
    <w:multiLevelType w:val="hybridMultilevel"/>
    <w:tmpl w:val="55E215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D"/>
    <w:rsid w:val="00001661"/>
    <w:rsid w:val="000157E5"/>
    <w:rsid w:val="00033CC3"/>
    <w:rsid w:val="000419CB"/>
    <w:rsid w:val="000550FF"/>
    <w:rsid w:val="000667AD"/>
    <w:rsid w:val="00085C35"/>
    <w:rsid w:val="000B1069"/>
    <w:rsid w:val="000C4256"/>
    <w:rsid w:val="000D0640"/>
    <w:rsid w:val="000D30D0"/>
    <w:rsid w:val="000D6D0E"/>
    <w:rsid w:val="0012251F"/>
    <w:rsid w:val="001354EC"/>
    <w:rsid w:val="001369A1"/>
    <w:rsid w:val="0015225B"/>
    <w:rsid w:val="001628FC"/>
    <w:rsid w:val="001678C4"/>
    <w:rsid w:val="00177AA3"/>
    <w:rsid w:val="00186014"/>
    <w:rsid w:val="00191F4A"/>
    <w:rsid w:val="001B0D91"/>
    <w:rsid w:val="001B2C0F"/>
    <w:rsid w:val="001C7EF1"/>
    <w:rsid w:val="001D4C20"/>
    <w:rsid w:val="001E1E90"/>
    <w:rsid w:val="002003F6"/>
    <w:rsid w:val="0021538E"/>
    <w:rsid w:val="00224781"/>
    <w:rsid w:val="002311C5"/>
    <w:rsid w:val="00235A17"/>
    <w:rsid w:val="00235A51"/>
    <w:rsid w:val="0025729F"/>
    <w:rsid w:val="00286769"/>
    <w:rsid w:val="002978CA"/>
    <w:rsid w:val="002B6861"/>
    <w:rsid w:val="002C1CD5"/>
    <w:rsid w:val="002C3A74"/>
    <w:rsid w:val="002D1803"/>
    <w:rsid w:val="002E384C"/>
    <w:rsid w:val="00301B71"/>
    <w:rsid w:val="003104A7"/>
    <w:rsid w:val="00325414"/>
    <w:rsid w:val="00327C68"/>
    <w:rsid w:val="00330A85"/>
    <w:rsid w:val="00333187"/>
    <w:rsid w:val="00352640"/>
    <w:rsid w:val="003529FB"/>
    <w:rsid w:val="003618DF"/>
    <w:rsid w:val="00362840"/>
    <w:rsid w:val="00364380"/>
    <w:rsid w:val="003740B1"/>
    <w:rsid w:val="003776D6"/>
    <w:rsid w:val="00383602"/>
    <w:rsid w:val="00397692"/>
    <w:rsid w:val="003A79FE"/>
    <w:rsid w:val="003C07D3"/>
    <w:rsid w:val="003C4DA5"/>
    <w:rsid w:val="003C7A6D"/>
    <w:rsid w:val="003D576B"/>
    <w:rsid w:val="00400FF3"/>
    <w:rsid w:val="0040276C"/>
    <w:rsid w:val="0044301E"/>
    <w:rsid w:val="00460F3D"/>
    <w:rsid w:val="00477BAD"/>
    <w:rsid w:val="00490CE2"/>
    <w:rsid w:val="004D7273"/>
    <w:rsid w:val="004F1415"/>
    <w:rsid w:val="00503BF7"/>
    <w:rsid w:val="005210FE"/>
    <w:rsid w:val="00523447"/>
    <w:rsid w:val="00534494"/>
    <w:rsid w:val="005604D1"/>
    <w:rsid w:val="005879DB"/>
    <w:rsid w:val="005914ED"/>
    <w:rsid w:val="005D2F8E"/>
    <w:rsid w:val="00614B79"/>
    <w:rsid w:val="006229AC"/>
    <w:rsid w:val="00622BFE"/>
    <w:rsid w:val="00640A87"/>
    <w:rsid w:val="0064273F"/>
    <w:rsid w:val="00642857"/>
    <w:rsid w:val="00651E30"/>
    <w:rsid w:val="00655B45"/>
    <w:rsid w:val="00671890"/>
    <w:rsid w:val="00677226"/>
    <w:rsid w:val="006A0D22"/>
    <w:rsid w:val="006A7CB3"/>
    <w:rsid w:val="006B172E"/>
    <w:rsid w:val="006B4050"/>
    <w:rsid w:val="006C53B5"/>
    <w:rsid w:val="006D1246"/>
    <w:rsid w:val="006F1A07"/>
    <w:rsid w:val="00724943"/>
    <w:rsid w:val="00740880"/>
    <w:rsid w:val="00762CFF"/>
    <w:rsid w:val="007A256F"/>
    <w:rsid w:val="007A347D"/>
    <w:rsid w:val="007B68A8"/>
    <w:rsid w:val="007D4B9B"/>
    <w:rsid w:val="007D6B35"/>
    <w:rsid w:val="007E1757"/>
    <w:rsid w:val="007F07C2"/>
    <w:rsid w:val="0080537F"/>
    <w:rsid w:val="00821B98"/>
    <w:rsid w:val="00837F1D"/>
    <w:rsid w:val="00841353"/>
    <w:rsid w:val="008631AD"/>
    <w:rsid w:val="00865B58"/>
    <w:rsid w:val="00866316"/>
    <w:rsid w:val="00880F3D"/>
    <w:rsid w:val="00881334"/>
    <w:rsid w:val="0088181C"/>
    <w:rsid w:val="00896B83"/>
    <w:rsid w:val="008B238D"/>
    <w:rsid w:val="008B686D"/>
    <w:rsid w:val="008C31F5"/>
    <w:rsid w:val="008D788C"/>
    <w:rsid w:val="008E341C"/>
    <w:rsid w:val="008F6187"/>
    <w:rsid w:val="00905A36"/>
    <w:rsid w:val="0091392E"/>
    <w:rsid w:val="009216BB"/>
    <w:rsid w:val="0092662B"/>
    <w:rsid w:val="00932A55"/>
    <w:rsid w:val="009367F2"/>
    <w:rsid w:val="009927E8"/>
    <w:rsid w:val="009B509C"/>
    <w:rsid w:val="009C76C4"/>
    <w:rsid w:val="009D3AC0"/>
    <w:rsid w:val="009F081B"/>
    <w:rsid w:val="009F1701"/>
    <w:rsid w:val="009F7538"/>
    <w:rsid w:val="00A101A9"/>
    <w:rsid w:val="00A115CD"/>
    <w:rsid w:val="00A17F06"/>
    <w:rsid w:val="00A2194A"/>
    <w:rsid w:val="00A549AA"/>
    <w:rsid w:val="00A6159A"/>
    <w:rsid w:val="00A63303"/>
    <w:rsid w:val="00A6744B"/>
    <w:rsid w:val="00A720CC"/>
    <w:rsid w:val="00A96C24"/>
    <w:rsid w:val="00AC5F1C"/>
    <w:rsid w:val="00AC6F47"/>
    <w:rsid w:val="00AD6AAC"/>
    <w:rsid w:val="00AE129E"/>
    <w:rsid w:val="00AE631B"/>
    <w:rsid w:val="00B00B0B"/>
    <w:rsid w:val="00B21FDD"/>
    <w:rsid w:val="00B3036B"/>
    <w:rsid w:val="00B31725"/>
    <w:rsid w:val="00B31F4C"/>
    <w:rsid w:val="00B42E73"/>
    <w:rsid w:val="00B6345E"/>
    <w:rsid w:val="00B82BA8"/>
    <w:rsid w:val="00B84EF1"/>
    <w:rsid w:val="00BD7D7A"/>
    <w:rsid w:val="00BE4A66"/>
    <w:rsid w:val="00BF6409"/>
    <w:rsid w:val="00C00775"/>
    <w:rsid w:val="00C072CD"/>
    <w:rsid w:val="00C27C96"/>
    <w:rsid w:val="00C41DEC"/>
    <w:rsid w:val="00C44B3C"/>
    <w:rsid w:val="00C63ACC"/>
    <w:rsid w:val="00C75F8A"/>
    <w:rsid w:val="00C82EBC"/>
    <w:rsid w:val="00C9035C"/>
    <w:rsid w:val="00C96F73"/>
    <w:rsid w:val="00C97840"/>
    <w:rsid w:val="00CB1BF1"/>
    <w:rsid w:val="00CC7D4F"/>
    <w:rsid w:val="00CD7E47"/>
    <w:rsid w:val="00CE1CBB"/>
    <w:rsid w:val="00CE2EB7"/>
    <w:rsid w:val="00D0073E"/>
    <w:rsid w:val="00D05EF4"/>
    <w:rsid w:val="00D44ECF"/>
    <w:rsid w:val="00D544F0"/>
    <w:rsid w:val="00D77AE8"/>
    <w:rsid w:val="00D95336"/>
    <w:rsid w:val="00DC20F3"/>
    <w:rsid w:val="00E015FA"/>
    <w:rsid w:val="00E158A2"/>
    <w:rsid w:val="00E2041B"/>
    <w:rsid w:val="00E4077D"/>
    <w:rsid w:val="00E52D12"/>
    <w:rsid w:val="00E549C3"/>
    <w:rsid w:val="00E71324"/>
    <w:rsid w:val="00E87502"/>
    <w:rsid w:val="00ED0982"/>
    <w:rsid w:val="00EE3165"/>
    <w:rsid w:val="00EF0EE5"/>
    <w:rsid w:val="00F02B88"/>
    <w:rsid w:val="00F20DDA"/>
    <w:rsid w:val="00F40B0B"/>
    <w:rsid w:val="00F669B4"/>
    <w:rsid w:val="00F76539"/>
    <w:rsid w:val="00F7781B"/>
    <w:rsid w:val="00F90896"/>
    <w:rsid w:val="00FB56A6"/>
    <w:rsid w:val="00FB73C0"/>
    <w:rsid w:val="00FD55ED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E64A7"/>
  <w15:docId w15:val="{3BCC47ED-6585-4895-9011-E6687DF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87"/>
  </w:style>
  <w:style w:type="paragraph" w:styleId="Footer">
    <w:name w:val="footer"/>
    <w:basedOn w:val="Normal"/>
    <w:link w:val="Foot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87"/>
  </w:style>
  <w:style w:type="table" w:styleId="TableGrid">
    <w:name w:val="Table Grid"/>
    <w:basedOn w:val="TableNormal"/>
    <w:uiPriority w:val="59"/>
    <w:rsid w:val="003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187"/>
    <w:rPr>
      <w:color w:val="0000FF" w:themeColor="hyperlink"/>
      <w:u w:val="single"/>
    </w:rPr>
  </w:style>
  <w:style w:type="table" w:styleId="MediumGrid1-Accent5">
    <w:name w:val="Medium Grid 1 Accent 5"/>
    <w:basedOn w:val="TableNormal"/>
    <w:uiPriority w:val="67"/>
    <w:rsid w:val="0035264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0FF1A-256D-461D-A331-64045D44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SLSB</dc:creator>
  <cp:lastModifiedBy>joseph_steeleperkins@yahoo.co.uk</cp:lastModifiedBy>
  <cp:revision>22</cp:revision>
  <cp:lastPrinted>2018-11-21T16:09:00Z</cp:lastPrinted>
  <dcterms:created xsi:type="dcterms:W3CDTF">2019-02-12T14:15:00Z</dcterms:created>
  <dcterms:modified xsi:type="dcterms:W3CDTF">2019-02-15T15:18:00Z</dcterms:modified>
</cp:coreProperties>
</file>