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480"/>
        <w:jc w:val="center"/>
      </w:pPr>
      <w:r>
        <w:drawing>
          <wp:inline distT="0" distB="0" distL="0" distR="0">
            <wp:extent cx="1714500" cy="1714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1B2A4A"/>
          <w:sz w:val="64"/>
          <w:szCs w:val="64"/>
        </w:rPr>
        <w:t xml:space="preserve">V.E.S.T.A.</w:t>
      </w: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00B4D8"/>
          <w:sz w:val="28"/>
          <w:szCs w:val="28"/>
        </w:rPr>
        <w:t xml:space="preserve">Vestimenta Exoesquelética de Soporte Tecnológico y Asistencia</w:t>
      </w:r>
    </w:p>
    <w:p>
      <w:pPr>
        <w:spacing w:after="40" w:before="0"/>
        <w:jc w:val="center"/>
      </w:pPr>
      <w:r>
        <w:rPr>
          <w:rFonts w:ascii="Arial" w:cs="Arial" w:eastAsia="Arial" w:hAnsi="Arial"/>
          <w:color w:val="4A5568"/>
          <w:sz w:val="22"/>
          <w:szCs w:val="22"/>
        </w:rPr>
        <w:t xml:space="preserve">Exoesqueleto Inteligente — Hoja de Producto Comercial 2026</w:t>
      </w:r>
    </w:p>
    <w:p>
      <w:pPr>
        <w:pBdr>
          <w:top w:val="single" w:color="00B4D8" w:sz="8" w:space="4"/>
          <w:bottom w:val="single" w:color="00B4D8" w:sz="8" w:space="4"/>
        </w:pBdr>
        <w:spacing w:after="240" w:before="240"/>
        <w:jc w:val="center"/>
      </w:pPr>
      <w:r>
        <w:rPr>
          <w:rFonts w:ascii="Arial" w:cs="Arial" w:eastAsia="Arial" w:hAnsi="Arial"/>
          <w:b/>
          <w:bCs/>
          <w:color w:val="1B2A4A"/>
          <w:sz w:val="22"/>
          <w:szCs w:val="22"/>
        </w:rPr>
        <w:t xml:space="preserve">Tecnología · Innovación · Sustentabilidad  |  Instituto Politécnico Nacional</w:t>
      </w:r>
    </w:p>
    <w:p>
      <w:pPr>
        <w:spacing w:after="480" w:before="0"/>
      </w:pPr>
      <w:r>
        <w:t xml:space="preserve"/>
      </w:r>
    </w:p>
    <w:p>
      <w:pPr>
        <w:pStyle w:val="Heading1"/>
        <w:pBdr>
          <w:bottom w:val="single" w:color="00B4D8" w:sz="8" w:space="4"/>
        </w:pBdr>
        <w:spacing w:after="160" w:before="320"/>
      </w:pPr>
      <w:r>
        <w:rPr>
          <w:rFonts w:ascii="Arial" w:cs="Arial" w:eastAsia="Arial" w:hAnsi="Arial"/>
          <w:b/>
          <w:bCs/>
          <w:color w:val="1B2A4A"/>
          <w:sz w:val="30"/>
          <w:szCs w:val="30"/>
        </w:rPr>
        <w:t xml:space="preserve">1. Objetivo del Producto</w:t>
      </w:r>
    </w:p>
    <w:p>
      <w:pPr>
        <w:spacing w:after="160" w:before="40"/>
        <w:jc w:val="both"/>
      </w:pPr>
      <w:r>
        <w:rPr>
          <w:rFonts w:ascii="Arial" w:cs="Arial" w:eastAsia="Arial" w:hAnsi="Arial"/>
          <w:b w:val="false"/>
          <w:bCs w:val="false"/>
          <w:color w:val="4A5568"/>
          <w:sz w:val="22"/>
          <w:szCs w:val="22"/>
        </w:rPr>
        <w:t xml:space="preserve">V.E.S.T.A. es un exoesqueleto robótico activo de tren superior diseñado para asistir y amplificar el movimiento humano en tiempo real. Integra sensores de flexión, unidades de medición inercial (IMU), inteligencia artificial embebida y conectividad IoT en un sistema modular, escalable y de bajo costo, orientado a prevenir lesiones musculoesqueléticas y mejorar el rendimiento físico en entornos laborales, industriales y de rehabilitación.</w:t>
      </w:r>
    </w:p>
    <w:p>
      <w:pPr>
        <w:spacing w:after="160" w:before="40"/>
        <w:jc w:val="both"/>
      </w:pPr>
      <w:r>
        <w:rPr>
          <w:rFonts w:ascii="Arial" w:cs="Arial" w:eastAsia="Arial" w:hAnsi="Arial"/>
          <w:b/>
          <w:bCs/>
          <w:color w:val="4A5568"/>
          <w:sz w:val="22"/>
          <w:szCs w:val="22"/>
        </w:rPr>
        <w:t xml:space="preserve">Sus objetivos principales son: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color w:val="4A5568"/>
          <w:sz w:val="22"/>
          <w:szCs w:val="22"/>
        </w:rPr>
        <w:t xml:space="preserve">Detectar y clasificar movimientos articulares con precisión angular menor a 5°.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color w:val="4A5568"/>
          <w:sz w:val="22"/>
          <w:szCs w:val="22"/>
        </w:rPr>
        <w:t xml:space="preserve">Replicar el movimiento humano en la estructura mecánica con latencia inferior a 100 ms.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color w:val="4A5568"/>
          <w:sz w:val="22"/>
          <w:szCs w:val="22"/>
        </w:rPr>
        <w:t xml:space="preserve">Adaptar el sistema al usuario mediante algoritmos de aprendizaje automático (TensorFlow Lite).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color w:val="4A5568"/>
          <w:sz w:val="22"/>
          <w:szCs w:val="22"/>
        </w:rPr>
        <w:t xml:space="preserve">Proporcionar monitoreo y control remoto a través de la app V.E.S.T.A. Monitor.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color w:val="4A5568"/>
          <w:sz w:val="22"/>
          <w:szCs w:val="22"/>
        </w:rPr>
        <w:t xml:space="preserve">Ofrecer una alternativa accesible frente a soluciones comerciales de costo prohibitivo.</w:t>
      </w:r>
    </w:p>
    <w:p>
      <w:pPr>
        <w:spacing w:after="120" w:before="0"/>
      </w:pPr>
      <w:r>
        <w:t xml:space="preserve"/>
      </w:r>
    </w:p>
    <w:p>
      <w:pPr>
        <w:pStyle w:val="Heading1"/>
        <w:pBdr>
          <w:bottom w:val="single" w:color="00B4D8" w:sz="8" w:space="4"/>
        </w:pBdr>
        <w:spacing w:after="160" w:before="320"/>
      </w:pPr>
      <w:r>
        <w:rPr>
          <w:rFonts w:ascii="Arial" w:cs="Arial" w:eastAsia="Arial" w:hAnsi="Arial"/>
          <w:b/>
          <w:bCs/>
          <w:color w:val="1B2A4A"/>
          <w:sz w:val="30"/>
          <w:szCs w:val="30"/>
        </w:rPr>
        <w:t xml:space="preserve">2. Propuesta de Valor — Ventajas Competitivas</w:t>
      </w:r>
    </w:p>
    <w:p>
      <w:pPr>
        <w:spacing w:after="160" w:before="40"/>
        <w:jc w:val="both"/>
      </w:pPr>
      <w:r>
        <w:rPr>
          <w:rFonts w:ascii="Arial" w:cs="Arial" w:eastAsia="Arial" w:hAnsi="Arial"/>
          <w:b w:val="false"/>
          <w:bCs w:val="false"/>
          <w:color w:val="4A5568"/>
          <w:sz w:val="22"/>
          <w:szCs w:val="22"/>
        </w:rPr>
        <w:t xml:space="preserve">V.E.S.T.A. se distingue de cualquier solución disponible en el mercado por seis pilares diferenciadores:</w:t>
      </w:r>
    </w:p>
    <w:p>
      <w:pPr>
        <w:spacing w:after="12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D1D9E6" w:sz="1"/>
              <w:left w:val="single" w:color="D1D9E6" w:sz="1"/>
              <w:bottom w:val="single" w:color="D1D9E6" w:sz="1"/>
              <w:right w:val="single" w:color="D1D9E6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Ventaja</w:t>
            </w:r>
          </w:p>
        </w:tc>
        <w:tc>
          <w:tcPr>
            <w:tcW w:type="dxa" w:w="3120"/>
            <w:tcBorders>
              <w:top w:val="single" w:color="D1D9E6" w:sz="1"/>
              <w:left w:val="single" w:color="D1D9E6" w:sz="1"/>
              <w:bottom w:val="single" w:color="D1D9E6" w:sz="1"/>
              <w:right w:val="single" w:color="D1D9E6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3120"/>
            <w:tcBorders>
              <w:top w:val="single" w:color="D1D9E6" w:sz="1"/>
              <w:left w:val="single" w:color="D1D9E6" w:sz="1"/>
              <w:bottom w:val="single" w:color="D1D9E6" w:sz="1"/>
              <w:right w:val="single" w:color="D1D9E6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Diferencial</w:t>
            </w:r>
          </w:p>
        </w:tc>
      </w:tr>
      <w:tr>
        <w:tc>
          <w:tcPr>
            <w:tcW w:type="dxa" w:w="3120"/>
            <w:tcBorders>
              <w:top w:val="single" w:color="D1D9E6" w:sz="1"/>
              <w:left w:val="single" w:color="D1D9E6" w:sz="1"/>
              <w:bottom w:val="single" w:color="D1D9E6" w:sz="1"/>
              <w:right w:val="single" w:color="D1D9E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A5568"/>
                <w:sz w:val="20"/>
                <w:szCs w:val="20"/>
              </w:rPr>
              <w:t xml:space="preserve">IA Embebida</w:t>
            </w:r>
          </w:p>
        </w:tc>
        <w:tc>
          <w:tcPr>
            <w:tcW w:type="dxa" w:w="3120"/>
            <w:tcBorders>
              <w:top w:val="single" w:color="D1D9E6" w:sz="1"/>
              <w:left w:val="single" w:color="D1D9E6" w:sz="1"/>
              <w:bottom w:val="single" w:color="D1D9E6" w:sz="1"/>
              <w:right w:val="single" w:color="D1D9E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A5568"/>
                <w:sz w:val="20"/>
                <w:szCs w:val="20"/>
              </w:rPr>
              <w:t xml:space="preserve">TensorFlow Lite en ESP32-S3 para reconocimiento de patrones sin nube</w:t>
            </w:r>
          </w:p>
        </w:tc>
        <w:tc>
          <w:tcPr>
            <w:tcW w:type="dxa" w:w="3120"/>
            <w:tcBorders>
              <w:top w:val="single" w:color="D1D9E6" w:sz="1"/>
              <w:left w:val="single" w:color="D1D9E6" w:sz="1"/>
              <w:bottom w:val="single" w:color="D1D9E6" w:sz="1"/>
              <w:right w:val="single" w:color="D1D9E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A5568"/>
                <w:sz w:val="20"/>
                <w:szCs w:val="20"/>
              </w:rPr>
              <w:t xml:space="preserve">✓ Exclusivo</w:t>
            </w:r>
          </w:p>
        </w:tc>
      </w:tr>
      <w:tr>
        <w:tc>
          <w:tcPr>
            <w:tcW w:type="dxa" w:w="3120"/>
            <w:tcBorders>
              <w:top w:val="single" w:color="D1D9E6" w:sz="1"/>
              <w:left w:val="single" w:color="D1D9E6" w:sz="1"/>
              <w:bottom w:val="single" w:color="D1D9E6" w:sz="1"/>
              <w:right w:val="single" w:color="D1D9E6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A5568"/>
                <w:sz w:val="20"/>
                <w:szCs w:val="20"/>
              </w:rPr>
              <w:t xml:space="preserve">Bajo Costo</w:t>
            </w:r>
          </w:p>
        </w:tc>
        <w:tc>
          <w:tcPr>
            <w:tcW w:type="dxa" w:w="3120"/>
            <w:tcBorders>
              <w:top w:val="single" w:color="D1D9E6" w:sz="1"/>
              <w:left w:val="single" w:color="D1D9E6" w:sz="1"/>
              <w:bottom w:val="single" w:color="D1D9E6" w:sz="1"/>
              <w:right w:val="single" w:color="D1D9E6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A5568"/>
                <w:sz w:val="20"/>
                <w:szCs w:val="20"/>
              </w:rPr>
              <w:t xml:space="preserve">~$200 USD frente a $50,000–70,000 de competidores comerciales</w:t>
            </w:r>
          </w:p>
        </w:tc>
        <w:tc>
          <w:tcPr>
            <w:tcW w:type="dxa" w:w="3120"/>
            <w:tcBorders>
              <w:top w:val="single" w:color="D1D9E6" w:sz="1"/>
              <w:left w:val="single" w:color="D1D9E6" w:sz="1"/>
              <w:bottom w:val="single" w:color="D1D9E6" w:sz="1"/>
              <w:right w:val="single" w:color="D1D9E6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A5568"/>
                <w:sz w:val="20"/>
                <w:szCs w:val="20"/>
              </w:rPr>
              <w:t xml:space="preserve">✓ 250x más barato</w:t>
            </w:r>
          </w:p>
        </w:tc>
      </w:tr>
      <w:tr>
        <w:tc>
          <w:tcPr>
            <w:tcW w:type="dxa" w:w="3120"/>
            <w:tcBorders>
              <w:top w:val="single" w:color="D1D9E6" w:sz="1"/>
              <w:left w:val="single" w:color="D1D9E6" w:sz="1"/>
              <w:bottom w:val="single" w:color="D1D9E6" w:sz="1"/>
              <w:right w:val="single" w:color="D1D9E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A5568"/>
                <w:sz w:val="20"/>
                <w:szCs w:val="20"/>
              </w:rPr>
              <w:t xml:space="preserve">App Integrada</w:t>
            </w:r>
          </w:p>
        </w:tc>
        <w:tc>
          <w:tcPr>
            <w:tcW w:type="dxa" w:w="3120"/>
            <w:tcBorders>
              <w:top w:val="single" w:color="D1D9E6" w:sz="1"/>
              <w:left w:val="single" w:color="D1D9E6" w:sz="1"/>
              <w:bottom w:val="single" w:color="D1D9E6" w:sz="1"/>
              <w:right w:val="single" w:color="D1D9E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A5568"/>
                <w:sz w:val="20"/>
                <w:szCs w:val="20"/>
              </w:rPr>
              <w:t xml:space="preserve">V.E.S.T.A. Monitor: dashboard en tiempo real, modos, histórico</w:t>
            </w:r>
          </w:p>
        </w:tc>
        <w:tc>
          <w:tcPr>
            <w:tcW w:type="dxa" w:w="3120"/>
            <w:tcBorders>
              <w:top w:val="single" w:color="D1D9E6" w:sz="1"/>
              <w:left w:val="single" w:color="D1D9E6" w:sz="1"/>
              <w:bottom w:val="single" w:color="D1D9E6" w:sz="1"/>
              <w:right w:val="single" w:color="D1D9E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A5568"/>
                <w:sz w:val="20"/>
                <w:szCs w:val="20"/>
              </w:rPr>
              <w:t xml:space="preserve">✓ Ecosistema completo</w:t>
            </w:r>
          </w:p>
        </w:tc>
      </w:tr>
      <w:tr>
        <w:tc>
          <w:tcPr>
            <w:tcW w:type="dxa" w:w="3120"/>
            <w:tcBorders>
              <w:top w:val="single" w:color="D1D9E6" w:sz="1"/>
              <w:left w:val="single" w:color="D1D9E6" w:sz="1"/>
              <w:bottom w:val="single" w:color="D1D9E6" w:sz="1"/>
              <w:right w:val="single" w:color="D1D9E6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A5568"/>
                <w:sz w:val="20"/>
                <w:szCs w:val="20"/>
              </w:rPr>
              <w:t xml:space="preserve">Modular / Escalable</w:t>
            </w:r>
          </w:p>
        </w:tc>
        <w:tc>
          <w:tcPr>
            <w:tcW w:type="dxa" w:w="3120"/>
            <w:tcBorders>
              <w:top w:val="single" w:color="D1D9E6" w:sz="1"/>
              <w:left w:val="single" w:color="D1D9E6" w:sz="1"/>
              <w:bottom w:val="single" w:color="D1D9E6" w:sz="1"/>
              <w:right w:val="single" w:color="D1D9E6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A5568"/>
                <w:sz w:val="20"/>
                <w:szCs w:val="20"/>
              </w:rPr>
              <w:t xml:space="preserve">De un brazo al sistema completo (bilateral + módulo dorsal)</w:t>
            </w:r>
          </w:p>
        </w:tc>
        <w:tc>
          <w:tcPr>
            <w:tcW w:type="dxa" w:w="3120"/>
            <w:tcBorders>
              <w:top w:val="single" w:color="D1D9E6" w:sz="1"/>
              <w:left w:val="single" w:color="D1D9E6" w:sz="1"/>
              <w:bottom w:val="single" w:color="D1D9E6" w:sz="1"/>
              <w:right w:val="single" w:color="D1D9E6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A5568"/>
                <w:sz w:val="20"/>
                <w:szCs w:val="20"/>
              </w:rPr>
              <w:t xml:space="preserve">✓ Adaptable</w:t>
            </w:r>
          </w:p>
        </w:tc>
      </w:tr>
      <w:tr>
        <w:tc>
          <w:tcPr>
            <w:tcW w:type="dxa" w:w="3120"/>
            <w:tcBorders>
              <w:top w:val="single" w:color="D1D9E6" w:sz="1"/>
              <w:left w:val="single" w:color="D1D9E6" w:sz="1"/>
              <w:bottom w:val="single" w:color="D1D9E6" w:sz="1"/>
              <w:right w:val="single" w:color="D1D9E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A5568"/>
                <w:sz w:val="20"/>
                <w:szCs w:val="20"/>
              </w:rPr>
              <w:t xml:space="preserve">Tiempo Real</w:t>
            </w:r>
          </w:p>
        </w:tc>
        <w:tc>
          <w:tcPr>
            <w:tcW w:type="dxa" w:w="3120"/>
            <w:tcBorders>
              <w:top w:val="single" w:color="D1D9E6" w:sz="1"/>
              <w:left w:val="single" w:color="D1D9E6" w:sz="1"/>
              <w:bottom w:val="single" w:color="D1D9E6" w:sz="1"/>
              <w:right w:val="single" w:color="D1D9E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A5568"/>
                <w:sz w:val="20"/>
                <w:szCs w:val="20"/>
              </w:rPr>
              <w:t xml:space="preserve">Latencia &lt;100 ms · 100 Hz de muestreo · Control PID de precisión</w:t>
            </w:r>
          </w:p>
        </w:tc>
        <w:tc>
          <w:tcPr>
            <w:tcW w:type="dxa" w:w="3120"/>
            <w:tcBorders>
              <w:top w:val="single" w:color="D1D9E6" w:sz="1"/>
              <w:left w:val="single" w:color="D1D9E6" w:sz="1"/>
              <w:bottom w:val="single" w:color="D1D9E6" w:sz="1"/>
              <w:right w:val="single" w:color="D1D9E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A5568"/>
                <w:sz w:val="20"/>
                <w:szCs w:val="20"/>
              </w:rPr>
              <w:t xml:space="preserve">✓ Industrial-grade</w:t>
            </w:r>
          </w:p>
        </w:tc>
      </w:tr>
      <w:tr>
        <w:tc>
          <w:tcPr>
            <w:tcW w:type="dxa" w:w="3120"/>
            <w:tcBorders>
              <w:top w:val="single" w:color="D1D9E6" w:sz="1"/>
              <w:left w:val="single" w:color="D1D9E6" w:sz="1"/>
              <w:bottom w:val="single" w:color="D1D9E6" w:sz="1"/>
              <w:right w:val="single" w:color="D1D9E6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A5568"/>
                <w:sz w:val="20"/>
                <w:szCs w:val="20"/>
              </w:rPr>
              <w:t xml:space="preserve">Sustentable</w:t>
            </w:r>
          </w:p>
        </w:tc>
        <w:tc>
          <w:tcPr>
            <w:tcW w:type="dxa" w:w="3120"/>
            <w:tcBorders>
              <w:top w:val="single" w:color="D1D9E6" w:sz="1"/>
              <w:left w:val="single" w:color="D1D9E6" w:sz="1"/>
              <w:bottom w:val="single" w:color="D1D9E6" w:sz="1"/>
              <w:right w:val="single" w:color="D1D9E6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A5568"/>
                <w:sz w:val="20"/>
                <w:szCs w:val="20"/>
              </w:rPr>
              <w:t xml:space="preserve">Estructura 3D en PLA/PETG reciclable · Plataforma de código abierto</w:t>
            </w:r>
          </w:p>
        </w:tc>
        <w:tc>
          <w:tcPr>
            <w:tcW w:type="dxa" w:w="3120"/>
            <w:tcBorders>
              <w:top w:val="single" w:color="D1D9E6" w:sz="1"/>
              <w:left w:val="single" w:color="D1D9E6" w:sz="1"/>
              <w:bottom w:val="single" w:color="D1D9E6" w:sz="1"/>
              <w:right w:val="single" w:color="D1D9E6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A5568"/>
                <w:sz w:val="20"/>
                <w:szCs w:val="20"/>
              </w:rPr>
              <w:t xml:space="preserve">✓ Open Platform</w:t>
            </w:r>
          </w:p>
        </w:tc>
      </w:tr>
    </w:tbl>
    <w:p>
      <w:pPr>
        <w:spacing w:after="240" w:before="0"/>
      </w:pPr>
      <w:r>
        <w:t xml:space="preserve"/>
      </w:r>
    </w:p>
    <w:p>
      <w:pPr>
        <w:pStyle w:val="Heading1"/>
        <w:pBdr>
          <w:bottom w:val="single" w:color="00B4D8" w:sz="8" w:space="4"/>
        </w:pBdr>
        <w:spacing w:after="160" w:before="320"/>
      </w:pPr>
      <w:r>
        <w:rPr>
          <w:rFonts w:ascii="Arial" w:cs="Arial" w:eastAsia="Arial" w:hAnsi="Arial"/>
          <w:b/>
          <w:bCs/>
          <w:color w:val="1B2A4A"/>
          <w:sz w:val="30"/>
          <w:szCs w:val="30"/>
        </w:rPr>
        <w:t xml:space="preserve">3. Funcionamiento del Sistema</w:t>
      </w:r>
    </w:p>
    <w:p>
      <w:pPr>
        <w:spacing w:after="160" w:before="40"/>
        <w:jc w:val="both"/>
      </w:pPr>
      <w:r>
        <w:rPr>
          <w:rFonts w:ascii="Arial" w:cs="Arial" w:eastAsia="Arial" w:hAnsi="Arial"/>
          <w:b w:val="false"/>
          <w:bCs w:val="false"/>
          <w:color w:val="4A5568"/>
          <w:sz w:val="22"/>
          <w:szCs w:val="22"/>
        </w:rPr>
        <w:t xml:space="preserve">El sistema opera mediante un flujo de tres etapas que transforma el movimiento intencional del usuario en asistencia mecánica precisa: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color w:val="00B4D8"/>
          <w:sz w:val="24"/>
          <w:szCs w:val="24"/>
        </w:rPr>
        <w:t xml:space="preserve">Etapa 1 — Captura de Movimiento</w:t>
      </w:r>
    </w:p>
    <w:p>
      <w:pPr>
        <w:spacing w:after="160" w:before="40"/>
        <w:jc w:val="both"/>
      </w:pPr>
      <w:r>
        <w:rPr>
          <w:rFonts w:ascii="Arial" w:cs="Arial" w:eastAsia="Arial" w:hAnsi="Arial"/>
          <w:b w:val="false"/>
          <w:bCs w:val="false"/>
          <w:color w:val="4A5568"/>
          <w:sz w:val="22"/>
          <w:szCs w:val="22"/>
        </w:rPr>
        <w:t xml:space="preserve">Sensores flex en el codo y unidades inerciales MPU6050 en ambos hombros capturan ángulos articulares, aceleración lineal y velocidad angular a 100 Hz. Las señales son digitalizadas y transmitidas al microcontrolador vía protocolo I²C.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color w:val="00B4D8"/>
          <w:sz w:val="24"/>
          <w:szCs w:val="24"/>
        </w:rPr>
        <w:t xml:space="preserve">Etapa 2 — Procesamiento e Inteligencia Artificial</w:t>
      </w:r>
    </w:p>
    <w:p>
      <w:pPr>
        <w:spacing w:after="160" w:before="40"/>
        <w:jc w:val="both"/>
      </w:pPr>
      <w:r>
        <w:rPr>
          <w:rFonts w:ascii="Arial" w:cs="Arial" w:eastAsia="Arial" w:hAnsi="Arial"/>
          <w:b w:val="false"/>
          <w:bCs w:val="false"/>
          <w:color w:val="4A5568"/>
          <w:sz w:val="22"/>
          <w:szCs w:val="22"/>
        </w:rPr>
        <w:t xml:space="preserve">El microcontrolador ESP32-S3 (240 MHz, dual-core) aplica filtros digitales para eliminar ruido, ejecuta modelos de IA en tiempo real (TensorFlow Lite) para clasificar gestos y genera comandos de control mediante algoritmos PID adaptados al usuario.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color w:val="00B4D8"/>
          <w:sz w:val="24"/>
          <w:szCs w:val="24"/>
        </w:rPr>
        <w:t xml:space="preserve">Etapa 3 — Respuesta Mecánica</w:t>
      </w:r>
    </w:p>
    <w:p>
      <w:pPr>
        <w:spacing w:after="160" w:before="40"/>
        <w:jc w:val="both"/>
      </w:pPr>
      <w:r>
        <w:rPr>
          <w:rFonts w:ascii="Arial" w:cs="Arial" w:eastAsia="Arial" w:hAnsi="Arial"/>
          <w:b w:val="false"/>
          <w:bCs w:val="false"/>
          <w:color w:val="4A5568"/>
          <w:sz w:val="22"/>
          <w:szCs w:val="22"/>
        </w:rPr>
        <w:t xml:space="preserve">El controlador PCA9685 (16 canales PWM, resolución 12 bits) convierte los comandos digitales en señales de control precisas para los servomotores DS51150 (150 kg·cm @ 12V), que accionan cada articulación de la estructura exoesquelética con fidelidad cinemática.</w:t>
      </w:r>
    </w:p>
    <w:p>
      <w:pPr>
        <w:pStyle w:val="Heading2"/>
        <w:spacing w:after="160" w:before="200"/>
      </w:pPr>
      <w:r>
        <w:rPr>
          <w:rFonts w:ascii="Arial" w:cs="Arial" w:eastAsia="Arial" w:hAnsi="Arial"/>
          <w:b/>
          <w:bCs/>
          <w:color w:val="1B2A4A"/>
          <w:sz w:val="26"/>
          <w:szCs w:val="26"/>
        </w:rPr>
        <w:t xml:space="preserve">Especificaciones Técnicas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D1D9E6" w:sz="1"/>
              <w:left w:val="single" w:color="D1D9E6" w:sz="1"/>
              <w:bottom w:val="single" w:color="D1D9E6" w:sz="1"/>
              <w:right w:val="single" w:color="D1D9E6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Parámetro</w:t>
            </w:r>
          </w:p>
        </w:tc>
        <w:tc>
          <w:tcPr>
            <w:tcW w:type="dxa" w:w="3120"/>
            <w:tcBorders>
              <w:top w:val="single" w:color="D1D9E6" w:sz="1"/>
              <w:left w:val="single" w:color="D1D9E6" w:sz="1"/>
              <w:bottom w:val="single" w:color="D1D9E6" w:sz="1"/>
              <w:right w:val="single" w:color="D1D9E6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  <w:tc>
          <w:tcPr>
            <w:tcW w:type="dxa" w:w="3120"/>
            <w:tcBorders>
              <w:top w:val="single" w:color="D1D9E6" w:sz="1"/>
              <w:left w:val="single" w:color="D1D9E6" w:sz="1"/>
              <w:bottom w:val="single" w:color="D1D9E6" w:sz="1"/>
              <w:right w:val="single" w:color="D1D9E6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Unidad</w:t>
            </w:r>
          </w:p>
        </w:tc>
      </w:tr>
      <w:tr>
        <w:tc>
          <w:tcPr>
            <w:tcW w:type="dxa" w:w="3120"/>
            <w:tcBorders>
              <w:top w:val="single" w:color="D1D9E6" w:sz="1"/>
              <w:left w:val="single" w:color="D1D9E6" w:sz="1"/>
              <w:bottom w:val="single" w:color="D1D9E6" w:sz="1"/>
              <w:right w:val="single" w:color="D1D9E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A5568"/>
                <w:sz w:val="20"/>
                <w:szCs w:val="20"/>
              </w:rPr>
              <w:t xml:space="preserve">Torque por actuador</w:t>
            </w:r>
          </w:p>
        </w:tc>
        <w:tc>
          <w:tcPr>
            <w:tcW w:type="dxa" w:w="3120"/>
            <w:tcBorders>
              <w:top w:val="single" w:color="D1D9E6" w:sz="1"/>
              <w:left w:val="single" w:color="D1D9E6" w:sz="1"/>
              <w:bottom w:val="single" w:color="D1D9E6" w:sz="1"/>
              <w:right w:val="single" w:color="D1D9E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A5568"/>
                <w:sz w:val="20"/>
                <w:szCs w:val="20"/>
              </w:rPr>
              <w:t xml:space="preserve">150</w:t>
            </w:r>
          </w:p>
        </w:tc>
        <w:tc>
          <w:tcPr>
            <w:tcW w:type="dxa" w:w="3120"/>
            <w:tcBorders>
              <w:top w:val="single" w:color="D1D9E6" w:sz="1"/>
              <w:left w:val="single" w:color="D1D9E6" w:sz="1"/>
              <w:bottom w:val="single" w:color="D1D9E6" w:sz="1"/>
              <w:right w:val="single" w:color="D1D9E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A5568"/>
                <w:sz w:val="20"/>
                <w:szCs w:val="20"/>
              </w:rPr>
              <w:t xml:space="preserve">kg·cm @ 12V</w:t>
            </w:r>
          </w:p>
        </w:tc>
      </w:tr>
      <w:tr>
        <w:tc>
          <w:tcPr>
            <w:tcW w:type="dxa" w:w="3120"/>
            <w:tcBorders>
              <w:top w:val="single" w:color="D1D9E6" w:sz="1"/>
              <w:left w:val="single" w:color="D1D9E6" w:sz="1"/>
              <w:bottom w:val="single" w:color="D1D9E6" w:sz="1"/>
              <w:right w:val="single" w:color="D1D9E6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A5568"/>
                <w:sz w:val="20"/>
                <w:szCs w:val="20"/>
              </w:rPr>
              <w:t xml:space="preserve">Canales de control PWM</w:t>
            </w:r>
          </w:p>
        </w:tc>
        <w:tc>
          <w:tcPr>
            <w:tcW w:type="dxa" w:w="3120"/>
            <w:tcBorders>
              <w:top w:val="single" w:color="D1D9E6" w:sz="1"/>
              <w:left w:val="single" w:color="D1D9E6" w:sz="1"/>
              <w:bottom w:val="single" w:color="D1D9E6" w:sz="1"/>
              <w:right w:val="single" w:color="D1D9E6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A5568"/>
                <w:sz w:val="20"/>
                <w:szCs w:val="20"/>
              </w:rPr>
              <w:t xml:space="preserve">16</w:t>
            </w:r>
          </w:p>
        </w:tc>
        <w:tc>
          <w:tcPr>
            <w:tcW w:type="dxa" w:w="3120"/>
            <w:tcBorders>
              <w:top w:val="single" w:color="D1D9E6" w:sz="1"/>
              <w:left w:val="single" w:color="D1D9E6" w:sz="1"/>
              <w:bottom w:val="single" w:color="D1D9E6" w:sz="1"/>
              <w:right w:val="single" w:color="D1D9E6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A5568"/>
                <w:sz w:val="20"/>
                <w:szCs w:val="20"/>
              </w:rPr>
              <w:t xml:space="preserve">canales (PCA9685)</w:t>
            </w:r>
          </w:p>
        </w:tc>
      </w:tr>
      <w:tr>
        <w:tc>
          <w:tcPr>
            <w:tcW w:type="dxa" w:w="3120"/>
            <w:tcBorders>
              <w:top w:val="single" w:color="D1D9E6" w:sz="1"/>
              <w:left w:val="single" w:color="D1D9E6" w:sz="1"/>
              <w:bottom w:val="single" w:color="D1D9E6" w:sz="1"/>
              <w:right w:val="single" w:color="D1D9E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A5568"/>
                <w:sz w:val="20"/>
                <w:szCs w:val="20"/>
              </w:rPr>
              <w:t xml:space="preserve">Frecuencia de muestreo</w:t>
            </w:r>
          </w:p>
        </w:tc>
        <w:tc>
          <w:tcPr>
            <w:tcW w:type="dxa" w:w="3120"/>
            <w:tcBorders>
              <w:top w:val="single" w:color="D1D9E6" w:sz="1"/>
              <w:left w:val="single" w:color="D1D9E6" w:sz="1"/>
              <w:bottom w:val="single" w:color="D1D9E6" w:sz="1"/>
              <w:right w:val="single" w:color="D1D9E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A5568"/>
                <w:sz w:val="20"/>
                <w:szCs w:val="20"/>
              </w:rPr>
              <w:t xml:space="preserve">100</w:t>
            </w:r>
          </w:p>
        </w:tc>
        <w:tc>
          <w:tcPr>
            <w:tcW w:type="dxa" w:w="3120"/>
            <w:tcBorders>
              <w:top w:val="single" w:color="D1D9E6" w:sz="1"/>
              <w:left w:val="single" w:color="D1D9E6" w:sz="1"/>
              <w:bottom w:val="single" w:color="D1D9E6" w:sz="1"/>
              <w:right w:val="single" w:color="D1D9E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A5568"/>
                <w:sz w:val="20"/>
                <w:szCs w:val="20"/>
              </w:rPr>
              <w:t xml:space="preserve">Hz</w:t>
            </w:r>
          </w:p>
        </w:tc>
      </w:tr>
      <w:tr>
        <w:tc>
          <w:tcPr>
            <w:tcW w:type="dxa" w:w="3120"/>
            <w:tcBorders>
              <w:top w:val="single" w:color="D1D9E6" w:sz="1"/>
              <w:left w:val="single" w:color="D1D9E6" w:sz="1"/>
              <w:bottom w:val="single" w:color="D1D9E6" w:sz="1"/>
              <w:right w:val="single" w:color="D1D9E6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A5568"/>
                <w:sz w:val="20"/>
                <w:szCs w:val="20"/>
              </w:rPr>
              <w:t xml:space="preserve">Latencia del sistema</w:t>
            </w:r>
          </w:p>
        </w:tc>
        <w:tc>
          <w:tcPr>
            <w:tcW w:type="dxa" w:w="3120"/>
            <w:tcBorders>
              <w:top w:val="single" w:color="D1D9E6" w:sz="1"/>
              <w:left w:val="single" w:color="D1D9E6" w:sz="1"/>
              <w:bottom w:val="single" w:color="D1D9E6" w:sz="1"/>
              <w:right w:val="single" w:color="D1D9E6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A5568"/>
                <w:sz w:val="20"/>
                <w:szCs w:val="20"/>
              </w:rPr>
              <w:t xml:space="preserve">&lt; 100</w:t>
            </w:r>
          </w:p>
        </w:tc>
        <w:tc>
          <w:tcPr>
            <w:tcW w:type="dxa" w:w="3120"/>
            <w:tcBorders>
              <w:top w:val="single" w:color="D1D9E6" w:sz="1"/>
              <w:left w:val="single" w:color="D1D9E6" w:sz="1"/>
              <w:bottom w:val="single" w:color="D1D9E6" w:sz="1"/>
              <w:right w:val="single" w:color="D1D9E6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A5568"/>
                <w:sz w:val="20"/>
                <w:szCs w:val="20"/>
              </w:rPr>
              <w:t xml:space="preserve">ms</w:t>
            </w:r>
          </w:p>
        </w:tc>
      </w:tr>
      <w:tr>
        <w:tc>
          <w:tcPr>
            <w:tcW w:type="dxa" w:w="3120"/>
            <w:tcBorders>
              <w:top w:val="single" w:color="D1D9E6" w:sz="1"/>
              <w:left w:val="single" w:color="D1D9E6" w:sz="1"/>
              <w:bottom w:val="single" w:color="D1D9E6" w:sz="1"/>
              <w:right w:val="single" w:color="D1D9E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A5568"/>
                <w:sz w:val="20"/>
                <w:szCs w:val="20"/>
              </w:rPr>
              <w:t xml:space="preserve">Error angular máximo</w:t>
            </w:r>
          </w:p>
        </w:tc>
        <w:tc>
          <w:tcPr>
            <w:tcW w:type="dxa" w:w="3120"/>
            <w:tcBorders>
              <w:top w:val="single" w:color="D1D9E6" w:sz="1"/>
              <w:left w:val="single" w:color="D1D9E6" w:sz="1"/>
              <w:bottom w:val="single" w:color="D1D9E6" w:sz="1"/>
              <w:right w:val="single" w:color="D1D9E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A5568"/>
                <w:sz w:val="20"/>
                <w:szCs w:val="20"/>
              </w:rPr>
              <w:t xml:space="preserve">&lt; 5</w:t>
            </w:r>
          </w:p>
        </w:tc>
        <w:tc>
          <w:tcPr>
            <w:tcW w:type="dxa" w:w="3120"/>
            <w:tcBorders>
              <w:top w:val="single" w:color="D1D9E6" w:sz="1"/>
              <w:left w:val="single" w:color="D1D9E6" w:sz="1"/>
              <w:bottom w:val="single" w:color="D1D9E6" w:sz="1"/>
              <w:right w:val="single" w:color="D1D9E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A5568"/>
                <w:sz w:val="20"/>
                <w:szCs w:val="20"/>
              </w:rPr>
              <w:t xml:space="preserve">grados</w:t>
            </w:r>
          </w:p>
        </w:tc>
      </w:tr>
      <w:tr>
        <w:tc>
          <w:tcPr>
            <w:tcW w:type="dxa" w:w="3120"/>
            <w:tcBorders>
              <w:top w:val="single" w:color="D1D9E6" w:sz="1"/>
              <w:left w:val="single" w:color="D1D9E6" w:sz="1"/>
              <w:bottom w:val="single" w:color="D1D9E6" w:sz="1"/>
              <w:right w:val="single" w:color="D1D9E6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A5568"/>
                <w:sz w:val="20"/>
                <w:szCs w:val="20"/>
              </w:rPr>
              <w:t xml:space="preserve">Conectividad</w:t>
            </w:r>
          </w:p>
        </w:tc>
        <w:tc>
          <w:tcPr>
            <w:tcW w:type="dxa" w:w="3120"/>
            <w:tcBorders>
              <w:top w:val="single" w:color="D1D9E6" w:sz="1"/>
              <w:left w:val="single" w:color="D1D9E6" w:sz="1"/>
              <w:bottom w:val="single" w:color="D1D9E6" w:sz="1"/>
              <w:right w:val="single" w:color="D1D9E6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A5568"/>
                <w:sz w:val="20"/>
                <w:szCs w:val="20"/>
              </w:rPr>
              <w:t xml:space="preserve">Wi-Fi + BT 5.0</w:t>
            </w:r>
          </w:p>
        </w:tc>
        <w:tc>
          <w:tcPr>
            <w:tcW w:type="dxa" w:w="3120"/>
            <w:tcBorders>
              <w:top w:val="single" w:color="D1D9E6" w:sz="1"/>
              <w:left w:val="single" w:color="D1D9E6" w:sz="1"/>
              <w:bottom w:val="single" w:color="D1D9E6" w:sz="1"/>
              <w:right w:val="single" w:color="D1D9E6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A5568"/>
                <w:sz w:val="20"/>
                <w:szCs w:val="20"/>
              </w:rPr>
              <w:t xml:space="preserve">(ESP32-S3)</w:t>
            </w:r>
          </w:p>
        </w:tc>
      </w:tr>
      <w:tr>
        <w:tc>
          <w:tcPr>
            <w:tcW w:type="dxa" w:w="3120"/>
            <w:tcBorders>
              <w:top w:val="single" w:color="D1D9E6" w:sz="1"/>
              <w:left w:val="single" w:color="D1D9E6" w:sz="1"/>
              <w:bottom w:val="single" w:color="D1D9E6" w:sz="1"/>
              <w:right w:val="single" w:color="D1D9E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A5568"/>
                <w:sz w:val="20"/>
                <w:szCs w:val="20"/>
              </w:rPr>
              <w:t xml:space="preserve">Alimentación</w:t>
            </w:r>
          </w:p>
        </w:tc>
        <w:tc>
          <w:tcPr>
            <w:tcW w:type="dxa" w:w="3120"/>
            <w:tcBorders>
              <w:top w:val="single" w:color="D1D9E6" w:sz="1"/>
              <w:left w:val="single" w:color="D1D9E6" w:sz="1"/>
              <w:bottom w:val="single" w:color="D1D9E6" w:sz="1"/>
              <w:right w:val="single" w:color="D1D9E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A5568"/>
                <w:sz w:val="20"/>
                <w:szCs w:val="20"/>
              </w:rPr>
              <w:t xml:space="preserve">12</w:t>
            </w:r>
          </w:p>
        </w:tc>
        <w:tc>
          <w:tcPr>
            <w:tcW w:type="dxa" w:w="3120"/>
            <w:tcBorders>
              <w:top w:val="single" w:color="D1D9E6" w:sz="1"/>
              <w:left w:val="single" w:color="D1D9E6" w:sz="1"/>
              <w:bottom w:val="single" w:color="D1D9E6" w:sz="1"/>
              <w:right w:val="single" w:color="D1D9E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A5568"/>
                <w:sz w:val="20"/>
                <w:szCs w:val="20"/>
              </w:rPr>
              <w:t xml:space="preserve">V DC</w:t>
            </w:r>
          </w:p>
        </w:tc>
      </w:tr>
      <w:tr>
        <w:tc>
          <w:tcPr>
            <w:tcW w:type="dxa" w:w="3120"/>
            <w:tcBorders>
              <w:top w:val="single" w:color="D1D9E6" w:sz="1"/>
              <w:left w:val="single" w:color="D1D9E6" w:sz="1"/>
              <w:bottom w:val="single" w:color="D1D9E6" w:sz="1"/>
              <w:right w:val="single" w:color="D1D9E6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A5568"/>
                <w:sz w:val="20"/>
                <w:szCs w:val="20"/>
              </w:rPr>
              <w:t xml:space="preserve">Estructura</w:t>
            </w:r>
          </w:p>
        </w:tc>
        <w:tc>
          <w:tcPr>
            <w:tcW w:type="dxa" w:w="3120"/>
            <w:tcBorders>
              <w:top w:val="single" w:color="D1D9E6" w:sz="1"/>
              <w:left w:val="single" w:color="D1D9E6" w:sz="1"/>
              <w:bottom w:val="single" w:color="D1D9E6" w:sz="1"/>
              <w:right w:val="single" w:color="D1D9E6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A5568"/>
                <w:sz w:val="20"/>
                <w:szCs w:val="20"/>
              </w:rPr>
              <w:t xml:space="preserve">PLA/PETG</w:t>
            </w:r>
          </w:p>
        </w:tc>
        <w:tc>
          <w:tcPr>
            <w:tcW w:type="dxa" w:w="3120"/>
            <w:tcBorders>
              <w:top w:val="single" w:color="D1D9E6" w:sz="1"/>
              <w:left w:val="single" w:color="D1D9E6" w:sz="1"/>
              <w:bottom w:val="single" w:color="D1D9E6" w:sz="1"/>
              <w:right w:val="single" w:color="D1D9E6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A5568"/>
                <w:sz w:val="20"/>
                <w:szCs w:val="20"/>
              </w:rPr>
              <w:t xml:space="preserve">Impresión 3D</w:t>
            </w:r>
          </w:p>
        </w:tc>
      </w:tr>
    </w:tbl>
    <w:p>
      <w:pPr>
        <w:spacing w:after="240" w:before="0"/>
      </w:pPr>
      <w:r>
        <w:t xml:space="preserve"/>
      </w:r>
    </w:p>
    <w:p>
      <w:pPr>
        <w:pStyle w:val="Heading1"/>
        <w:pBdr>
          <w:bottom w:val="single" w:color="00B4D8" w:sz="8" w:space="4"/>
        </w:pBdr>
        <w:spacing w:after="160" w:before="320"/>
      </w:pPr>
      <w:r>
        <w:rPr>
          <w:rFonts w:ascii="Arial" w:cs="Arial" w:eastAsia="Arial" w:hAnsi="Arial"/>
          <w:b/>
          <w:bCs/>
          <w:color w:val="1B2A4A"/>
          <w:sz w:val="30"/>
          <w:szCs w:val="30"/>
        </w:rPr>
        <w:t xml:space="preserve">4. Aplicación V.E.S.T.A. Monitor</w:t>
      </w:r>
    </w:p>
    <w:p>
      <w:pPr>
        <w:spacing w:after="160" w:before="40"/>
        <w:jc w:val="both"/>
      </w:pPr>
      <w:r>
        <w:rPr>
          <w:rFonts w:ascii="Arial" w:cs="Arial" w:eastAsia="Arial" w:hAnsi="Arial"/>
          <w:b w:val="false"/>
          <w:bCs w:val="false"/>
          <w:color w:val="4A5568"/>
          <w:sz w:val="22"/>
          <w:szCs w:val="22"/>
        </w:rPr>
        <w:t xml:space="preserve">La aplicación V.E.S.T.A. Monitor está disponible para Android y Windows, y convierte cualquier dispositivo en un centro de control y análisis del exoesqueleto: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color w:val="4A5568"/>
          <w:sz w:val="22"/>
          <w:szCs w:val="22"/>
        </w:rPr>
        <w:t xml:space="preserve">Dashboard en tiempo real: latencia, precisión angular, temperatura de actuadores y nivel de batería.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color w:val="4A5568"/>
          <w:sz w:val="22"/>
          <w:szCs w:val="22"/>
        </w:rPr>
        <w:t xml:space="preserve">Calibración remota: ajuste de sensibilidad por articulación y configuración de rangos de movimiento seguros.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color w:val="4A5568"/>
          <w:sz w:val="22"/>
          <w:szCs w:val="22"/>
        </w:rPr>
        <w:t xml:space="preserve">Módulo de IA: registro y aprendizaje de patrones de movimiento individuales para sincronización adaptativa.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color w:val="4A5568"/>
          <w:sz w:val="22"/>
          <w:szCs w:val="22"/>
        </w:rPr>
        <w:t xml:space="preserve">Análisis de sesiones: histórico exportable con métricas de esfuerzo, precisión y rendimiento.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color w:val="4A5568"/>
          <w:sz w:val="22"/>
          <w:szCs w:val="22"/>
        </w:rPr>
        <w:t xml:space="preserve">Tres modos de operación: Asistivo (replica movimiento), Pasivo (solo monitoreo) y Rehabilitación (rutinas guiadas).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color w:val="4A5568"/>
          <w:sz w:val="22"/>
          <w:szCs w:val="22"/>
        </w:rPr>
        <w:t xml:space="preserve">Sincronización en la nube: backup automático de configuraciones y acceso multi-dispositivo.</w:t>
      </w:r>
    </w:p>
    <w:p>
      <w:pPr>
        <w:spacing w:after="240" w:before="0"/>
      </w:pPr>
      <w:r>
        <w:t xml:space="preserve"/>
      </w:r>
    </w:p>
    <w:p>
      <w:pPr>
        <w:pStyle w:val="Heading1"/>
        <w:pBdr>
          <w:bottom w:val="single" w:color="00B4D8" w:sz="8" w:space="4"/>
        </w:pBdr>
        <w:spacing w:after="160" w:before="320"/>
      </w:pPr>
      <w:r>
        <w:rPr>
          <w:rFonts w:ascii="Arial" w:cs="Arial" w:eastAsia="Arial" w:hAnsi="Arial"/>
          <w:b/>
          <w:bCs/>
          <w:color w:val="1B2A4A"/>
          <w:sz w:val="30"/>
          <w:szCs w:val="30"/>
        </w:rPr>
        <w:t xml:space="preserve">5. Misión y Visión</w:t>
      </w:r>
    </w:p>
    <w:p>
      <w:pPr>
        <w:pStyle w:val="Heading2"/>
        <w:spacing w:after="160" w:before="200"/>
      </w:pPr>
      <w:r>
        <w:rPr>
          <w:rFonts w:ascii="Arial" w:cs="Arial" w:eastAsia="Arial" w:hAnsi="Arial"/>
          <w:b/>
          <w:bCs/>
          <w:color w:val="1B2A4A"/>
          <w:sz w:val="26"/>
          <w:szCs w:val="26"/>
        </w:rPr>
        <w:t xml:space="preserve">Misión</w:t>
      </w:r>
    </w:p>
    <w:p>
      <w:pPr>
        <w:spacing w:after="160" w:before="40"/>
        <w:jc w:val="both"/>
      </w:pPr>
      <w:r>
        <w:rPr>
          <w:rFonts w:ascii="Arial" w:cs="Arial" w:eastAsia="Arial" w:hAnsi="Arial"/>
          <w:b w:val="false"/>
          <w:bCs w:val="false"/>
          <w:color w:val="4A5568"/>
          <w:sz w:val="22"/>
          <w:szCs w:val="22"/>
        </w:rPr>
        <w:t xml:space="preserve">Desarrollar y comercializar tecnología exoesquelética funcional, accesible y sostenible que asista el movimiento humano, reduzca lesiones musculoesqueléticas y mejore la calidad de vida de trabajadores, pacientes y usuarios en el mundo hispanohablante. V.E.S.T.A. democratiza una tecnología que antes era exclusiva de grandes laboratorios.</w:t>
      </w:r>
    </w:p>
    <w:p>
      <w:pPr>
        <w:pStyle w:val="Heading2"/>
        <w:spacing w:after="160" w:before="200"/>
      </w:pPr>
      <w:r>
        <w:rPr>
          <w:rFonts w:ascii="Arial" w:cs="Arial" w:eastAsia="Arial" w:hAnsi="Arial"/>
          <w:b/>
          <w:bCs/>
          <w:color w:val="1B2A4A"/>
          <w:sz w:val="26"/>
          <w:szCs w:val="26"/>
        </w:rPr>
        <w:t xml:space="preserve">Visión</w:t>
      </w:r>
    </w:p>
    <w:p>
      <w:pPr>
        <w:spacing w:after="160" w:before="40"/>
        <w:jc w:val="both"/>
      </w:pPr>
      <w:r>
        <w:rPr>
          <w:rFonts w:ascii="Arial" w:cs="Arial" w:eastAsia="Arial" w:hAnsi="Arial"/>
          <w:b w:val="false"/>
          <w:bCs w:val="false"/>
          <w:color w:val="4A5568"/>
          <w:sz w:val="22"/>
          <w:szCs w:val="22"/>
        </w:rPr>
        <w:t xml:space="preserve">Ser, en un horizonte de cinco años, la plataforma líder de exoesqueletos robóticos accesibles en Latinoamérica, adoptada en centros de rehabilitación, industria manufacturera y comunidades educativas de México y la región, contribuyendo a la prevención de discapacidades laborales y a la innovación tecnológica nacional.</w:t>
      </w:r>
    </w:p>
    <w:p>
      <w:pPr>
        <w:spacing w:after="240" w:before="0"/>
      </w:pPr>
      <w:r>
        <w:t xml:space="preserve"/>
      </w:r>
    </w:p>
    <w:p>
      <w:pPr>
        <w:pStyle w:val="Heading1"/>
        <w:pBdr>
          <w:bottom w:val="single" w:color="00B4D8" w:sz="8" w:space="4"/>
        </w:pBdr>
        <w:spacing w:after="160" w:before="320"/>
      </w:pPr>
      <w:r>
        <w:rPr>
          <w:rFonts w:ascii="Arial" w:cs="Arial" w:eastAsia="Arial" w:hAnsi="Arial"/>
          <w:b/>
          <w:bCs/>
          <w:color w:val="1B2A4A"/>
          <w:sz w:val="30"/>
          <w:szCs w:val="30"/>
        </w:rPr>
        <w:t xml:space="preserve">6. Análisis Comparativo de Mercado</w:t>
      </w:r>
    </w:p>
    <w:p>
      <w:pPr>
        <w:spacing w:after="160" w:before="40"/>
        <w:jc w:val="both"/>
      </w:pPr>
      <w:r>
        <w:rPr>
          <w:rFonts w:ascii="Arial" w:cs="Arial" w:eastAsia="Arial" w:hAnsi="Arial"/>
          <w:b w:val="false"/>
          <w:bCs w:val="false"/>
          <w:color w:val="4A5568"/>
          <w:sz w:val="22"/>
          <w:szCs w:val="22"/>
        </w:rPr>
        <w:t xml:space="preserve">V.E.S.T.A. se posiciona de forma única en el mercado, combinando capacidades de nivel industrial con accesibilidad económica sin precedentes:</w:t>
      </w:r>
    </w:p>
    <w:p>
      <w:pPr>
        <w:spacing w:after="12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D1D9E6" w:sz="1"/>
              <w:left w:val="single" w:color="D1D9E6" w:sz="1"/>
              <w:bottom w:val="single" w:color="D1D9E6" w:sz="1"/>
              <w:right w:val="single" w:color="D1D9E6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Solución</w:t>
            </w:r>
          </w:p>
        </w:tc>
        <w:tc>
          <w:tcPr>
            <w:tcW w:type="dxa" w:w="1560"/>
            <w:tcBorders>
              <w:top w:val="single" w:color="D1D9E6" w:sz="1"/>
              <w:left w:val="single" w:color="D1D9E6" w:sz="1"/>
              <w:bottom w:val="single" w:color="D1D9E6" w:sz="1"/>
              <w:right w:val="single" w:color="D1D9E6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Costo (USD)</w:t>
            </w:r>
          </w:p>
        </w:tc>
        <w:tc>
          <w:tcPr>
            <w:tcW w:type="dxa" w:w="1560"/>
            <w:tcBorders>
              <w:top w:val="single" w:color="D1D9E6" w:sz="1"/>
              <w:left w:val="single" w:color="D1D9E6" w:sz="1"/>
              <w:bottom w:val="single" w:color="D1D9E6" w:sz="1"/>
              <w:right w:val="single" w:color="D1D9E6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IA</w:t>
            </w:r>
          </w:p>
        </w:tc>
        <w:tc>
          <w:tcPr>
            <w:tcW w:type="dxa" w:w="1560"/>
            <w:tcBorders>
              <w:top w:val="single" w:color="D1D9E6" w:sz="1"/>
              <w:left w:val="single" w:color="D1D9E6" w:sz="1"/>
              <w:bottom w:val="single" w:color="D1D9E6" w:sz="1"/>
              <w:right w:val="single" w:color="D1D9E6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App Móvil</w:t>
            </w:r>
          </w:p>
        </w:tc>
        <w:tc>
          <w:tcPr>
            <w:tcW w:type="dxa" w:w="1560"/>
            <w:tcBorders>
              <w:top w:val="single" w:color="D1D9E6" w:sz="1"/>
              <w:left w:val="single" w:color="D1D9E6" w:sz="1"/>
              <w:bottom w:val="single" w:color="D1D9E6" w:sz="1"/>
              <w:right w:val="single" w:color="D1D9E6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Código Abierto</w:t>
            </w:r>
          </w:p>
        </w:tc>
        <w:tc>
          <w:tcPr>
            <w:tcW w:type="dxa" w:w="1560"/>
            <w:tcBorders>
              <w:top w:val="single" w:color="D1D9E6" w:sz="1"/>
              <w:left w:val="single" w:color="D1D9E6" w:sz="1"/>
              <w:bottom w:val="single" w:color="D1D9E6" w:sz="1"/>
              <w:right w:val="single" w:color="D1D9E6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Modular</w:t>
            </w:r>
          </w:p>
        </w:tc>
      </w:tr>
      <w:tr>
        <w:tc>
          <w:tcPr>
            <w:tcW w:type="dxa" w:w="1560"/>
            <w:tcBorders>
              <w:top w:val="single" w:color="D1D9E6" w:sz="1"/>
              <w:left w:val="single" w:color="D1D9E6" w:sz="1"/>
              <w:bottom w:val="single" w:color="D1D9E6" w:sz="1"/>
              <w:right w:val="single" w:color="D1D9E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A5568"/>
                <w:sz w:val="20"/>
                <w:szCs w:val="20"/>
              </w:rPr>
              <w:t xml:space="preserve">V.E.S.T.A.</w:t>
            </w:r>
          </w:p>
        </w:tc>
        <w:tc>
          <w:tcPr>
            <w:tcW w:type="dxa" w:w="1560"/>
            <w:tcBorders>
              <w:top w:val="single" w:color="D1D9E6" w:sz="1"/>
              <w:left w:val="single" w:color="D1D9E6" w:sz="1"/>
              <w:bottom w:val="single" w:color="D1D9E6" w:sz="1"/>
              <w:right w:val="single" w:color="D1D9E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A5568"/>
                <w:sz w:val="20"/>
                <w:szCs w:val="20"/>
              </w:rPr>
              <w:t xml:space="preserve">~$200</w:t>
            </w:r>
          </w:p>
        </w:tc>
        <w:tc>
          <w:tcPr>
            <w:tcW w:type="dxa" w:w="1560"/>
            <w:tcBorders>
              <w:top w:val="single" w:color="D1D9E6" w:sz="1"/>
              <w:left w:val="single" w:color="D1D9E6" w:sz="1"/>
              <w:bottom w:val="single" w:color="D1D9E6" w:sz="1"/>
              <w:right w:val="single" w:color="D1D9E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A5568"/>
                <w:sz w:val="20"/>
                <w:szCs w:val="20"/>
              </w:rPr>
              <w:t xml:space="preserve">✓</w:t>
            </w:r>
          </w:p>
        </w:tc>
        <w:tc>
          <w:tcPr>
            <w:tcW w:type="dxa" w:w="1560"/>
            <w:tcBorders>
              <w:top w:val="single" w:color="D1D9E6" w:sz="1"/>
              <w:left w:val="single" w:color="D1D9E6" w:sz="1"/>
              <w:bottom w:val="single" w:color="D1D9E6" w:sz="1"/>
              <w:right w:val="single" w:color="D1D9E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A5568"/>
                <w:sz w:val="20"/>
                <w:szCs w:val="20"/>
              </w:rPr>
              <w:t xml:space="preserve">✓</w:t>
            </w:r>
          </w:p>
        </w:tc>
        <w:tc>
          <w:tcPr>
            <w:tcW w:type="dxa" w:w="1560"/>
            <w:tcBorders>
              <w:top w:val="single" w:color="D1D9E6" w:sz="1"/>
              <w:left w:val="single" w:color="D1D9E6" w:sz="1"/>
              <w:bottom w:val="single" w:color="D1D9E6" w:sz="1"/>
              <w:right w:val="single" w:color="D1D9E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A5568"/>
                <w:sz w:val="20"/>
                <w:szCs w:val="20"/>
              </w:rPr>
              <w:t xml:space="preserve">✓</w:t>
            </w:r>
          </w:p>
        </w:tc>
        <w:tc>
          <w:tcPr>
            <w:tcW w:type="dxa" w:w="1560"/>
            <w:tcBorders>
              <w:top w:val="single" w:color="D1D9E6" w:sz="1"/>
              <w:left w:val="single" w:color="D1D9E6" w:sz="1"/>
              <w:bottom w:val="single" w:color="D1D9E6" w:sz="1"/>
              <w:right w:val="single" w:color="D1D9E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A5568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1560"/>
            <w:tcBorders>
              <w:top w:val="single" w:color="D1D9E6" w:sz="1"/>
              <w:left w:val="single" w:color="D1D9E6" w:sz="1"/>
              <w:bottom w:val="single" w:color="D1D9E6" w:sz="1"/>
              <w:right w:val="single" w:color="D1D9E6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A5568"/>
                <w:sz w:val="20"/>
                <w:szCs w:val="20"/>
              </w:rPr>
              <w:t xml:space="preserve">ReWalk</w:t>
            </w:r>
          </w:p>
        </w:tc>
        <w:tc>
          <w:tcPr>
            <w:tcW w:type="dxa" w:w="1560"/>
            <w:tcBorders>
              <w:top w:val="single" w:color="D1D9E6" w:sz="1"/>
              <w:left w:val="single" w:color="D1D9E6" w:sz="1"/>
              <w:bottom w:val="single" w:color="D1D9E6" w:sz="1"/>
              <w:right w:val="single" w:color="D1D9E6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A5568"/>
                <w:sz w:val="20"/>
                <w:szCs w:val="20"/>
              </w:rPr>
              <w:t xml:space="preserve">$70,000+</w:t>
            </w:r>
          </w:p>
        </w:tc>
        <w:tc>
          <w:tcPr>
            <w:tcW w:type="dxa" w:w="1560"/>
            <w:tcBorders>
              <w:top w:val="single" w:color="D1D9E6" w:sz="1"/>
              <w:left w:val="single" w:color="D1D9E6" w:sz="1"/>
              <w:bottom w:val="single" w:color="D1D9E6" w:sz="1"/>
              <w:right w:val="single" w:color="D1D9E6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A5568"/>
                <w:sz w:val="20"/>
                <w:szCs w:val="20"/>
              </w:rPr>
              <w:t xml:space="preserve">Parcial</w:t>
            </w:r>
          </w:p>
        </w:tc>
        <w:tc>
          <w:tcPr>
            <w:tcW w:type="dxa" w:w="1560"/>
            <w:tcBorders>
              <w:top w:val="single" w:color="D1D9E6" w:sz="1"/>
              <w:left w:val="single" w:color="D1D9E6" w:sz="1"/>
              <w:bottom w:val="single" w:color="D1D9E6" w:sz="1"/>
              <w:right w:val="single" w:color="D1D9E6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A5568"/>
                <w:sz w:val="20"/>
                <w:szCs w:val="20"/>
              </w:rPr>
              <w:t xml:space="preserve">✓</w:t>
            </w:r>
          </w:p>
        </w:tc>
        <w:tc>
          <w:tcPr>
            <w:tcW w:type="dxa" w:w="1560"/>
            <w:tcBorders>
              <w:top w:val="single" w:color="D1D9E6" w:sz="1"/>
              <w:left w:val="single" w:color="D1D9E6" w:sz="1"/>
              <w:bottom w:val="single" w:color="D1D9E6" w:sz="1"/>
              <w:right w:val="single" w:color="D1D9E6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A5568"/>
                <w:sz w:val="20"/>
                <w:szCs w:val="20"/>
              </w:rPr>
              <w:t xml:space="preserve">✗</w:t>
            </w:r>
          </w:p>
        </w:tc>
        <w:tc>
          <w:tcPr>
            <w:tcW w:type="dxa" w:w="1560"/>
            <w:tcBorders>
              <w:top w:val="single" w:color="D1D9E6" w:sz="1"/>
              <w:left w:val="single" w:color="D1D9E6" w:sz="1"/>
              <w:bottom w:val="single" w:color="D1D9E6" w:sz="1"/>
              <w:right w:val="single" w:color="D1D9E6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A5568"/>
                <w:sz w:val="20"/>
                <w:szCs w:val="20"/>
              </w:rPr>
              <w:t xml:space="preserve">✗</w:t>
            </w:r>
          </w:p>
        </w:tc>
      </w:tr>
      <w:tr>
        <w:tc>
          <w:tcPr>
            <w:tcW w:type="dxa" w:w="1560"/>
            <w:tcBorders>
              <w:top w:val="single" w:color="D1D9E6" w:sz="1"/>
              <w:left w:val="single" w:color="D1D9E6" w:sz="1"/>
              <w:bottom w:val="single" w:color="D1D9E6" w:sz="1"/>
              <w:right w:val="single" w:color="D1D9E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A5568"/>
                <w:sz w:val="20"/>
                <w:szCs w:val="20"/>
              </w:rPr>
              <w:t xml:space="preserve">HAL (Cyberdyne)</w:t>
            </w:r>
          </w:p>
        </w:tc>
        <w:tc>
          <w:tcPr>
            <w:tcW w:type="dxa" w:w="1560"/>
            <w:tcBorders>
              <w:top w:val="single" w:color="D1D9E6" w:sz="1"/>
              <w:left w:val="single" w:color="D1D9E6" w:sz="1"/>
              <w:bottom w:val="single" w:color="D1D9E6" w:sz="1"/>
              <w:right w:val="single" w:color="D1D9E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A5568"/>
                <w:sz w:val="20"/>
                <w:szCs w:val="20"/>
              </w:rPr>
              <w:t xml:space="preserve">$50,000+</w:t>
            </w:r>
          </w:p>
        </w:tc>
        <w:tc>
          <w:tcPr>
            <w:tcW w:type="dxa" w:w="1560"/>
            <w:tcBorders>
              <w:top w:val="single" w:color="D1D9E6" w:sz="1"/>
              <w:left w:val="single" w:color="D1D9E6" w:sz="1"/>
              <w:bottom w:val="single" w:color="D1D9E6" w:sz="1"/>
              <w:right w:val="single" w:color="D1D9E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A5568"/>
                <w:sz w:val="20"/>
                <w:szCs w:val="20"/>
              </w:rPr>
              <w:t xml:space="preserve">✓</w:t>
            </w:r>
          </w:p>
        </w:tc>
        <w:tc>
          <w:tcPr>
            <w:tcW w:type="dxa" w:w="1560"/>
            <w:tcBorders>
              <w:top w:val="single" w:color="D1D9E6" w:sz="1"/>
              <w:left w:val="single" w:color="D1D9E6" w:sz="1"/>
              <w:bottom w:val="single" w:color="D1D9E6" w:sz="1"/>
              <w:right w:val="single" w:color="D1D9E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A5568"/>
                <w:sz w:val="20"/>
                <w:szCs w:val="20"/>
              </w:rPr>
              <w:t xml:space="preserve">Parcial</w:t>
            </w:r>
          </w:p>
        </w:tc>
        <w:tc>
          <w:tcPr>
            <w:tcW w:type="dxa" w:w="1560"/>
            <w:tcBorders>
              <w:top w:val="single" w:color="D1D9E6" w:sz="1"/>
              <w:left w:val="single" w:color="D1D9E6" w:sz="1"/>
              <w:bottom w:val="single" w:color="D1D9E6" w:sz="1"/>
              <w:right w:val="single" w:color="D1D9E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A5568"/>
                <w:sz w:val="20"/>
                <w:szCs w:val="20"/>
              </w:rPr>
              <w:t xml:space="preserve">✗</w:t>
            </w:r>
          </w:p>
        </w:tc>
        <w:tc>
          <w:tcPr>
            <w:tcW w:type="dxa" w:w="1560"/>
            <w:tcBorders>
              <w:top w:val="single" w:color="D1D9E6" w:sz="1"/>
              <w:left w:val="single" w:color="D1D9E6" w:sz="1"/>
              <w:bottom w:val="single" w:color="D1D9E6" w:sz="1"/>
              <w:right w:val="single" w:color="D1D9E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A5568"/>
                <w:sz w:val="20"/>
                <w:szCs w:val="20"/>
              </w:rPr>
              <w:t xml:space="preserve">✗</w:t>
            </w:r>
          </w:p>
        </w:tc>
      </w:tr>
      <w:tr>
        <w:tc>
          <w:tcPr>
            <w:tcW w:type="dxa" w:w="1560"/>
            <w:tcBorders>
              <w:top w:val="single" w:color="D1D9E6" w:sz="1"/>
              <w:left w:val="single" w:color="D1D9E6" w:sz="1"/>
              <w:bottom w:val="single" w:color="D1D9E6" w:sz="1"/>
              <w:right w:val="single" w:color="D1D9E6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A5568"/>
                <w:sz w:val="20"/>
                <w:szCs w:val="20"/>
              </w:rPr>
              <w:t xml:space="preserve">Gobio Industrial</w:t>
            </w:r>
          </w:p>
        </w:tc>
        <w:tc>
          <w:tcPr>
            <w:tcW w:type="dxa" w:w="1560"/>
            <w:tcBorders>
              <w:top w:val="single" w:color="D1D9E6" w:sz="1"/>
              <w:left w:val="single" w:color="D1D9E6" w:sz="1"/>
              <w:bottom w:val="single" w:color="D1D9E6" w:sz="1"/>
              <w:right w:val="single" w:color="D1D9E6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A5568"/>
                <w:sz w:val="20"/>
                <w:szCs w:val="20"/>
              </w:rPr>
              <w:t xml:space="preserve">$5,000–15,000</w:t>
            </w:r>
          </w:p>
        </w:tc>
        <w:tc>
          <w:tcPr>
            <w:tcW w:type="dxa" w:w="1560"/>
            <w:tcBorders>
              <w:top w:val="single" w:color="D1D9E6" w:sz="1"/>
              <w:left w:val="single" w:color="D1D9E6" w:sz="1"/>
              <w:bottom w:val="single" w:color="D1D9E6" w:sz="1"/>
              <w:right w:val="single" w:color="D1D9E6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A5568"/>
                <w:sz w:val="20"/>
                <w:szCs w:val="20"/>
              </w:rPr>
              <w:t xml:space="preserve">✗</w:t>
            </w:r>
          </w:p>
        </w:tc>
        <w:tc>
          <w:tcPr>
            <w:tcW w:type="dxa" w:w="1560"/>
            <w:tcBorders>
              <w:top w:val="single" w:color="D1D9E6" w:sz="1"/>
              <w:left w:val="single" w:color="D1D9E6" w:sz="1"/>
              <w:bottom w:val="single" w:color="D1D9E6" w:sz="1"/>
              <w:right w:val="single" w:color="D1D9E6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A5568"/>
                <w:sz w:val="20"/>
                <w:szCs w:val="20"/>
              </w:rPr>
              <w:t xml:space="preserve">✗</w:t>
            </w:r>
          </w:p>
        </w:tc>
        <w:tc>
          <w:tcPr>
            <w:tcW w:type="dxa" w:w="1560"/>
            <w:tcBorders>
              <w:top w:val="single" w:color="D1D9E6" w:sz="1"/>
              <w:left w:val="single" w:color="D1D9E6" w:sz="1"/>
              <w:bottom w:val="single" w:color="D1D9E6" w:sz="1"/>
              <w:right w:val="single" w:color="D1D9E6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A5568"/>
                <w:sz w:val="20"/>
                <w:szCs w:val="20"/>
              </w:rPr>
              <w:t xml:space="preserve">✗</w:t>
            </w:r>
          </w:p>
        </w:tc>
        <w:tc>
          <w:tcPr>
            <w:tcW w:type="dxa" w:w="1560"/>
            <w:tcBorders>
              <w:top w:val="single" w:color="D1D9E6" w:sz="1"/>
              <w:left w:val="single" w:color="D1D9E6" w:sz="1"/>
              <w:bottom w:val="single" w:color="D1D9E6" w:sz="1"/>
              <w:right w:val="single" w:color="D1D9E6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A5568"/>
                <w:sz w:val="20"/>
                <w:szCs w:val="20"/>
              </w:rPr>
              <w:t xml:space="preserve">Parcial</w:t>
            </w:r>
          </w:p>
        </w:tc>
      </w:tr>
      <w:tr>
        <w:tc>
          <w:tcPr>
            <w:tcW w:type="dxa" w:w="1560"/>
            <w:tcBorders>
              <w:top w:val="single" w:color="D1D9E6" w:sz="1"/>
              <w:left w:val="single" w:color="D1D9E6" w:sz="1"/>
              <w:bottom w:val="single" w:color="D1D9E6" w:sz="1"/>
              <w:right w:val="single" w:color="D1D9E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A5568"/>
                <w:sz w:val="20"/>
                <w:szCs w:val="20"/>
              </w:rPr>
              <w:t xml:space="preserve">Proyectos académicos</w:t>
            </w:r>
          </w:p>
        </w:tc>
        <w:tc>
          <w:tcPr>
            <w:tcW w:type="dxa" w:w="1560"/>
            <w:tcBorders>
              <w:top w:val="single" w:color="D1D9E6" w:sz="1"/>
              <w:left w:val="single" w:color="D1D9E6" w:sz="1"/>
              <w:bottom w:val="single" w:color="D1D9E6" w:sz="1"/>
              <w:right w:val="single" w:color="D1D9E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A5568"/>
                <w:sz w:val="20"/>
                <w:szCs w:val="20"/>
              </w:rPr>
              <w:t xml:space="preserve">$500–2,000</w:t>
            </w:r>
          </w:p>
        </w:tc>
        <w:tc>
          <w:tcPr>
            <w:tcW w:type="dxa" w:w="1560"/>
            <w:tcBorders>
              <w:top w:val="single" w:color="D1D9E6" w:sz="1"/>
              <w:left w:val="single" w:color="D1D9E6" w:sz="1"/>
              <w:bottom w:val="single" w:color="D1D9E6" w:sz="1"/>
              <w:right w:val="single" w:color="D1D9E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A5568"/>
                <w:sz w:val="20"/>
                <w:szCs w:val="20"/>
              </w:rPr>
              <w:t xml:space="preserve">✗</w:t>
            </w:r>
          </w:p>
        </w:tc>
        <w:tc>
          <w:tcPr>
            <w:tcW w:type="dxa" w:w="1560"/>
            <w:tcBorders>
              <w:top w:val="single" w:color="D1D9E6" w:sz="1"/>
              <w:left w:val="single" w:color="D1D9E6" w:sz="1"/>
              <w:bottom w:val="single" w:color="D1D9E6" w:sz="1"/>
              <w:right w:val="single" w:color="D1D9E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A5568"/>
                <w:sz w:val="20"/>
                <w:szCs w:val="20"/>
              </w:rPr>
              <w:t xml:space="preserve">✗</w:t>
            </w:r>
          </w:p>
        </w:tc>
        <w:tc>
          <w:tcPr>
            <w:tcW w:type="dxa" w:w="1560"/>
            <w:tcBorders>
              <w:top w:val="single" w:color="D1D9E6" w:sz="1"/>
              <w:left w:val="single" w:color="D1D9E6" w:sz="1"/>
              <w:bottom w:val="single" w:color="D1D9E6" w:sz="1"/>
              <w:right w:val="single" w:color="D1D9E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A5568"/>
                <w:sz w:val="20"/>
                <w:szCs w:val="20"/>
              </w:rPr>
              <w:t xml:space="preserve">Parcial</w:t>
            </w:r>
          </w:p>
        </w:tc>
        <w:tc>
          <w:tcPr>
            <w:tcW w:type="dxa" w:w="1560"/>
            <w:tcBorders>
              <w:top w:val="single" w:color="D1D9E6" w:sz="1"/>
              <w:left w:val="single" w:color="D1D9E6" w:sz="1"/>
              <w:bottom w:val="single" w:color="D1D9E6" w:sz="1"/>
              <w:right w:val="single" w:color="D1D9E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A5568"/>
                <w:sz w:val="20"/>
                <w:szCs w:val="20"/>
              </w:rPr>
              <w:t xml:space="preserve">Parcial</w:t>
            </w:r>
          </w:p>
        </w:tc>
      </w:tr>
    </w:tbl>
    <w:p>
      <w:pPr>
        <w:spacing w:after="240" w:before="0"/>
      </w:pPr>
      <w:r>
        <w:t xml:space="preserve"/>
      </w:r>
    </w:p>
    <w:p>
      <w:pPr>
        <w:pBdr>
          <w:top w:val="single" w:color="00B4D8" w:sz="8" w:space="4"/>
          <w:bottom w:val="single" w:color="00B4D8" w:sz="8" w:space="4"/>
        </w:pBdr>
        <w:spacing w:after="240" w:before="240"/>
        <w:jc w:val="center"/>
      </w:pPr>
      <w:r>
        <w:rPr>
          <w:rFonts w:ascii="Arial" w:cs="Arial" w:eastAsia="Arial" w:hAnsi="Arial"/>
          <w:b/>
          <w:bCs/>
          <w:color w:val="1B2A4A"/>
          <w:sz w:val="26"/>
          <w:szCs w:val="26"/>
        </w:rPr>
        <w:t xml:space="preserve">El futuro del trabajo es asistido — y V.E.S.T.A. lo hace posible.</w:t>
      </w:r>
    </w:p>
    <w:p>
      <w:pPr>
        <w:spacing w:after="160" w:before="40"/>
        <w:jc w:val="center"/>
      </w:pPr>
      <w:r>
        <w:rPr>
          <w:rFonts w:ascii="Arial" w:cs="Arial" w:eastAsia="Arial" w:hAnsi="Arial"/>
          <w:b/>
          <w:bCs/>
          <w:color w:val="4A5568"/>
          <w:sz w:val="22"/>
          <w:szCs w:val="22"/>
        </w:rPr>
        <w:t xml:space="preserve">Para más información, demostraciones o consultas de distribución:</w:t>
      </w:r>
    </w:p>
    <w:p>
      <w:pPr>
        <w:spacing w:after="160" w:before="40"/>
        <w:jc w:val="center"/>
      </w:pPr>
      <w:r>
        <w:rPr>
          <w:rFonts w:ascii="Arial" w:cs="Arial" w:eastAsia="Arial" w:hAnsi="Arial"/>
          <w:b/>
          <w:bCs/>
          <w:color w:val="00B4D8"/>
          <w:sz w:val="22"/>
          <w:szCs w:val="22"/>
        </w:rPr>
        <w:t xml:space="preserve">www.vesta.tech  |  contacto@vesta.tech  |  +52 55 0000-0000</w:t>
      </w:r>
    </w:p>
    <w:p>
      <w:pPr>
        <w:spacing w:after="0" w:before="120"/>
        <w:jc w:val="center"/>
      </w:pPr>
      <w:r>
        <w:rPr>
          <w:rFonts w:ascii="Arial" w:cs="Arial" w:eastAsia="Arial" w:hAnsi="Arial"/>
          <w:color w:val="4A5568"/>
          <w:sz w:val="18"/>
          <w:szCs w:val="18"/>
        </w:rPr>
        <w:t xml:space="preserve">© 2026 V.E.S.T.A. — Instituto Politécnico Nacional, México. Todos los derechos reservados.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B4D8" w:sz="6" w:space="2"/>
      </w:pBdr>
      <w:spacing w:before="80"/>
      <w:jc w:val="center"/>
    </w:pPr>
    <w:r>
      <w:rPr>
        <w:rFonts w:ascii="Arial" w:cs="Arial" w:eastAsia="Arial" w:hAnsi="Arial"/>
        <w:color w:val="4A5568"/>
        <w:sz w:val="18"/>
        <w:szCs w:val="18"/>
      </w:rPr>
      <w:t xml:space="preserve">© 2026 V.E.S.T.A. — Instituto Politécnico Nacional  |  Página </w:t>
    </w:r>
    <w:r>
      <w:rPr>
        <w:rFonts w:ascii="Arial" w:cs="Arial" w:eastAsia="Arial" w:hAnsi="Arial"/>
        <w:color w:val="4A55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A5568"/>
        <w:sz w:val="18"/>
        <w:szCs w:val="18"/>
      </w:rPr>
      <w:t xml:space="preserve"> de </w:t>
    </w:r>
    <w:r>
      <w:rPr>
        <w:rFonts w:ascii="Arial" w:cs="Arial" w:eastAsia="Arial" w:hAnsi="Arial"/>
        <w:color w:val="4A556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B4D8" w:sz="6" w:space="2"/>
      </w:pBdr>
      <w:spacing w:after="0"/>
      <w:jc w:val="right"/>
    </w:pPr>
    <w:r>
      <w:rPr>
        <w:rFonts w:ascii="Arial" w:cs="Arial" w:eastAsia="Arial" w:hAnsi="Arial"/>
        <w:b/>
        <w:bCs/>
        <w:color w:val="1B2A4A"/>
        <w:sz w:val="18"/>
        <w:szCs w:val="18"/>
      </w:rPr>
      <w:t xml:space="preserve">V.E.S.T.A.  —  Exoesqueleto Inteligente</w:t>
    </w:r>
    <w:r>
      <w:rPr>
        <w:rFonts w:ascii="Arial" w:cs="Arial" w:eastAsia="Arial" w:hAnsi="Arial"/>
        <w:color w:val="4A5568"/>
        <w:sz w:val="18"/>
        <w:szCs w:val="18"/>
      </w:rPr>
      <w:t xml:space="preserve">  |  vesta.tech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B2A4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1B2A4A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b81ba871a3e7d16acf4e07ce2fe4fd809fda44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2026-04-16T04:07:07.173Z</dcterms:created>
  <dcterms:modified xsi:type="dcterms:W3CDTF">2026-04-16T04:07:07.199Z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